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Ex1.xml" ContentType="application/vnd.ms-office.chartex+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E34C" w14:textId="13643FF0" w:rsidR="006A7E3A" w:rsidRPr="00923467" w:rsidRDefault="00873868" w:rsidP="00923467">
      <w:pPr>
        <w:rPr>
          <w:sz w:val="24"/>
          <w:szCs w:val="24"/>
        </w:rPr>
      </w:pPr>
      <w:r w:rsidRPr="00923467">
        <w:rPr>
          <w:noProof/>
        </w:rPr>
        <w:drawing>
          <wp:inline distT="0" distB="0" distL="0" distR="0" wp14:anchorId="762D30AC" wp14:editId="3EB13364">
            <wp:extent cx="2095500" cy="790575"/>
            <wp:effectExtent l="0" t="0" r="0" b="9525"/>
            <wp:docPr id="2023556173" name="Picture 202355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790575"/>
                    </a:xfrm>
                    <a:prstGeom prst="rect">
                      <a:avLst/>
                    </a:prstGeom>
                    <a:noFill/>
                  </pic:spPr>
                </pic:pic>
              </a:graphicData>
            </a:graphic>
          </wp:inline>
        </w:drawing>
      </w:r>
    </w:p>
    <w:p w14:paraId="14B7D2D3" w14:textId="77777777" w:rsidR="00565836" w:rsidRPr="00AC3096" w:rsidRDefault="00565836" w:rsidP="00923467"/>
    <w:p w14:paraId="3698B0F4" w14:textId="77777777" w:rsidR="00565836" w:rsidRDefault="00565836" w:rsidP="00923467"/>
    <w:p w14:paraId="314F19CB" w14:textId="77777777" w:rsidR="00684C76" w:rsidRPr="00923467" w:rsidRDefault="00684C76" w:rsidP="00923467"/>
    <w:p w14:paraId="691F5A33" w14:textId="77777777" w:rsidR="00684C76" w:rsidRDefault="00684C76" w:rsidP="00684C76">
      <w:pPr>
        <w:pStyle w:val="Title"/>
        <w:jc w:val="center"/>
      </w:pPr>
    </w:p>
    <w:p w14:paraId="52FCA48D" w14:textId="77777777" w:rsidR="00684C76" w:rsidRDefault="00684C76" w:rsidP="00684C76">
      <w:pPr>
        <w:pStyle w:val="Title"/>
        <w:jc w:val="center"/>
      </w:pPr>
    </w:p>
    <w:p w14:paraId="189911BD" w14:textId="72D43B87" w:rsidR="006A7E3A" w:rsidRPr="00684C76" w:rsidRDefault="006A7E3A" w:rsidP="00684C76">
      <w:pPr>
        <w:pStyle w:val="Title"/>
        <w:jc w:val="center"/>
      </w:pPr>
      <w:r w:rsidRPr="00684C76">
        <w:t>NATIONAL REVENUE AUTHORITY</w:t>
      </w:r>
    </w:p>
    <w:p w14:paraId="434A475E" w14:textId="77777777" w:rsidR="006A7E3A" w:rsidRPr="00923467" w:rsidRDefault="006A7E3A" w:rsidP="00684C76">
      <w:pPr>
        <w:jc w:val="center"/>
      </w:pPr>
    </w:p>
    <w:p w14:paraId="13A0B479" w14:textId="77777777" w:rsidR="006A7E3A" w:rsidRPr="00923467" w:rsidRDefault="006A7E3A" w:rsidP="00684C76">
      <w:pPr>
        <w:jc w:val="center"/>
      </w:pPr>
    </w:p>
    <w:p w14:paraId="173838D6" w14:textId="77777777" w:rsidR="006A7E3A" w:rsidRPr="00923467" w:rsidRDefault="006A7E3A" w:rsidP="00684C76">
      <w:pPr>
        <w:jc w:val="center"/>
      </w:pPr>
    </w:p>
    <w:p w14:paraId="62E92A07" w14:textId="2269CC2F" w:rsidR="006A7E3A" w:rsidRPr="00923467" w:rsidRDefault="006A7E3A" w:rsidP="00684C76">
      <w:pPr>
        <w:pStyle w:val="Title"/>
        <w:jc w:val="center"/>
      </w:pPr>
      <w:r w:rsidRPr="00923467">
        <w:t>ANNUAL REPORT 20</w:t>
      </w:r>
      <w:r w:rsidR="006A5FC8" w:rsidRPr="00923467">
        <w:t>22</w:t>
      </w:r>
    </w:p>
    <w:p w14:paraId="25FE48E7" w14:textId="77777777" w:rsidR="006A7E3A" w:rsidRPr="00923467" w:rsidRDefault="006A7E3A" w:rsidP="00923467"/>
    <w:p w14:paraId="4BC552C3" w14:textId="77777777" w:rsidR="00684C76" w:rsidRDefault="00684C76" w:rsidP="00684C76">
      <w:pPr>
        <w:jc w:val="center"/>
      </w:pPr>
    </w:p>
    <w:p w14:paraId="1489AEBE" w14:textId="77777777" w:rsidR="00684C76" w:rsidRDefault="00684C76" w:rsidP="00684C76">
      <w:pPr>
        <w:jc w:val="center"/>
      </w:pPr>
    </w:p>
    <w:p w14:paraId="57B4942B" w14:textId="77777777" w:rsidR="00684C76" w:rsidRDefault="00684C76" w:rsidP="00684C76">
      <w:pPr>
        <w:jc w:val="center"/>
      </w:pPr>
    </w:p>
    <w:p w14:paraId="1BD68D84" w14:textId="30CA3088" w:rsidR="006A7E3A" w:rsidRPr="00923467" w:rsidRDefault="00684C76" w:rsidP="00684C76">
      <w:pPr>
        <w:jc w:val="center"/>
      </w:pPr>
      <w:r>
        <w:t>Prepared by:</w:t>
      </w:r>
    </w:p>
    <w:p w14:paraId="10FFD2DA" w14:textId="77777777" w:rsidR="006A7E3A" w:rsidRPr="00923467" w:rsidRDefault="006A7E3A" w:rsidP="00923467">
      <w:pPr>
        <w:rPr>
          <w:lang w:eastAsia="en-GB"/>
        </w:rPr>
      </w:pPr>
    </w:p>
    <w:p w14:paraId="4A9D06AF" w14:textId="01017AA1" w:rsidR="00AD46E3" w:rsidRPr="00923467" w:rsidRDefault="006A7E3A" w:rsidP="00684C76">
      <w:pPr>
        <w:jc w:val="center"/>
        <w:rPr>
          <w:lang w:eastAsia="en-GB"/>
        </w:rPr>
      </w:pPr>
      <w:r w:rsidRPr="00923467">
        <w:rPr>
          <w:lang w:eastAsia="en-GB"/>
        </w:rPr>
        <w:t>MONITORING, RESEARCH AND PLANNING DEPARTMENT</w:t>
      </w:r>
    </w:p>
    <w:p w14:paraId="402084F8" w14:textId="77777777" w:rsidR="00AD46E3" w:rsidRPr="00923467" w:rsidRDefault="00AD46E3" w:rsidP="00923467">
      <w:pPr>
        <w:rPr>
          <w:lang w:eastAsia="en-GB"/>
        </w:rPr>
      </w:pPr>
    </w:p>
    <w:p w14:paraId="3CF8B46B" w14:textId="6C900105" w:rsidR="00C54035" w:rsidRPr="00923467" w:rsidRDefault="00BA40A2" w:rsidP="00684C76">
      <w:pPr>
        <w:jc w:val="center"/>
        <w:rPr>
          <w:lang w:eastAsia="en-GB"/>
        </w:rPr>
      </w:pPr>
      <w:r w:rsidRPr="00923467">
        <w:rPr>
          <w:lang w:eastAsia="en-GB"/>
        </w:rPr>
        <w:t>MAY</w:t>
      </w:r>
      <w:r w:rsidR="00C54035" w:rsidRPr="00923467">
        <w:rPr>
          <w:lang w:eastAsia="en-GB"/>
        </w:rPr>
        <w:t xml:space="preserve"> 2023</w:t>
      </w:r>
    </w:p>
    <w:p w14:paraId="41E5A7E5" w14:textId="77777777" w:rsidR="006A7E3A" w:rsidRPr="00923467" w:rsidRDefault="006A7E3A" w:rsidP="00923467"/>
    <w:p w14:paraId="60AEC5BD" w14:textId="77777777" w:rsidR="006A7E3A" w:rsidRPr="00923467" w:rsidRDefault="006A7E3A" w:rsidP="00923467"/>
    <w:p w14:paraId="017786FA" w14:textId="77777777" w:rsidR="006A7E3A" w:rsidRPr="00923467" w:rsidRDefault="006A7E3A" w:rsidP="00923467"/>
    <w:p w14:paraId="4E42428C" w14:textId="77777777" w:rsidR="006A7E3A" w:rsidRPr="00923467" w:rsidRDefault="006A7E3A" w:rsidP="00923467"/>
    <w:p w14:paraId="18CBA221" w14:textId="77777777" w:rsidR="006A7E3A" w:rsidRPr="00923467" w:rsidRDefault="006A7E3A" w:rsidP="00923467"/>
    <w:p w14:paraId="3ED4A39F" w14:textId="77777777" w:rsidR="006A7E3A" w:rsidRDefault="006A7E3A" w:rsidP="00923467"/>
    <w:p w14:paraId="2E06BE8B" w14:textId="77777777" w:rsidR="00684C76" w:rsidRPr="00923467" w:rsidRDefault="00684C76" w:rsidP="00923467"/>
    <w:p w14:paraId="2C2A5D18" w14:textId="23E8149C" w:rsidR="0059271D" w:rsidRPr="00923467" w:rsidRDefault="0059271D" w:rsidP="00923467"/>
    <w:sdt>
      <w:sdtPr>
        <w:rPr>
          <w:rFonts w:cstheme="minorBidi"/>
        </w:rPr>
        <w:id w:val="1944412129"/>
        <w:docPartObj>
          <w:docPartGallery w:val="Table of Contents"/>
          <w:docPartUnique/>
        </w:docPartObj>
      </w:sdtPr>
      <w:sdtEndPr>
        <w:rPr>
          <w:rFonts w:cs="Times New Roman"/>
          <w:noProof/>
        </w:rPr>
      </w:sdtEndPr>
      <w:sdtContent>
        <w:p w14:paraId="70423004" w14:textId="456594DB" w:rsidR="0059271D" w:rsidRPr="00A819C4" w:rsidRDefault="0059271D" w:rsidP="00A819C4">
          <w:pPr>
            <w:jc w:val="center"/>
            <w:rPr>
              <w:rStyle w:val="Heading2Char"/>
              <w:color w:val="000000" w:themeColor="text1"/>
              <w:sz w:val="36"/>
              <w:szCs w:val="36"/>
            </w:rPr>
          </w:pPr>
          <w:r w:rsidRPr="00A819C4">
            <w:rPr>
              <w:rStyle w:val="Heading2Char"/>
              <w:color w:val="000000" w:themeColor="text1"/>
              <w:sz w:val="36"/>
              <w:szCs w:val="36"/>
            </w:rPr>
            <w:t>Table of Contents</w:t>
          </w:r>
        </w:p>
        <w:p w14:paraId="7B826970" w14:textId="4C3D679D" w:rsidR="009C1DE7" w:rsidRDefault="0059271D" w:rsidP="009C1DE7">
          <w:pPr>
            <w:pStyle w:val="TOC1"/>
            <w:rPr>
              <w:rFonts w:asciiTheme="minorHAnsi" w:eastAsiaTheme="minorEastAsia" w:hAnsiTheme="minorHAnsi" w:cstheme="minorBidi"/>
              <w:noProof/>
              <w:kern w:val="2"/>
              <w:sz w:val="24"/>
              <w:szCs w:val="24"/>
              <w:lang w:val="en-CA"/>
              <w14:ligatures w14:val="standardContextual"/>
            </w:rPr>
          </w:pPr>
          <w:r w:rsidRPr="00923467">
            <w:fldChar w:fldCharType="begin"/>
          </w:r>
          <w:r w:rsidRPr="00923467">
            <w:instrText xml:space="preserve"> TOC \o "1-3" \h \z \u </w:instrText>
          </w:r>
          <w:r w:rsidRPr="00923467">
            <w:fldChar w:fldCharType="separate"/>
          </w:r>
          <w:hyperlink w:anchor="_Toc137831054" w:history="1">
            <w:r w:rsidR="009C1DE7" w:rsidRPr="009C43D6">
              <w:rPr>
                <w:rStyle w:val="Hyperlink"/>
                <w:noProof/>
              </w:rPr>
              <w:t>FOREWORD BY THE COMMISSIONER GENERAL</w:t>
            </w:r>
            <w:r w:rsidR="009C1DE7">
              <w:rPr>
                <w:noProof/>
                <w:webHidden/>
              </w:rPr>
              <w:tab/>
            </w:r>
            <w:r w:rsidR="009C1DE7">
              <w:rPr>
                <w:noProof/>
                <w:webHidden/>
              </w:rPr>
              <w:fldChar w:fldCharType="begin"/>
            </w:r>
            <w:r w:rsidR="009C1DE7">
              <w:rPr>
                <w:noProof/>
                <w:webHidden/>
              </w:rPr>
              <w:instrText xml:space="preserve"> PAGEREF _Toc137831054 \h </w:instrText>
            </w:r>
            <w:r w:rsidR="009C1DE7">
              <w:rPr>
                <w:noProof/>
                <w:webHidden/>
              </w:rPr>
            </w:r>
            <w:r w:rsidR="009C1DE7">
              <w:rPr>
                <w:noProof/>
                <w:webHidden/>
              </w:rPr>
              <w:fldChar w:fldCharType="separate"/>
            </w:r>
            <w:r w:rsidR="009C1DE7">
              <w:rPr>
                <w:noProof/>
                <w:webHidden/>
              </w:rPr>
              <w:t>11</w:t>
            </w:r>
            <w:r w:rsidR="009C1DE7">
              <w:rPr>
                <w:noProof/>
                <w:webHidden/>
              </w:rPr>
              <w:fldChar w:fldCharType="end"/>
            </w:r>
          </w:hyperlink>
        </w:p>
        <w:p w14:paraId="5513DDDB" w14:textId="19E507D7" w:rsidR="009C1DE7" w:rsidRDefault="009C1DE7" w:rsidP="009C1DE7">
          <w:pPr>
            <w:pStyle w:val="TOC1"/>
            <w:rPr>
              <w:rFonts w:asciiTheme="minorHAnsi" w:eastAsiaTheme="minorEastAsia" w:hAnsiTheme="minorHAnsi" w:cstheme="minorBidi"/>
              <w:noProof/>
              <w:kern w:val="2"/>
              <w:sz w:val="24"/>
              <w:szCs w:val="24"/>
              <w:lang w:val="en-CA"/>
              <w14:ligatures w14:val="standardContextual"/>
            </w:rPr>
          </w:pPr>
          <w:hyperlink w:anchor="_Toc137831055" w:history="1">
            <w:r w:rsidRPr="009C43D6">
              <w:rPr>
                <w:rStyle w:val="Hyperlink"/>
                <w:noProof/>
              </w:rPr>
              <w:t>EXECUTIVE SUMMARY</w:t>
            </w:r>
            <w:r>
              <w:rPr>
                <w:noProof/>
                <w:webHidden/>
              </w:rPr>
              <w:tab/>
            </w:r>
            <w:r>
              <w:rPr>
                <w:noProof/>
                <w:webHidden/>
              </w:rPr>
              <w:fldChar w:fldCharType="begin"/>
            </w:r>
            <w:r>
              <w:rPr>
                <w:noProof/>
                <w:webHidden/>
              </w:rPr>
              <w:instrText xml:space="preserve"> PAGEREF _Toc137831055 \h </w:instrText>
            </w:r>
            <w:r>
              <w:rPr>
                <w:noProof/>
                <w:webHidden/>
              </w:rPr>
            </w:r>
            <w:r>
              <w:rPr>
                <w:noProof/>
                <w:webHidden/>
              </w:rPr>
              <w:fldChar w:fldCharType="separate"/>
            </w:r>
            <w:r>
              <w:rPr>
                <w:noProof/>
                <w:webHidden/>
              </w:rPr>
              <w:t>13</w:t>
            </w:r>
            <w:r>
              <w:rPr>
                <w:noProof/>
                <w:webHidden/>
              </w:rPr>
              <w:fldChar w:fldCharType="end"/>
            </w:r>
          </w:hyperlink>
        </w:p>
        <w:p w14:paraId="7632F13F" w14:textId="4CC92435" w:rsidR="009C1DE7" w:rsidRDefault="009C1DE7" w:rsidP="009C1DE7">
          <w:pPr>
            <w:pStyle w:val="TOC1"/>
            <w:rPr>
              <w:rFonts w:asciiTheme="minorHAnsi" w:eastAsiaTheme="minorEastAsia" w:hAnsiTheme="minorHAnsi" w:cstheme="minorBidi"/>
              <w:noProof/>
              <w:kern w:val="2"/>
              <w:sz w:val="24"/>
              <w:szCs w:val="24"/>
              <w:lang w:val="en-CA"/>
              <w14:ligatures w14:val="standardContextual"/>
            </w:rPr>
          </w:pPr>
          <w:hyperlink w:anchor="_Toc137831056" w:history="1">
            <w:r w:rsidRPr="009C43D6">
              <w:rPr>
                <w:rStyle w:val="Hyperlink"/>
                <w:noProof/>
              </w:rPr>
              <w:t>CHAPTER ONE: INTRODUCTION</w:t>
            </w:r>
            <w:r>
              <w:rPr>
                <w:noProof/>
                <w:webHidden/>
              </w:rPr>
              <w:tab/>
            </w:r>
            <w:r>
              <w:rPr>
                <w:noProof/>
                <w:webHidden/>
              </w:rPr>
              <w:fldChar w:fldCharType="begin"/>
            </w:r>
            <w:r>
              <w:rPr>
                <w:noProof/>
                <w:webHidden/>
              </w:rPr>
              <w:instrText xml:space="preserve"> PAGEREF _Toc137831056 \h </w:instrText>
            </w:r>
            <w:r>
              <w:rPr>
                <w:noProof/>
                <w:webHidden/>
              </w:rPr>
            </w:r>
            <w:r>
              <w:rPr>
                <w:noProof/>
                <w:webHidden/>
              </w:rPr>
              <w:fldChar w:fldCharType="separate"/>
            </w:r>
            <w:r>
              <w:rPr>
                <w:noProof/>
                <w:webHidden/>
              </w:rPr>
              <w:t>16</w:t>
            </w:r>
            <w:r>
              <w:rPr>
                <w:noProof/>
                <w:webHidden/>
              </w:rPr>
              <w:fldChar w:fldCharType="end"/>
            </w:r>
          </w:hyperlink>
        </w:p>
        <w:p w14:paraId="1B5E0429" w14:textId="281DB6D2"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57" w:history="1">
            <w:r w:rsidRPr="009C43D6">
              <w:rPr>
                <w:rStyle w:val="Hyperlink"/>
                <w:noProof/>
              </w:rPr>
              <w:t>CORPORATE STATEMENT</w:t>
            </w:r>
            <w:r>
              <w:rPr>
                <w:noProof/>
                <w:webHidden/>
              </w:rPr>
              <w:tab/>
            </w:r>
            <w:r>
              <w:rPr>
                <w:noProof/>
                <w:webHidden/>
              </w:rPr>
              <w:fldChar w:fldCharType="begin"/>
            </w:r>
            <w:r>
              <w:rPr>
                <w:noProof/>
                <w:webHidden/>
              </w:rPr>
              <w:instrText xml:space="preserve"> PAGEREF _Toc137831057 \h </w:instrText>
            </w:r>
            <w:r>
              <w:rPr>
                <w:noProof/>
                <w:webHidden/>
              </w:rPr>
            </w:r>
            <w:r>
              <w:rPr>
                <w:noProof/>
                <w:webHidden/>
              </w:rPr>
              <w:fldChar w:fldCharType="separate"/>
            </w:r>
            <w:r>
              <w:rPr>
                <w:noProof/>
                <w:webHidden/>
              </w:rPr>
              <w:t>16</w:t>
            </w:r>
            <w:r>
              <w:rPr>
                <w:noProof/>
                <w:webHidden/>
              </w:rPr>
              <w:fldChar w:fldCharType="end"/>
            </w:r>
          </w:hyperlink>
        </w:p>
        <w:p w14:paraId="00D25F8E" w14:textId="70A9AF31"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58" w:history="1">
            <w:r w:rsidRPr="009C43D6">
              <w:rPr>
                <w:rStyle w:val="Hyperlink"/>
                <w:noProof/>
              </w:rPr>
              <w:t>NRA STRATEGIC PLAN (2018-2022)</w:t>
            </w:r>
            <w:r>
              <w:rPr>
                <w:noProof/>
                <w:webHidden/>
              </w:rPr>
              <w:tab/>
            </w:r>
            <w:r>
              <w:rPr>
                <w:noProof/>
                <w:webHidden/>
              </w:rPr>
              <w:fldChar w:fldCharType="begin"/>
            </w:r>
            <w:r>
              <w:rPr>
                <w:noProof/>
                <w:webHidden/>
              </w:rPr>
              <w:instrText xml:space="preserve"> PAGEREF _Toc137831058 \h </w:instrText>
            </w:r>
            <w:r>
              <w:rPr>
                <w:noProof/>
                <w:webHidden/>
              </w:rPr>
            </w:r>
            <w:r>
              <w:rPr>
                <w:noProof/>
                <w:webHidden/>
              </w:rPr>
              <w:fldChar w:fldCharType="separate"/>
            </w:r>
            <w:r>
              <w:rPr>
                <w:noProof/>
                <w:webHidden/>
              </w:rPr>
              <w:t>18</w:t>
            </w:r>
            <w:r>
              <w:rPr>
                <w:noProof/>
                <w:webHidden/>
              </w:rPr>
              <w:fldChar w:fldCharType="end"/>
            </w:r>
          </w:hyperlink>
        </w:p>
        <w:p w14:paraId="21A88914" w14:textId="4E779198"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59" w:history="1">
            <w:r w:rsidRPr="009C43D6">
              <w:rPr>
                <w:rStyle w:val="Hyperlink"/>
                <w:noProof/>
              </w:rPr>
              <w:t>GOVERNANCE ARRANGEMENT</w:t>
            </w:r>
            <w:r>
              <w:rPr>
                <w:noProof/>
                <w:webHidden/>
              </w:rPr>
              <w:tab/>
            </w:r>
            <w:r>
              <w:rPr>
                <w:noProof/>
                <w:webHidden/>
              </w:rPr>
              <w:fldChar w:fldCharType="begin"/>
            </w:r>
            <w:r>
              <w:rPr>
                <w:noProof/>
                <w:webHidden/>
              </w:rPr>
              <w:instrText xml:space="preserve"> PAGEREF _Toc137831059 \h </w:instrText>
            </w:r>
            <w:r>
              <w:rPr>
                <w:noProof/>
                <w:webHidden/>
              </w:rPr>
            </w:r>
            <w:r>
              <w:rPr>
                <w:noProof/>
                <w:webHidden/>
              </w:rPr>
              <w:fldChar w:fldCharType="separate"/>
            </w:r>
            <w:r>
              <w:rPr>
                <w:noProof/>
                <w:webHidden/>
              </w:rPr>
              <w:t>19</w:t>
            </w:r>
            <w:r>
              <w:rPr>
                <w:noProof/>
                <w:webHidden/>
              </w:rPr>
              <w:fldChar w:fldCharType="end"/>
            </w:r>
          </w:hyperlink>
        </w:p>
        <w:p w14:paraId="599F8A79" w14:textId="704480EE" w:rsidR="009C1DE7" w:rsidRDefault="009C1DE7" w:rsidP="009C1DE7">
          <w:pPr>
            <w:pStyle w:val="TOC1"/>
            <w:rPr>
              <w:rFonts w:asciiTheme="minorHAnsi" w:eastAsiaTheme="minorEastAsia" w:hAnsiTheme="minorHAnsi" w:cstheme="minorBidi"/>
              <w:noProof/>
              <w:kern w:val="2"/>
              <w:sz w:val="24"/>
              <w:szCs w:val="24"/>
              <w:lang w:val="en-CA"/>
              <w14:ligatures w14:val="standardContextual"/>
            </w:rPr>
          </w:pPr>
          <w:hyperlink w:anchor="_Toc137831060" w:history="1">
            <w:r w:rsidRPr="009C43D6">
              <w:rPr>
                <w:rStyle w:val="Hyperlink"/>
                <w:noProof/>
              </w:rPr>
              <w:t>CHAPTER TWO: REVENUE AND DUTY WAIVER PERFORMANCE</w:t>
            </w:r>
            <w:r>
              <w:rPr>
                <w:noProof/>
                <w:webHidden/>
              </w:rPr>
              <w:tab/>
            </w:r>
            <w:r>
              <w:rPr>
                <w:noProof/>
                <w:webHidden/>
              </w:rPr>
              <w:fldChar w:fldCharType="begin"/>
            </w:r>
            <w:r>
              <w:rPr>
                <w:noProof/>
                <w:webHidden/>
              </w:rPr>
              <w:instrText xml:space="preserve"> PAGEREF _Toc137831060 \h </w:instrText>
            </w:r>
            <w:r>
              <w:rPr>
                <w:noProof/>
                <w:webHidden/>
              </w:rPr>
            </w:r>
            <w:r>
              <w:rPr>
                <w:noProof/>
                <w:webHidden/>
              </w:rPr>
              <w:fldChar w:fldCharType="separate"/>
            </w:r>
            <w:r>
              <w:rPr>
                <w:noProof/>
                <w:webHidden/>
              </w:rPr>
              <w:t>21</w:t>
            </w:r>
            <w:r>
              <w:rPr>
                <w:noProof/>
                <w:webHidden/>
              </w:rPr>
              <w:fldChar w:fldCharType="end"/>
            </w:r>
          </w:hyperlink>
        </w:p>
        <w:p w14:paraId="589030DD" w14:textId="175265B3"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61" w:history="1">
            <w:r w:rsidRPr="009C43D6">
              <w:rPr>
                <w:rStyle w:val="Hyperlink"/>
                <w:noProof/>
              </w:rPr>
              <w:t>HISTORIC REVENUE PERFORMANCE</w:t>
            </w:r>
            <w:r>
              <w:rPr>
                <w:noProof/>
                <w:webHidden/>
              </w:rPr>
              <w:tab/>
            </w:r>
            <w:r>
              <w:rPr>
                <w:noProof/>
                <w:webHidden/>
              </w:rPr>
              <w:fldChar w:fldCharType="begin"/>
            </w:r>
            <w:r>
              <w:rPr>
                <w:noProof/>
                <w:webHidden/>
              </w:rPr>
              <w:instrText xml:space="preserve"> PAGEREF _Toc137831061 \h </w:instrText>
            </w:r>
            <w:r>
              <w:rPr>
                <w:noProof/>
                <w:webHidden/>
              </w:rPr>
            </w:r>
            <w:r>
              <w:rPr>
                <w:noProof/>
                <w:webHidden/>
              </w:rPr>
              <w:fldChar w:fldCharType="separate"/>
            </w:r>
            <w:r>
              <w:rPr>
                <w:noProof/>
                <w:webHidden/>
              </w:rPr>
              <w:t>21</w:t>
            </w:r>
            <w:r>
              <w:rPr>
                <w:noProof/>
                <w:webHidden/>
              </w:rPr>
              <w:fldChar w:fldCharType="end"/>
            </w:r>
          </w:hyperlink>
        </w:p>
        <w:p w14:paraId="2EAF7BE8" w14:textId="4D2595EC"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62" w:history="1">
            <w:r w:rsidRPr="009C43D6">
              <w:rPr>
                <w:rStyle w:val="Hyperlink"/>
                <w:noProof/>
              </w:rPr>
              <w:t>REVENUE PERFORMANCE IN 2022</w:t>
            </w:r>
            <w:r>
              <w:rPr>
                <w:noProof/>
                <w:webHidden/>
              </w:rPr>
              <w:tab/>
            </w:r>
            <w:r>
              <w:rPr>
                <w:noProof/>
                <w:webHidden/>
              </w:rPr>
              <w:fldChar w:fldCharType="begin"/>
            </w:r>
            <w:r>
              <w:rPr>
                <w:noProof/>
                <w:webHidden/>
              </w:rPr>
              <w:instrText xml:space="preserve"> PAGEREF _Toc137831062 \h </w:instrText>
            </w:r>
            <w:r>
              <w:rPr>
                <w:noProof/>
                <w:webHidden/>
              </w:rPr>
            </w:r>
            <w:r>
              <w:rPr>
                <w:noProof/>
                <w:webHidden/>
              </w:rPr>
              <w:fldChar w:fldCharType="separate"/>
            </w:r>
            <w:r>
              <w:rPr>
                <w:noProof/>
                <w:webHidden/>
              </w:rPr>
              <w:t>22</w:t>
            </w:r>
            <w:r>
              <w:rPr>
                <w:noProof/>
                <w:webHidden/>
              </w:rPr>
              <w:fldChar w:fldCharType="end"/>
            </w:r>
          </w:hyperlink>
        </w:p>
        <w:p w14:paraId="1D314328" w14:textId="798440FF"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63" w:history="1">
            <w:r w:rsidRPr="009C43D6">
              <w:rPr>
                <w:rStyle w:val="Hyperlink"/>
                <w:noProof/>
              </w:rPr>
              <w:t>COMPARATIVE REVENUE PERFORMANCE (2021 VS 2022)</w:t>
            </w:r>
            <w:r>
              <w:rPr>
                <w:noProof/>
                <w:webHidden/>
              </w:rPr>
              <w:tab/>
            </w:r>
            <w:r>
              <w:rPr>
                <w:noProof/>
                <w:webHidden/>
              </w:rPr>
              <w:fldChar w:fldCharType="begin"/>
            </w:r>
            <w:r>
              <w:rPr>
                <w:noProof/>
                <w:webHidden/>
              </w:rPr>
              <w:instrText xml:space="preserve"> PAGEREF _Toc137831063 \h </w:instrText>
            </w:r>
            <w:r>
              <w:rPr>
                <w:noProof/>
                <w:webHidden/>
              </w:rPr>
            </w:r>
            <w:r>
              <w:rPr>
                <w:noProof/>
                <w:webHidden/>
              </w:rPr>
              <w:fldChar w:fldCharType="separate"/>
            </w:r>
            <w:r>
              <w:rPr>
                <w:noProof/>
                <w:webHidden/>
              </w:rPr>
              <w:t>24</w:t>
            </w:r>
            <w:r>
              <w:rPr>
                <w:noProof/>
                <w:webHidden/>
              </w:rPr>
              <w:fldChar w:fldCharType="end"/>
            </w:r>
          </w:hyperlink>
        </w:p>
        <w:p w14:paraId="05EA2123" w14:textId="28FCBA07"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64" w:history="1">
            <w:r w:rsidRPr="009C43D6">
              <w:rPr>
                <w:rStyle w:val="Hyperlink"/>
                <w:noProof/>
              </w:rPr>
              <w:t>CHALLENGES TO 2022 REVENUE PERFORMANCE</w:t>
            </w:r>
            <w:r>
              <w:rPr>
                <w:noProof/>
                <w:webHidden/>
              </w:rPr>
              <w:tab/>
            </w:r>
            <w:r>
              <w:rPr>
                <w:noProof/>
                <w:webHidden/>
              </w:rPr>
              <w:fldChar w:fldCharType="begin"/>
            </w:r>
            <w:r>
              <w:rPr>
                <w:noProof/>
                <w:webHidden/>
              </w:rPr>
              <w:instrText xml:space="preserve"> PAGEREF _Toc137831064 \h </w:instrText>
            </w:r>
            <w:r>
              <w:rPr>
                <w:noProof/>
                <w:webHidden/>
              </w:rPr>
            </w:r>
            <w:r>
              <w:rPr>
                <w:noProof/>
                <w:webHidden/>
              </w:rPr>
              <w:fldChar w:fldCharType="separate"/>
            </w:r>
            <w:r>
              <w:rPr>
                <w:noProof/>
                <w:webHidden/>
              </w:rPr>
              <w:t>26</w:t>
            </w:r>
            <w:r>
              <w:rPr>
                <w:noProof/>
                <w:webHidden/>
              </w:rPr>
              <w:fldChar w:fldCharType="end"/>
            </w:r>
          </w:hyperlink>
        </w:p>
        <w:p w14:paraId="0205F9C2" w14:textId="2CE1181F"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65" w:history="1">
            <w:r w:rsidRPr="009C43D6">
              <w:rPr>
                <w:rStyle w:val="Hyperlink"/>
                <w:noProof/>
              </w:rPr>
              <w:t>Twin shocks of COVID and Ukraine crisis:</w:t>
            </w:r>
            <w:r>
              <w:rPr>
                <w:noProof/>
                <w:webHidden/>
              </w:rPr>
              <w:tab/>
            </w:r>
            <w:r>
              <w:rPr>
                <w:noProof/>
                <w:webHidden/>
              </w:rPr>
              <w:fldChar w:fldCharType="begin"/>
            </w:r>
            <w:r>
              <w:rPr>
                <w:noProof/>
                <w:webHidden/>
              </w:rPr>
              <w:instrText xml:space="preserve"> PAGEREF _Toc137831065 \h </w:instrText>
            </w:r>
            <w:r>
              <w:rPr>
                <w:noProof/>
                <w:webHidden/>
              </w:rPr>
            </w:r>
            <w:r>
              <w:rPr>
                <w:noProof/>
                <w:webHidden/>
              </w:rPr>
              <w:fldChar w:fldCharType="separate"/>
            </w:r>
            <w:r>
              <w:rPr>
                <w:noProof/>
                <w:webHidden/>
              </w:rPr>
              <w:t>26</w:t>
            </w:r>
            <w:r>
              <w:rPr>
                <w:noProof/>
                <w:webHidden/>
              </w:rPr>
              <w:fldChar w:fldCharType="end"/>
            </w:r>
          </w:hyperlink>
        </w:p>
        <w:p w14:paraId="3A4B4A3D" w14:textId="63C1A6A1"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66" w:history="1">
            <w:r w:rsidRPr="009C43D6">
              <w:rPr>
                <w:rStyle w:val="Hyperlink"/>
                <w:noProof/>
              </w:rPr>
              <w:t>Broad Tax Exemptions Regime</w:t>
            </w:r>
            <w:r>
              <w:rPr>
                <w:noProof/>
                <w:webHidden/>
              </w:rPr>
              <w:tab/>
            </w:r>
            <w:r>
              <w:rPr>
                <w:noProof/>
                <w:webHidden/>
              </w:rPr>
              <w:fldChar w:fldCharType="begin"/>
            </w:r>
            <w:r>
              <w:rPr>
                <w:noProof/>
                <w:webHidden/>
              </w:rPr>
              <w:instrText xml:space="preserve"> PAGEREF _Toc137831066 \h </w:instrText>
            </w:r>
            <w:r>
              <w:rPr>
                <w:noProof/>
                <w:webHidden/>
              </w:rPr>
            </w:r>
            <w:r>
              <w:rPr>
                <w:noProof/>
                <w:webHidden/>
              </w:rPr>
              <w:fldChar w:fldCharType="separate"/>
            </w:r>
            <w:r>
              <w:rPr>
                <w:noProof/>
                <w:webHidden/>
              </w:rPr>
              <w:t>27</w:t>
            </w:r>
            <w:r>
              <w:rPr>
                <w:noProof/>
                <w:webHidden/>
              </w:rPr>
              <w:fldChar w:fldCharType="end"/>
            </w:r>
          </w:hyperlink>
        </w:p>
        <w:p w14:paraId="756BD9EE" w14:textId="0677D4E5"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67" w:history="1">
            <w:r w:rsidRPr="009C43D6">
              <w:rPr>
                <w:rStyle w:val="Hyperlink"/>
                <w:noProof/>
              </w:rPr>
              <w:t>Change Management Challenges</w:t>
            </w:r>
            <w:r>
              <w:rPr>
                <w:noProof/>
                <w:webHidden/>
              </w:rPr>
              <w:tab/>
            </w:r>
            <w:r>
              <w:rPr>
                <w:noProof/>
                <w:webHidden/>
              </w:rPr>
              <w:fldChar w:fldCharType="begin"/>
            </w:r>
            <w:r>
              <w:rPr>
                <w:noProof/>
                <w:webHidden/>
              </w:rPr>
              <w:instrText xml:space="preserve"> PAGEREF _Toc137831067 \h </w:instrText>
            </w:r>
            <w:r>
              <w:rPr>
                <w:noProof/>
                <w:webHidden/>
              </w:rPr>
            </w:r>
            <w:r>
              <w:rPr>
                <w:noProof/>
                <w:webHidden/>
              </w:rPr>
              <w:fldChar w:fldCharType="separate"/>
            </w:r>
            <w:r>
              <w:rPr>
                <w:noProof/>
                <w:webHidden/>
              </w:rPr>
              <w:t>28</w:t>
            </w:r>
            <w:r>
              <w:rPr>
                <w:noProof/>
                <w:webHidden/>
              </w:rPr>
              <w:fldChar w:fldCharType="end"/>
            </w:r>
          </w:hyperlink>
        </w:p>
        <w:p w14:paraId="45947326" w14:textId="480CBF54"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68" w:history="1">
            <w:r w:rsidRPr="009C43D6">
              <w:rPr>
                <w:rStyle w:val="Hyperlink"/>
                <w:noProof/>
              </w:rPr>
              <w:t>Non-implementation of revenue enhancing policies</w:t>
            </w:r>
            <w:r>
              <w:rPr>
                <w:noProof/>
                <w:webHidden/>
              </w:rPr>
              <w:tab/>
            </w:r>
            <w:r>
              <w:rPr>
                <w:noProof/>
                <w:webHidden/>
              </w:rPr>
              <w:fldChar w:fldCharType="begin"/>
            </w:r>
            <w:r>
              <w:rPr>
                <w:noProof/>
                <w:webHidden/>
              </w:rPr>
              <w:instrText xml:space="preserve"> PAGEREF _Toc137831068 \h </w:instrText>
            </w:r>
            <w:r>
              <w:rPr>
                <w:noProof/>
                <w:webHidden/>
              </w:rPr>
            </w:r>
            <w:r>
              <w:rPr>
                <w:noProof/>
                <w:webHidden/>
              </w:rPr>
              <w:fldChar w:fldCharType="separate"/>
            </w:r>
            <w:r>
              <w:rPr>
                <w:noProof/>
                <w:webHidden/>
              </w:rPr>
              <w:t>28</w:t>
            </w:r>
            <w:r>
              <w:rPr>
                <w:noProof/>
                <w:webHidden/>
              </w:rPr>
              <w:fldChar w:fldCharType="end"/>
            </w:r>
          </w:hyperlink>
        </w:p>
        <w:p w14:paraId="6B126406" w14:textId="6D338338"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69" w:history="1">
            <w:r w:rsidRPr="009C43D6">
              <w:rPr>
                <w:rStyle w:val="Hyperlink"/>
                <w:noProof/>
              </w:rPr>
              <w:t>Accumulation of Tax arrears</w:t>
            </w:r>
            <w:r>
              <w:rPr>
                <w:noProof/>
                <w:webHidden/>
              </w:rPr>
              <w:tab/>
            </w:r>
            <w:r>
              <w:rPr>
                <w:noProof/>
                <w:webHidden/>
              </w:rPr>
              <w:fldChar w:fldCharType="begin"/>
            </w:r>
            <w:r>
              <w:rPr>
                <w:noProof/>
                <w:webHidden/>
              </w:rPr>
              <w:instrText xml:space="preserve"> PAGEREF _Toc137831069 \h </w:instrText>
            </w:r>
            <w:r>
              <w:rPr>
                <w:noProof/>
                <w:webHidden/>
              </w:rPr>
            </w:r>
            <w:r>
              <w:rPr>
                <w:noProof/>
                <w:webHidden/>
              </w:rPr>
              <w:fldChar w:fldCharType="separate"/>
            </w:r>
            <w:r>
              <w:rPr>
                <w:noProof/>
                <w:webHidden/>
              </w:rPr>
              <w:t>28</w:t>
            </w:r>
            <w:r>
              <w:rPr>
                <w:noProof/>
                <w:webHidden/>
              </w:rPr>
              <w:fldChar w:fldCharType="end"/>
            </w:r>
          </w:hyperlink>
        </w:p>
        <w:p w14:paraId="3B94379C" w14:textId="4FCFC524"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70" w:history="1">
            <w:r w:rsidRPr="009C43D6">
              <w:rPr>
                <w:rStyle w:val="Hyperlink"/>
                <w:noProof/>
              </w:rPr>
              <w:t>Comparative Duty- Waiver Performance (2021 Vs 2022)</w:t>
            </w:r>
            <w:r>
              <w:rPr>
                <w:noProof/>
                <w:webHidden/>
              </w:rPr>
              <w:tab/>
            </w:r>
            <w:r>
              <w:rPr>
                <w:noProof/>
                <w:webHidden/>
              </w:rPr>
              <w:fldChar w:fldCharType="begin"/>
            </w:r>
            <w:r>
              <w:rPr>
                <w:noProof/>
                <w:webHidden/>
              </w:rPr>
              <w:instrText xml:space="preserve"> PAGEREF _Toc137831070 \h </w:instrText>
            </w:r>
            <w:r>
              <w:rPr>
                <w:noProof/>
                <w:webHidden/>
              </w:rPr>
            </w:r>
            <w:r>
              <w:rPr>
                <w:noProof/>
                <w:webHidden/>
              </w:rPr>
              <w:fldChar w:fldCharType="separate"/>
            </w:r>
            <w:r>
              <w:rPr>
                <w:noProof/>
                <w:webHidden/>
              </w:rPr>
              <w:t>29</w:t>
            </w:r>
            <w:r>
              <w:rPr>
                <w:noProof/>
                <w:webHidden/>
              </w:rPr>
              <w:fldChar w:fldCharType="end"/>
            </w:r>
          </w:hyperlink>
        </w:p>
        <w:p w14:paraId="4026380F" w14:textId="2111DF49" w:rsidR="009C1DE7" w:rsidRDefault="009C1DE7" w:rsidP="009C1DE7">
          <w:pPr>
            <w:pStyle w:val="TOC1"/>
            <w:rPr>
              <w:rFonts w:asciiTheme="minorHAnsi" w:eastAsiaTheme="minorEastAsia" w:hAnsiTheme="minorHAnsi" w:cstheme="minorBidi"/>
              <w:noProof/>
              <w:kern w:val="2"/>
              <w:sz w:val="24"/>
              <w:szCs w:val="24"/>
              <w:lang w:val="en-CA"/>
              <w14:ligatures w14:val="standardContextual"/>
            </w:rPr>
          </w:pPr>
          <w:hyperlink w:anchor="_Toc137831071" w:history="1">
            <w:r w:rsidRPr="009C43D6">
              <w:rPr>
                <w:rStyle w:val="Hyperlink"/>
                <w:noProof/>
              </w:rPr>
              <w:t>CHAPTER THREE: KEY NON-REVENUE ACHIEVEMENTS</w:t>
            </w:r>
            <w:r>
              <w:rPr>
                <w:noProof/>
                <w:webHidden/>
              </w:rPr>
              <w:tab/>
            </w:r>
            <w:r>
              <w:rPr>
                <w:noProof/>
                <w:webHidden/>
              </w:rPr>
              <w:fldChar w:fldCharType="begin"/>
            </w:r>
            <w:r>
              <w:rPr>
                <w:noProof/>
                <w:webHidden/>
              </w:rPr>
              <w:instrText xml:space="preserve"> PAGEREF _Toc137831071 \h </w:instrText>
            </w:r>
            <w:r>
              <w:rPr>
                <w:noProof/>
                <w:webHidden/>
              </w:rPr>
            </w:r>
            <w:r>
              <w:rPr>
                <w:noProof/>
                <w:webHidden/>
              </w:rPr>
              <w:fldChar w:fldCharType="separate"/>
            </w:r>
            <w:r>
              <w:rPr>
                <w:noProof/>
                <w:webHidden/>
              </w:rPr>
              <w:t>32</w:t>
            </w:r>
            <w:r>
              <w:rPr>
                <w:noProof/>
                <w:webHidden/>
              </w:rPr>
              <w:fldChar w:fldCharType="end"/>
            </w:r>
          </w:hyperlink>
        </w:p>
        <w:p w14:paraId="15416FDE" w14:textId="20B8BC05"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72" w:history="1">
            <w:r w:rsidRPr="009C43D6">
              <w:rPr>
                <w:rStyle w:val="Hyperlink"/>
                <w:noProof/>
              </w:rPr>
              <w:t>TAXPAYER SENSITISATION AND EDUCATION</w:t>
            </w:r>
            <w:r>
              <w:rPr>
                <w:noProof/>
                <w:webHidden/>
              </w:rPr>
              <w:tab/>
            </w:r>
            <w:r>
              <w:rPr>
                <w:noProof/>
                <w:webHidden/>
              </w:rPr>
              <w:fldChar w:fldCharType="begin"/>
            </w:r>
            <w:r>
              <w:rPr>
                <w:noProof/>
                <w:webHidden/>
              </w:rPr>
              <w:instrText xml:space="preserve"> PAGEREF _Toc137831072 \h </w:instrText>
            </w:r>
            <w:r>
              <w:rPr>
                <w:noProof/>
                <w:webHidden/>
              </w:rPr>
            </w:r>
            <w:r>
              <w:rPr>
                <w:noProof/>
                <w:webHidden/>
              </w:rPr>
              <w:fldChar w:fldCharType="separate"/>
            </w:r>
            <w:r>
              <w:rPr>
                <w:noProof/>
                <w:webHidden/>
              </w:rPr>
              <w:t>32</w:t>
            </w:r>
            <w:r>
              <w:rPr>
                <w:noProof/>
                <w:webHidden/>
              </w:rPr>
              <w:fldChar w:fldCharType="end"/>
            </w:r>
          </w:hyperlink>
        </w:p>
        <w:p w14:paraId="0A6D5804" w14:textId="34CF257F"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73" w:history="1">
            <w:r w:rsidRPr="009C43D6">
              <w:rPr>
                <w:rStyle w:val="Hyperlink"/>
                <w:noProof/>
              </w:rPr>
              <w:t>CORPORATE SOCIAL RESPONSIBILITY</w:t>
            </w:r>
            <w:r>
              <w:rPr>
                <w:noProof/>
                <w:webHidden/>
              </w:rPr>
              <w:tab/>
            </w:r>
            <w:r>
              <w:rPr>
                <w:noProof/>
                <w:webHidden/>
              </w:rPr>
              <w:fldChar w:fldCharType="begin"/>
            </w:r>
            <w:r>
              <w:rPr>
                <w:noProof/>
                <w:webHidden/>
              </w:rPr>
              <w:instrText xml:space="preserve"> PAGEREF _Toc137831073 \h </w:instrText>
            </w:r>
            <w:r>
              <w:rPr>
                <w:noProof/>
                <w:webHidden/>
              </w:rPr>
            </w:r>
            <w:r>
              <w:rPr>
                <w:noProof/>
                <w:webHidden/>
              </w:rPr>
              <w:fldChar w:fldCharType="separate"/>
            </w:r>
            <w:r>
              <w:rPr>
                <w:noProof/>
                <w:webHidden/>
              </w:rPr>
              <w:t>34</w:t>
            </w:r>
            <w:r>
              <w:rPr>
                <w:noProof/>
                <w:webHidden/>
              </w:rPr>
              <w:fldChar w:fldCharType="end"/>
            </w:r>
          </w:hyperlink>
        </w:p>
        <w:p w14:paraId="1FD6460E" w14:textId="5C0A6DEC"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74" w:history="1">
            <w:r w:rsidRPr="009C43D6">
              <w:rPr>
                <w:rStyle w:val="Hyperlink"/>
                <w:noProof/>
              </w:rPr>
              <w:t>COLLABORATION WITH STAKEHOLDERS</w:t>
            </w:r>
            <w:r>
              <w:rPr>
                <w:noProof/>
                <w:webHidden/>
              </w:rPr>
              <w:tab/>
            </w:r>
            <w:r>
              <w:rPr>
                <w:noProof/>
                <w:webHidden/>
              </w:rPr>
              <w:fldChar w:fldCharType="begin"/>
            </w:r>
            <w:r>
              <w:rPr>
                <w:noProof/>
                <w:webHidden/>
              </w:rPr>
              <w:instrText xml:space="preserve"> PAGEREF _Toc137831074 \h </w:instrText>
            </w:r>
            <w:r>
              <w:rPr>
                <w:noProof/>
                <w:webHidden/>
              </w:rPr>
            </w:r>
            <w:r>
              <w:rPr>
                <w:noProof/>
                <w:webHidden/>
              </w:rPr>
              <w:fldChar w:fldCharType="separate"/>
            </w:r>
            <w:r>
              <w:rPr>
                <w:noProof/>
                <w:webHidden/>
              </w:rPr>
              <w:t>35</w:t>
            </w:r>
            <w:r>
              <w:rPr>
                <w:noProof/>
                <w:webHidden/>
              </w:rPr>
              <w:fldChar w:fldCharType="end"/>
            </w:r>
          </w:hyperlink>
        </w:p>
        <w:p w14:paraId="7A4A4E31" w14:textId="771D1614"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75" w:history="1">
            <w:r w:rsidRPr="009C43D6">
              <w:rPr>
                <w:rStyle w:val="Hyperlink"/>
                <w:noProof/>
              </w:rPr>
              <w:t>PUBLIC RECOGNITION AND TRUST</w:t>
            </w:r>
            <w:r>
              <w:rPr>
                <w:noProof/>
                <w:webHidden/>
              </w:rPr>
              <w:tab/>
            </w:r>
            <w:r>
              <w:rPr>
                <w:noProof/>
                <w:webHidden/>
              </w:rPr>
              <w:fldChar w:fldCharType="begin"/>
            </w:r>
            <w:r>
              <w:rPr>
                <w:noProof/>
                <w:webHidden/>
              </w:rPr>
              <w:instrText xml:space="preserve"> PAGEREF _Toc137831075 \h </w:instrText>
            </w:r>
            <w:r>
              <w:rPr>
                <w:noProof/>
                <w:webHidden/>
              </w:rPr>
            </w:r>
            <w:r>
              <w:rPr>
                <w:noProof/>
                <w:webHidden/>
              </w:rPr>
              <w:fldChar w:fldCharType="separate"/>
            </w:r>
            <w:r>
              <w:rPr>
                <w:noProof/>
                <w:webHidden/>
              </w:rPr>
              <w:t>36</w:t>
            </w:r>
            <w:r>
              <w:rPr>
                <w:noProof/>
                <w:webHidden/>
              </w:rPr>
              <w:fldChar w:fldCharType="end"/>
            </w:r>
          </w:hyperlink>
        </w:p>
        <w:p w14:paraId="0FA6961B" w14:textId="6D15FEB4"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76" w:history="1">
            <w:r w:rsidRPr="009C43D6">
              <w:rPr>
                <w:rStyle w:val="Hyperlink"/>
                <w:noProof/>
              </w:rPr>
              <w:t>CONSTRUCTION AND REHABILITATION OF NRA OFFICES</w:t>
            </w:r>
            <w:r>
              <w:rPr>
                <w:noProof/>
                <w:webHidden/>
              </w:rPr>
              <w:tab/>
            </w:r>
            <w:r>
              <w:rPr>
                <w:noProof/>
                <w:webHidden/>
              </w:rPr>
              <w:fldChar w:fldCharType="begin"/>
            </w:r>
            <w:r>
              <w:rPr>
                <w:noProof/>
                <w:webHidden/>
              </w:rPr>
              <w:instrText xml:space="preserve"> PAGEREF _Toc137831076 \h </w:instrText>
            </w:r>
            <w:r>
              <w:rPr>
                <w:noProof/>
                <w:webHidden/>
              </w:rPr>
            </w:r>
            <w:r>
              <w:rPr>
                <w:noProof/>
                <w:webHidden/>
              </w:rPr>
              <w:fldChar w:fldCharType="separate"/>
            </w:r>
            <w:r>
              <w:rPr>
                <w:noProof/>
                <w:webHidden/>
              </w:rPr>
              <w:t>36</w:t>
            </w:r>
            <w:r>
              <w:rPr>
                <w:noProof/>
                <w:webHidden/>
              </w:rPr>
              <w:fldChar w:fldCharType="end"/>
            </w:r>
          </w:hyperlink>
        </w:p>
        <w:p w14:paraId="04D9374B" w14:textId="2B9C17E0"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77" w:history="1">
            <w:r w:rsidRPr="009C43D6">
              <w:rPr>
                <w:rStyle w:val="Hyperlink"/>
                <w:noProof/>
              </w:rPr>
              <w:t>HUMAN RESOURCE MANAGEMENT</w:t>
            </w:r>
            <w:r>
              <w:rPr>
                <w:noProof/>
                <w:webHidden/>
              </w:rPr>
              <w:tab/>
            </w:r>
            <w:r>
              <w:rPr>
                <w:noProof/>
                <w:webHidden/>
              </w:rPr>
              <w:fldChar w:fldCharType="begin"/>
            </w:r>
            <w:r>
              <w:rPr>
                <w:noProof/>
                <w:webHidden/>
              </w:rPr>
              <w:instrText xml:space="preserve"> PAGEREF _Toc137831077 \h </w:instrText>
            </w:r>
            <w:r>
              <w:rPr>
                <w:noProof/>
                <w:webHidden/>
              </w:rPr>
            </w:r>
            <w:r>
              <w:rPr>
                <w:noProof/>
                <w:webHidden/>
              </w:rPr>
              <w:fldChar w:fldCharType="separate"/>
            </w:r>
            <w:r>
              <w:rPr>
                <w:noProof/>
                <w:webHidden/>
              </w:rPr>
              <w:t>37</w:t>
            </w:r>
            <w:r>
              <w:rPr>
                <w:noProof/>
                <w:webHidden/>
              </w:rPr>
              <w:fldChar w:fldCharType="end"/>
            </w:r>
          </w:hyperlink>
        </w:p>
        <w:p w14:paraId="1C2AF58A" w14:textId="35258B71"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78" w:history="1">
            <w:r w:rsidRPr="009C43D6">
              <w:rPr>
                <w:rStyle w:val="Hyperlink"/>
                <w:noProof/>
              </w:rPr>
              <w:t>Staff Strength</w:t>
            </w:r>
            <w:r>
              <w:rPr>
                <w:noProof/>
                <w:webHidden/>
              </w:rPr>
              <w:tab/>
            </w:r>
            <w:r>
              <w:rPr>
                <w:noProof/>
                <w:webHidden/>
              </w:rPr>
              <w:fldChar w:fldCharType="begin"/>
            </w:r>
            <w:r>
              <w:rPr>
                <w:noProof/>
                <w:webHidden/>
              </w:rPr>
              <w:instrText xml:space="preserve"> PAGEREF _Toc137831078 \h </w:instrText>
            </w:r>
            <w:r>
              <w:rPr>
                <w:noProof/>
                <w:webHidden/>
              </w:rPr>
            </w:r>
            <w:r>
              <w:rPr>
                <w:noProof/>
                <w:webHidden/>
              </w:rPr>
              <w:fldChar w:fldCharType="separate"/>
            </w:r>
            <w:r>
              <w:rPr>
                <w:noProof/>
                <w:webHidden/>
              </w:rPr>
              <w:t>37</w:t>
            </w:r>
            <w:r>
              <w:rPr>
                <w:noProof/>
                <w:webHidden/>
              </w:rPr>
              <w:fldChar w:fldCharType="end"/>
            </w:r>
          </w:hyperlink>
        </w:p>
        <w:p w14:paraId="371A78F0" w14:textId="6B4D91C9"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79" w:history="1">
            <w:r w:rsidRPr="009C43D6">
              <w:rPr>
                <w:rStyle w:val="Hyperlink"/>
                <w:noProof/>
              </w:rPr>
              <w:t>Staff Recruitment and Confirmation</w:t>
            </w:r>
            <w:r>
              <w:rPr>
                <w:noProof/>
                <w:webHidden/>
              </w:rPr>
              <w:tab/>
            </w:r>
            <w:r>
              <w:rPr>
                <w:noProof/>
                <w:webHidden/>
              </w:rPr>
              <w:fldChar w:fldCharType="begin"/>
            </w:r>
            <w:r>
              <w:rPr>
                <w:noProof/>
                <w:webHidden/>
              </w:rPr>
              <w:instrText xml:space="preserve"> PAGEREF _Toc137831079 \h </w:instrText>
            </w:r>
            <w:r>
              <w:rPr>
                <w:noProof/>
                <w:webHidden/>
              </w:rPr>
            </w:r>
            <w:r>
              <w:rPr>
                <w:noProof/>
                <w:webHidden/>
              </w:rPr>
              <w:fldChar w:fldCharType="separate"/>
            </w:r>
            <w:r>
              <w:rPr>
                <w:noProof/>
                <w:webHidden/>
              </w:rPr>
              <w:t>38</w:t>
            </w:r>
            <w:r>
              <w:rPr>
                <w:noProof/>
                <w:webHidden/>
              </w:rPr>
              <w:fldChar w:fldCharType="end"/>
            </w:r>
          </w:hyperlink>
        </w:p>
        <w:p w14:paraId="0D9E65CF" w14:textId="1CC4A81A"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80" w:history="1">
            <w:r w:rsidRPr="009C43D6">
              <w:rPr>
                <w:rStyle w:val="Hyperlink"/>
                <w:noProof/>
              </w:rPr>
              <w:t>Staff Promotion</w:t>
            </w:r>
            <w:r>
              <w:rPr>
                <w:noProof/>
                <w:webHidden/>
              </w:rPr>
              <w:tab/>
            </w:r>
            <w:r>
              <w:rPr>
                <w:noProof/>
                <w:webHidden/>
              </w:rPr>
              <w:fldChar w:fldCharType="begin"/>
            </w:r>
            <w:r>
              <w:rPr>
                <w:noProof/>
                <w:webHidden/>
              </w:rPr>
              <w:instrText xml:space="preserve"> PAGEREF _Toc137831080 \h </w:instrText>
            </w:r>
            <w:r>
              <w:rPr>
                <w:noProof/>
                <w:webHidden/>
              </w:rPr>
            </w:r>
            <w:r>
              <w:rPr>
                <w:noProof/>
                <w:webHidden/>
              </w:rPr>
              <w:fldChar w:fldCharType="separate"/>
            </w:r>
            <w:r>
              <w:rPr>
                <w:noProof/>
                <w:webHidden/>
              </w:rPr>
              <w:t>39</w:t>
            </w:r>
            <w:r>
              <w:rPr>
                <w:noProof/>
                <w:webHidden/>
              </w:rPr>
              <w:fldChar w:fldCharType="end"/>
            </w:r>
          </w:hyperlink>
        </w:p>
        <w:p w14:paraId="10B468C7" w14:textId="1E22888D"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81" w:history="1">
            <w:r w:rsidRPr="009C43D6">
              <w:rPr>
                <w:rStyle w:val="Hyperlink"/>
                <w:noProof/>
              </w:rPr>
              <w:t>Staff Separation</w:t>
            </w:r>
            <w:r>
              <w:rPr>
                <w:noProof/>
                <w:webHidden/>
              </w:rPr>
              <w:tab/>
            </w:r>
            <w:r>
              <w:rPr>
                <w:noProof/>
                <w:webHidden/>
              </w:rPr>
              <w:fldChar w:fldCharType="begin"/>
            </w:r>
            <w:r>
              <w:rPr>
                <w:noProof/>
                <w:webHidden/>
              </w:rPr>
              <w:instrText xml:space="preserve"> PAGEREF _Toc137831081 \h </w:instrText>
            </w:r>
            <w:r>
              <w:rPr>
                <w:noProof/>
                <w:webHidden/>
              </w:rPr>
            </w:r>
            <w:r>
              <w:rPr>
                <w:noProof/>
                <w:webHidden/>
              </w:rPr>
              <w:fldChar w:fldCharType="separate"/>
            </w:r>
            <w:r>
              <w:rPr>
                <w:noProof/>
                <w:webHidden/>
              </w:rPr>
              <w:t>39</w:t>
            </w:r>
            <w:r>
              <w:rPr>
                <w:noProof/>
                <w:webHidden/>
              </w:rPr>
              <w:fldChar w:fldCharType="end"/>
            </w:r>
          </w:hyperlink>
        </w:p>
        <w:p w14:paraId="74246512" w14:textId="3B4A3F42"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82" w:history="1">
            <w:r w:rsidRPr="009C43D6">
              <w:rPr>
                <w:rStyle w:val="Hyperlink"/>
                <w:noProof/>
              </w:rPr>
              <w:t>Training and Capacity Development</w:t>
            </w:r>
            <w:r>
              <w:rPr>
                <w:noProof/>
                <w:webHidden/>
              </w:rPr>
              <w:tab/>
            </w:r>
            <w:r>
              <w:rPr>
                <w:noProof/>
                <w:webHidden/>
              </w:rPr>
              <w:fldChar w:fldCharType="begin"/>
            </w:r>
            <w:r>
              <w:rPr>
                <w:noProof/>
                <w:webHidden/>
              </w:rPr>
              <w:instrText xml:space="preserve"> PAGEREF _Toc137831082 \h </w:instrText>
            </w:r>
            <w:r>
              <w:rPr>
                <w:noProof/>
                <w:webHidden/>
              </w:rPr>
            </w:r>
            <w:r>
              <w:rPr>
                <w:noProof/>
                <w:webHidden/>
              </w:rPr>
              <w:fldChar w:fldCharType="separate"/>
            </w:r>
            <w:r>
              <w:rPr>
                <w:noProof/>
                <w:webHidden/>
              </w:rPr>
              <w:t>40</w:t>
            </w:r>
            <w:r>
              <w:rPr>
                <w:noProof/>
                <w:webHidden/>
              </w:rPr>
              <w:fldChar w:fldCharType="end"/>
            </w:r>
          </w:hyperlink>
        </w:p>
        <w:p w14:paraId="33464805" w14:textId="1A43170F"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83" w:history="1">
            <w:r w:rsidRPr="009C43D6">
              <w:rPr>
                <w:rStyle w:val="Hyperlink"/>
                <w:noProof/>
              </w:rPr>
              <w:t>REVENUE INTELLIGENCE AND INVESTIGATIONS</w:t>
            </w:r>
            <w:r>
              <w:rPr>
                <w:noProof/>
                <w:webHidden/>
              </w:rPr>
              <w:tab/>
            </w:r>
            <w:r>
              <w:rPr>
                <w:noProof/>
                <w:webHidden/>
              </w:rPr>
              <w:fldChar w:fldCharType="begin"/>
            </w:r>
            <w:r>
              <w:rPr>
                <w:noProof/>
                <w:webHidden/>
              </w:rPr>
              <w:instrText xml:space="preserve"> PAGEREF _Toc137831083 \h </w:instrText>
            </w:r>
            <w:r>
              <w:rPr>
                <w:noProof/>
                <w:webHidden/>
              </w:rPr>
            </w:r>
            <w:r>
              <w:rPr>
                <w:noProof/>
                <w:webHidden/>
              </w:rPr>
              <w:fldChar w:fldCharType="separate"/>
            </w:r>
            <w:r>
              <w:rPr>
                <w:noProof/>
                <w:webHidden/>
              </w:rPr>
              <w:t>41</w:t>
            </w:r>
            <w:r>
              <w:rPr>
                <w:noProof/>
                <w:webHidden/>
              </w:rPr>
              <w:fldChar w:fldCharType="end"/>
            </w:r>
          </w:hyperlink>
        </w:p>
        <w:p w14:paraId="2A45B19F" w14:textId="580BCD61"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84" w:history="1">
            <w:r w:rsidRPr="009C43D6">
              <w:rPr>
                <w:rStyle w:val="Hyperlink"/>
                <w:noProof/>
              </w:rPr>
              <w:t>Foreign Currency Declarations for Tax Revenue</w:t>
            </w:r>
            <w:r>
              <w:rPr>
                <w:noProof/>
                <w:webHidden/>
              </w:rPr>
              <w:tab/>
            </w:r>
            <w:r>
              <w:rPr>
                <w:noProof/>
                <w:webHidden/>
              </w:rPr>
              <w:fldChar w:fldCharType="begin"/>
            </w:r>
            <w:r>
              <w:rPr>
                <w:noProof/>
                <w:webHidden/>
              </w:rPr>
              <w:instrText xml:space="preserve"> PAGEREF _Toc137831084 \h </w:instrText>
            </w:r>
            <w:r>
              <w:rPr>
                <w:noProof/>
                <w:webHidden/>
              </w:rPr>
            </w:r>
            <w:r>
              <w:rPr>
                <w:noProof/>
                <w:webHidden/>
              </w:rPr>
              <w:fldChar w:fldCharType="separate"/>
            </w:r>
            <w:r>
              <w:rPr>
                <w:noProof/>
                <w:webHidden/>
              </w:rPr>
              <w:t>42</w:t>
            </w:r>
            <w:r>
              <w:rPr>
                <w:noProof/>
                <w:webHidden/>
              </w:rPr>
              <w:fldChar w:fldCharType="end"/>
            </w:r>
          </w:hyperlink>
        </w:p>
        <w:p w14:paraId="4EBBF761" w14:textId="214B79A5"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85" w:history="1">
            <w:r w:rsidRPr="009C43D6">
              <w:rPr>
                <w:rStyle w:val="Hyperlink"/>
                <w:noProof/>
              </w:rPr>
              <w:t>Implementation of The Whistle-Blowers Policy</w:t>
            </w:r>
            <w:r>
              <w:rPr>
                <w:noProof/>
                <w:webHidden/>
              </w:rPr>
              <w:tab/>
            </w:r>
            <w:r>
              <w:rPr>
                <w:noProof/>
                <w:webHidden/>
              </w:rPr>
              <w:fldChar w:fldCharType="begin"/>
            </w:r>
            <w:r>
              <w:rPr>
                <w:noProof/>
                <w:webHidden/>
              </w:rPr>
              <w:instrText xml:space="preserve"> PAGEREF _Toc137831085 \h </w:instrText>
            </w:r>
            <w:r>
              <w:rPr>
                <w:noProof/>
                <w:webHidden/>
              </w:rPr>
            </w:r>
            <w:r>
              <w:rPr>
                <w:noProof/>
                <w:webHidden/>
              </w:rPr>
              <w:fldChar w:fldCharType="separate"/>
            </w:r>
            <w:r>
              <w:rPr>
                <w:noProof/>
                <w:webHidden/>
              </w:rPr>
              <w:t>42</w:t>
            </w:r>
            <w:r>
              <w:rPr>
                <w:noProof/>
                <w:webHidden/>
              </w:rPr>
              <w:fldChar w:fldCharType="end"/>
            </w:r>
          </w:hyperlink>
        </w:p>
        <w:p w14:paraId="1C0E1D2E" w14:textId="76BA8629"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86" w:history="1">
            <w:r w:rsidRPr="009C43D6">
              <w:rPr>
                <w:rStyle w:val="Hyperlink"/>
                <w:noProof/>
              </w:rPr>
              <w:t>Intelligence and Revenue Investigations on Delinquent Taxpayers</w:t>
            </w:r>
            <w:r>
              <w:rPr>
                <w:noProof/>
                <w:webHidden/>
              </w:rPr>
              <w:tab/>
            </w:r>
            <w:r>
              <w:rPr>
                <w:noProof/>
                <w:webHidden/>
              </w:rPr>
              <w:fldChar w:fldCharType="begin"/>
            </w:r>
            <w:r>
              <w:rPr>
                <w:noProof/>
                <w:webHidden/>
              </w:rPr>
              <w:instrText xml:space="preserve"> PAGEREF _Toc137831086 \h </w:instrText>
            </w:r>
            <w:r>
              <w:rPr>
                <w:noProof/>
                <w:webHidden/>
              </w:rPr>
            </w:r>
            <w:r>
              <w:rPr>
                <w:noProof/>
                <w:webHidden/>
              </w:rPr>
              <w:fldChar w:fldCharType="separate"/>
            </w:r>
            <w:r>
              <w:rPr>
                <w:noProof/>
                <w:webHidden/>
              </w:rPr>
              <w:t>42</w:t>
            </w:r>
            <w:r>
              <w:rPr>
                <w:noProof/>
                <w:webHidden/>
              </w:rPr>
              <w:fldChar w:fldCharType="end"/>
            </w:r>
          </w:hyperlink>
        </w:p>
        <w:p w14:paraId="6482387D" w14:textId="0698B0BC"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87" w:history="1">
            <w:r w:rsidRPr="009C43D6">
              <w:rPr>
                <w:rStyle w:val="Hyperlink"/>
                <w:noProof/>
              </w:rPr>
              <w:t>Licencing of Clearing and Forwarding Agencies</w:t>
            </w:r>
            <w:r>
              <w:rPr>
                <w:noProof/>
                <w:webHidden/>
              </w:rPr>
              <w:tab/>
            </w:r>
            <w:r>
              <w:rPr>
                <w:noProof/>
                <w:webHidden/>
              </w:rPr>
              <w:fldChar w:fldCharType="begin"/>
            </w:r>
            <w:r>
              <w:rPr>
                <w:noProof/>
                <w:webHidden/>
              </w:rPr>
              <w:instrText xml:space="preserve"> PAGEREF _Toc137831087 \h </w:instrText>
            </w:r>
            <w:r>
              <w:rPr>
                <w:noProof/>
                <w:webHidden/>
              </w:rPr>
            </w:r>
            <w:r>
              <w:rPr>
                <w:noProof/>
                <w:webHidden/>
              </w:rPr>
              <w:fldChar w:fldCharType="separate"/>
            </w:r>
            <w:r>
              <w:rPr>
                <w:noProof/>
                <w:webHidden/>
              </w:rPr>
              <w:t>42</w:t>
            </w:r>
            <w:r>
              <w:rPr>
                <w:noProof/>
                <w:webHidden/>
              </w:rPr>
              <w:fldChar w:fldCharType="end"/>
            </w:r>
          </w:hyperlink>
        </w:p>
        <w:p w14:paraId="72BDF7E3" w14:textId="77EAC989"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88" w:history="1">
            <w:r w:rsidRPr="009C43D6">
              <w:rPr>
                <w:rStyle w:val="Hyperlink"/>
                <w:noProof/>
              </w:rPr>
              <w:t>INTERNAL AFFAIRS UNIT (IAU)</w:t>
            </w:r>
            <w:r>
              <w:rPr>
                <w:noProof/>
                <w:webHidden/>
              </w:rPr>
              <w:tab/>
            </w:r>
            <w:r>
              <w:rPr>
                <w:noProof/>
                <w:webHidden/>
              </w:rPr>
              <w:fldChar w:fldCharType="begin"/>
            </w:r>
            <w:r>
              <w:rPr>
                <w:noProof/>
                <w:webHidden/>
              </w:rPr>
              <w:instrText xml:space="preserve"> PAGEREF _Toc137831088 \h </w:instrText>
            </w:r>
            <w:r>
              <w:rPr>
                <w:noProof/>
                <w:webHidden/>
              </w:rPr>
            </w:r>
            <w:r>
              <w:rPr>
                <w:noProof/>
                <w:webHidden/>
              </w:rPr>
              <w:fldChar w:fldCharType="separate"/>
            </w:r>
            <w:r>
              <w:rPr>
                <w:noProof/>
                <w:webHidden/>
              </w:rPr>
              <w:t>43</w:t>
            </w:r>
            <w:r>
              <w:rPr>
                <w:noProof/>
                <w:webHidden/>
              </w:rPr>
              <w:fldChar w:fldCharType="end"/>
            </w:r>
          </w:hyperlink>
        </w:p>
        <w:p w14:paraId="7CDBAF8E" w14:textId="0634713A"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89" w:history="1">
            <w:r w:rsidRPr="009C43D6">
              <w:rPr>
                <w:rStyle w:val="Hyperlink"/>
                <w:noProof/>
              </w:rPr>
              <w:t>Credibility Checks of Staff on Adherence to their Standard Operating Procedures</w:t>
            </w:r>
            <w:r>
              <w:rPr>
                <w:noProof/>
                <w:webHidden/>
              </w:rPr>
              <w:tab/>
            </w:r>
            <w:r>
              <w:rPr>
                <w:noProof/>
                <w:webHidden/>
              </w:rPr>
              <w:fldChar w:fldCharType="begin"/>
            </w:r>
            <w:r>
              <w:rPr>
                <w:noProof/>
                <w:webHidden/>
              </w:rPr>
              <w:instrText xml:space="preserve"> PAGEREF _Toc137831089 \h </w:instrText>
            </w:r>
            <w:r>
              <w:rPr>
                <w:noProof/>
                <w:webHidden/>
              </w:rPr>
            </w:r>
            <w:r>
              <w:rPr>
                <w:noProof/>
                <w:webHidden/>
              </w:rPr>
              <w:fldChar w:fldCharType="separate"/>
            </w:r>
            <w:r>
              <w:rPr>
                <w:noProof/>
                <w:webHidden/>
              </w:rPr>
              <w:t>43</w:t>
            </w:r>
            <w:r>
              <w:rPr>
                <w:noProof/>
                <w:webHidden/>
              </w:rPr>
              <w:fldChar w:fldCharType="end"/>
            </w:r>
          </w:hyperlink>
        </w:p>
        <w:p w14:paraId="12EAD09A" w14:textId="484EEA9A"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90" w:history="1">
            <w:r w:rsidRPr="009C43D6">
              <w:rPr>
                <w:rStyle w:val="Hyperlink"/>
                <w:noProof/>
              </w:rPr>
              <w:t>Domestic Tax Integrity Perception Survey (DIPS)</w:t>
            </w:r>
            <w:r>
              <w:rPr>
                <w:noProof/>
                <w:webHidden/>
              </w:rPr>
              <w:tab/>
            </w:r>
            <w:r>
              <w:rPr>
                <w:noProof/>
                <w:webHidden/>
              </w:rPr>
              <w:fldChar w:fldCharType="begin"/>
            </w:r>
            <w:r>
              <w:rPr>
                <w:noProof/>
                <w:webHidden/>
              </w:rPr>
              <w:instrText xml:space="preserve"> PAGEREF _Toc137831090 \h </w:instrText>
            </w:r>
            <w:r>
              <w:rPr>
                <w:noProof/>
                <w:webHidden/>
              </w:rPr>
            </w:r>
            <w:r>
              <w:rPr>
                <w:noProof/>
                <w:webHidden/>
              </w:rPr>
              <w:fldChar w:fldCharType="separate"/>
            </w:r>
            <w:r>
              <w:rPr>
                <w:noProof/>
                <w:webHidden/>
              </w:rPr>
              <w:t>44</w:t>
            </w:r>
            <w:r>
              <w:rPr>
                <w:noProof/>
                <w:webHidden/>
              </w:rPr>
              <w:fldChar w:fldCharType="end"/>
            </w:r>
          </w:hyperlink>
        </w:p>
        <w:p w14:paraId="55515AB8" w14:textId="53D56801"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91" w:history="1">
            <w:r w:rsidRPr="009C43D6">
              <w:rPr>
                <w:rStyle w:val="Hyperlink"/>
                <w:noProof/>
              </w:rPr>
              <w:t>A-CIP Programme of the World Customs Organisation</w:t>
            </w:r>
            <w:r>
              <w:rPr>
                <w:noProof/>
                <w:webHidden/>
              </w:rPr>
              <w:tab/>
            </w:r>
            <w:r>
              <w:rPr>
                <w:noProof/>
                <w:webHidden/>
              </w:rPr>
              <w:fldChar w:fldCharType="begin"/>
            </w:r>
            <w:r>
              <w:rPr>
                <w:noProof/>
                <w:webHidden/>
              </w:rPr>
              <w:instrText xml:space="preserve"> PAGEREF _Toc137831091 \h </w:instrText>
            </w:r>
            <w:r>
              <w:rPr>
                <w:noProof/>
                <w:webHidden/>
              </w:rPr>
            </w:r>
            <w:r>
              <w:rPr>
                <w:noProof/>
                <w:webHidden/>
              </w:rPr>
              <w:fldChar w:fldCharType="separate"/>
            </w:r>
            <w:r>
              <w:rPr>
                <w:noProof/>
                <w:webHidden/>
              </w:rPr>
              <w:t>44</w:t>
            </w:r>
            <w:r>
              <w:rPr>
                <w:noProof/>
                <w:webHidden/>
              </w:rPr>
              <w:fldChar w:fldCharType="end"/>
            </w:r>
          </w:hyperlink>
        </w:p>
        <w:p w14:paraId="2D121638" w14:textId="3472986B"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92" w:history="1">
            <w:r w:rsidRPr="009C43D6">
              <w:rPr>
                <w:rStyle w:val="Hyperlink"/>
                <w:noProof/>
              </w:rPr>
              <w:t>National Anti-Corruption Strategy (NACS)</w:t>
            </w:r>
            <w:r>
              <w:rPr>
                <w:noProof/>
                <w:webHidden/>
              </w:rPr>
              <w:tab/>
            </w:r>
            <w:r>
              <w:rPr>
                <w:noProof/>
                <w:webHidden/>
              </w:rPr>
              <w:fldChar w:fldCharType="begin"/>
            </w:r>
            <w:r>
              <w:rPr>
                <w:noProof/>
                <w:webHidden/>
              </w:rPr>
              <w:instrText xml:space="preserve"> PAGEREF _Toc137831092 \h </w:instrText>
            </w:r>
            <w:r>
              <w:rPr>
                <w:noProof/>
                <w:webHidden/>
              </w:rPr>
            </w:r>
            <w:r>
              <w:rPr>
                <w:noProof/>
                <w:webHidden/>
              </w:rPr>
              <w:fldChar w:fldCharType="separate"/>
            </w:r>
            <w:r>
              <w:rPr>
                <w:noProof/>
                <w:webHidden/>
              </w:rPr>
              <w:t>45</w:t>
            </w:r>
            <w:r>
              <w:rPr>
                <w:noProof/>
                <w:webHidden/>
              </w:rPr>
              <w:fldChar w:fldCharType="end"/>
            </w:r>
          </w:hyperlink>
        </w:p>
        <w:p w14:paraId="29EB1FDD" w14:textId="3114E051"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93" w:history="1">
            <w:r w:rsidRPr="009C43D6">
              <w:rPr>
                <w:rStyle w:val="Hyperlink"/>
                <w:noProof/>
              </w:rPr>
              <w:t>INFORMATION, COMMUNICATION AND TECHNOLOGY REFORMS</w:t>
            </w:r>
            <w:r>
              <w:rPr>
                <w:noProof/>
                <w:webHidden/>
              </w:rPr>
              <w:tab/>
            </w:r>
            <w:r>
              <w:rPr>
                <w:noProof/>
                <w:webHidden/>
              </w:rPr>
              <w:fldChar w:fldCharType="begin"/>
            </w:r>
            <w:r>
              <w:rPr>
                <w:noProof/>
                <w:webHidden/>
              </w:rPr>
              <w:instrText xml:space="preserve"> PAGEREF _Toc137831093 \h </w:instrText>
            </w:r>
            <w:r>
              <w:rPr>
                <w:noProof/>
                <w:webHidden/>
              </w:rPr>
            </w:r>
            <w:r>
              <w:rPr>
                <w:noProof/>
                <w:webHidden/>
              </w:rPr>
              <w:fldChar w:fldCharType="separate"/>
            </w:r>
            <w:r>
              <w:rPr>
                <w:noProof/>
                <w:webHidden/>
              </w:rPr>
              <w:t>45</w:t>
            </w:r>
            <w:r>
              <w:rPr>
                <w:noProof/>
                <w:webHidden/>
              </w:rPr>
              <w:fldChar w:fldCharType="end"/>
            </w:r>
          </w:hyperlink>
        </w:p>
        <w:p w14:paraId="3C3219A2" w14:textId="10DB94F2"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94" w:history="1">
            <w:r w:rsidRPr="009C43D6">
              <w:rPr>
                <w:rStyle w:val="Hyperlink"/>
                <w:noProof/>
              </w:rPr>
              <w:t>Software Unit</w:t>
            </w:r>
            <w:r>
              <w:rPr>
                <w:noProof/>
                <w:webHidden/>
              </w:rPr>
              <w:tab/>
            </w:r>
            <w:r>
              <w:rPr>
                <w:noProof/>
                <w:webHidden/>
              </w:rPr>
              <w:fldChar w:fldCharType="begin"/>
            </w:r>
            <w:r>
              <w:rPr>
                <w:noProof/>
                <w:webHidden/>
              </w:rPr>
              <w:instrText xml:space="preserve"> PAGEREF _Toc137831094 \h </w:instrText>
            </w:r>
            <w:r>
              <w:rPr>
                <w:noProof/>
                <w:webHidden/>
              </w:rPr>
            </w:r>
            <w:r>
              <w:rPr>
                <w:noProof/>
                <w:webHidden/>
              </w:rPr>
              <w:fldChar w:fldCharType="separate"/>
            </w:r>
            <w:r>
              <w:rPr>
                <w:noProof/>
                <w:webHidden/>
              </w:rPr>
              <w:t>45</w:t>
            </w:r>
            <w:r>
              <w:rPr>
                <w:noProof/>
                <w:webHidden/>
              </w:rPr>
              <w:fldChar w:fldCharType="end"/>
            </w:r>
          </w:hyperlink>
        </w:p>
        <w:p w14:paraId="690E261A" w14:textId="3BB5BDC6"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95" w:history="1">
            <w:r w:rsidRPr="009C43D6">
              <w:rPr>
                <w:rStyle w:val="Hyperlink"/>
                <w:noProof/>
              </w:rPr>
              <w:t>Helpdesk Unit</w:t>
            </w:r>
            <w:r>
              <w:rPr>
                <w:noProof/>
                <w:webHidden/>
              </w:rPr>
              <w:tab/>
            </w:r>
            <w:r>
              <w:rPr>
                <w:noProof/>
                <w:webHidden/>
              </w:rPr>
              <w:fldChar w:fldCharType="begin"/>
            </w:r>
            <w:r>
              <w:rPr>
                <w:noProof/>
                <w:webHidden/>
              </w:rPr>
              <w:instrText xml:space="preserve"> PAGEREF _Toc137831095 \h </w:instrText>
            </w:r>
            <w:r>
              <w:rPr>
                <w:noProof/>
                <w:webHidden/>
              </w:rPr>
            </w:r>
            <w:r>
              <w:rPr>
                <w:noProof/>
                <w:webHidden/>
              </w:rPr>
              <w:fldChar w:fldCharType="separate"/>
            </w:r>
            <w:r>
              <w:rPr>
                <w:noProof/>
                <w:webHidden/>
              </w:rPr>
              <w:t>46</w:t>
            </w:r>
            <w:r>
              <w:rPr>
                <w:noProof/>
                <w:webHidden/>
              </w:rPr>
              <w:fldChar w:fldCharType="end"/>
            </w:r>
          </w:hyperlink>
        </w:p>
        <w:p w14:paraId="5ED8B3DF" w14:textId="03845276"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96" w:history="1">
            <w:r w:rsidRPr="009C43D6">
              <w:rPr>
                <w:rStyle w:val="Hyperlink"/>
                <w:noProof/>
              </w:rPr>
              <w:t>Infrastructure Unit</w:t>
            </w:r>
            <w:r>
              <w:rPr>
                <w:noProof/>
                <w:webHidden/>
              </w:rPr>
              <w:tab/>
            </w:r>
            <w:r>
              <w:rPr>
                <w:noProof/>
                <w:webHidden/>
              </w:rPr>
              <w:fldChar w:fldCharType="begin"/>
            </w:r>
            <w:r>
              <w:rPr>
                <w:noProof/>
                <w:webHidden/>
              </w:rPr>
              <w:instrText xml:space="preserve"> PAGEREF _Toc137831096 \h </w:instrText>
            </w:r>
            <w:r>
              <w:rPr>
                <w:noProof/>
                <w:webHidden/>
              </w:rPr>
            </w:r>
            <w:r>
              <w:rPr>
                <w:noProof/>
                <w:webHidden/>
              </w:rPr>
              <w:fldChar w:fldCharType="separate"/>
            </w:r>
            <w:r>
              <w:rPr>
                <w:noProof/>
                <w:webHidden/>
              </w:rPr>
              <w:t>46</w:t>
            </w:r>
            <w:r>
              <w:rPr>
                <w:noProof/>
                <w:webHidden/>
              </w:rPr>
              <w:fldChar w:fldCharType="end"/>
            </w:r>
          </w:hyperlink>
        </w:p>
        <w:p w14:paraId="3A795897" w14:textId="4BBB4476"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097" w:history="1">
            <w:r w:rsidRPr="009C43D6">
              <w:rPr>
                <w:rStyle w:val="Hyperlink"/>
                <w:noProof/>
              </w:rPr>
              <w:t>Security Unit</w:t>
            </w:r>
            <w:r>
              <w:rPr>
                <w:noProof/>
                <w:webHidden/>
              </w:rPr>
              <w:tab/>
            </w:r>
            <w:r>
              <w:rPr>
                <w:noProof/>
                <w:webHidden/>
              </w:rPr>
              <w:fldChar w:fldCharType="begin"/>
            </w:r>
            <w:r>
              <w:rPr>
                <w:noProof/>
                <w:webHidden/>
              </w:rPr>
              <w:instrText xml:space="preserve"> PAGEREF _Toc137831097 \h </w:instrText>
            </w:r>
            <w:r>
              <w:rPr>
                <w:noProof/>
                <w:webHidden/>
              </w:rPr>
            </w:r>
            <w:r>
              <w:rPr>
                <w:noProof/>
                <w:webHidden/>
              </w:rPr>
              <w:fldChar w:fldCharType="separate"/>
            </w:r>
            <w:r>
              <w:rPr>
                <w:noProof/>
                <w:webHidden/>
              </w:rPr>
              <w:t>46</w:t>
            </w:r>
            <w:r>
              <w:rPr>
                <w:noProof/>
                <w:webHidden/>
              </w:rPr>
              <w:fldChar w:fldCharType="end"/>
            </w:r>
          </w:hyperlink>
        </w:p>
        <w:p w14:paraId="5C4865E1" w14:textId="3AF3D35C" w:rsidR="009C1DE7" w:rsidRDefault="009C1DE7" w:rsidP="009C1DE7">
          <w:pPr>
            <w:pStyle w:val="TOC1"/>
            <w:rPr>
              <w:rFonts w:asciiTheme="minorHAnsi" w:eastAsiaTheme="minorEastAsia" w:hAnsiTheme="minorHAnsi" w:cstheme="minorBidi"/>
              <w:noProof/>
              <w:kern w:val="2"/>
              <w:sz w:val="24"/>
              <w:szCs w:val="24"/>
              <w:lang w:val="en-CA"/>
              <w14:ligatures w14:val="standardContextual"/>
            </w:rPr>
          </w:pPr>
          <w:hyperlink w:anchor="_Toc137831098" w:history="1">
            <w:r w:rsidRPr="009C43D6">
              <w:rPr>
                <w:rStyle w:val="Hyperlink"/>
                <w:noProof/>
              </w:rPr>
              <w:t>CHAPTER FOUR: SPECIAL RELEVANCE STATISTICS</w:t>
            </w:r>
            <w:r>
              <w:rPr>
                <w:noProof/>
                <w:webHidden/>
              </w:rPr>
              <w:tab/>
            </w:r>
            <w:r>
              <w:rPr>
                <w:noProof/>
                <w:webHidden/>
              </w:rPr>
              <w:fldChar w:fldCharType="begin"/>
            </w:r>
            <w:r>
              <w:rPr>
                <w:noProof/>
                <w:webHidden/>
              </w:rPr>
              <w:instrText xml:space="preserve"> PAGEREF _Toc137831098 \h </w:instrText>
            </w:r>
            <w:r>
              <w:rPr>
                <w:noProof/>
                <w:webHidden/>
              </w:rPr>
            </w:r>
            <w:r>
              <w:rPr>
                <w:noProof/>
                <w:webHidden/>
              </w:rPr>
              <w:fldChar w:fldCharType="separate"/>
            </w:r>
            <w:r>
              <w:rPr>
                <w:noProof/>
                <w:webHidden/>
              </w:rPr>
              <w:t>47</w:t>
            </w:r>
            <w:r>
              <w:rPr>
                <w:noProof/>
                <w:webHidden/>
              </w:rPr>
              <w:fldChar w:fldCharType="end"/>
            </w:r>
          </w:hyperlink>
        </w:p>
        <w:p w14:paraId="60795E73" w14:textId="2A505032"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099" w:history="1">
            <w:r w:rsidRPr="009C43D6">
              <w:rPr>
                <w:rStyle w:val="Hyperlink"/>
                <w:noProof/>
              </w:rPr>
              <w:t>IMPORT STATISTICS</w:t>
            </w:r>
            <w:r>
              <w:rPr>
                <w:noProof/>
                <w:webHidden/>
              </w:rPr>
              <w:tab/>
            </w:r>
            <w:r>
              <w:rPr>
                <w:noProof/>
                <w:webHidden/>
              </w:rPr>
              <w:fldChar w:fldCharType="begin"/>
            </w:r>
            <w:r>
              <w:rPr>
                <w:noProof/>
                <w:webHidden/>
              </w:rPr>
              <w:instrText xml:space="preserve"> PAGEREF _Toc137831099 \h </w:instrText>
            </w:r>
            <w:r>
              <w:rPr>
                <w:noProof/>
                <w:webHidden/>
              </w:rPr>
            </w:r>
            <w:r>
              <w:rPr>
                <w:noProof/>
                <w:webHidden/>
              </w:rPr>
              <w:fldChar w:fldCharType="separate"/>
            </w:r>
            <w:r>
              <w:rPr>
                <w:noProof/>
                <w:webHidden/>
              </w:rPr>
              <w:t>47</w:t>
            </w:r>
            <w:r>
              <w:rPr>
                <w:noProof/>
                <w:webHidden/>
              </w:rPr>
              <w:fldChar w:fldCharType="end"/>
            </w:r>
          </w:hyperlink>
        </w:p>
        <w:p w14:paraId="2B294954" w14:textId="2AFD9231"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100" w:history="1">
            <w:r w:rsidRPr="009C43D6">
              <w:rPr>
                <w:rStyle w:val="Hyperlink"/>
                <w:noProof/>
              </w:rPr>
              <w:t>CUSTOMS RISK MANAGEMENT ACTIVITIES</w:t>
            </w:r>
            <w:r>
              <w:rPr>
                <w:noProof/>
                <w:webHidden/>
              </w:rPr>
              <w:tab/>
            </w:r>
            <w:r>
              <w:rPr>
                <w:noProof/>
                <w:webHidden/>
              </w:rPr>
              <w:fldChar w:fldCharType="begin"/>
            </w:r>
            <w:r>
              <w:rPr>
                <w:noProof/>
                <w:webHidden/>
              </w:rPr>
              <w:instrText xml:space="preserve"> PAGEREF _Toc137831100 \h </w:instrText>
            </w:r>
            <w:r>
              <w:rPr>
                <w:noProof/>
                <w:webHidden/>
              </w:rPr>
            </w:r>
            <w:r>
              <w:rPr>
                <w:noProof/>
                <w:webHidden/>
              </w:rPr>
              <w:fldChar w:fldCharType="separate"/>
            </w:r>
            <w:r>
              <w:rPr>
                <w:noProof/>
                <w:webHidden/>
              </w:rPr>
              <w:t>49</w:t>
            </w:r>
            <w:r>
              <w:rPr>
                <w:noProof/>
                <w:webHidden/>
              </w:rPr>
              <w:fldChar w:fldCharType="end"/>
            </w:r>
          </w:hyperlink>
        </w:p>
        <w:p w14:paraId="69EEF667" w14:textId="47639550"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01" w:history="1">
            <w:r w:rsidRPr="009C43D6">
              <w:rPr>
                <w:rStyle w:val="Hyperlink"/>
                <w:noProof/>
              </w:rPr>
              <w:t>Additional Revenue Raised from RMU Interventions</w:t>
            </w:r>
            <w:r>
              <w:rPr>
                <w:noProof/>
                <w:webHidden/>
              </w:rPr>
              <w:tab/>
            </w:r>
            <w:r>
              <w:rPr>
                <w:noProof/>
                <w:webHidden/>
              </w:rPr>
              <w:fldChar w:fldCharType="begin"/>
            </w:r>
            <w:r>
              <w:rPr>
                <w:noProof/>
                <w:webHidden/>
              </w:rPr>
              <w:instrText xml:space="preserve"> PAGEREF _Toc137831101 \h </w:instrText>
            </w:r>
            <w:r>
              <w:rPr>
                <w:noProof/>
                <w:webHidden/>
              </w:rPr>
            </w:r>
            <w:r>
              <w:rPr>
                <w:noProof/>
                <w:webHidden/>
              </w:rPr>
              <w:fldChar w:fldCharType="separate"/>
            </w:r>
            <w:r>
              <w:rPr>
                <w:noProof/>
                <w:webHidden/>
              </w:rPr>
              <w:t>49</w:t>
            </w:r>
            <w:r>
              <w:rPr>
                <w:noProof/>
                <w:webHidden/>
              </w:rPr>
              <w:fldChar w:fldCharType="end"/>
            </w:r>
          </w:hyperlink>
        </w:p>
        <w:p w14:paraId="0F6FB3EC" w14:textId="03C462A4"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02" w:history="1">
            <w:r w:rsidRPr="009C43D6">
              <w:rPr>
                <w:rStyle w:val="Hyperlink"/>
                <w:noProof/>
              </w:rPr>
              <w:t>Risk Profiling</w:t>
            </w:r>
            <w:r>
              <w:rPr>
                <w:noProof/>
                <w:webHidden/>
              </w:rPr>
              <w:tab/>
            </w:r>
            <w:r>
              <w:rPr>
                <w:noProof/>
                <w:webHidden/>
              </w:rPr>
              <w:fldChar w:fldCharType="begin"/>
            </w:r>
            <w:r>
              <w:rPr>
                <w:noProof/>
                <w:webHidden/>
              </w:rPr>
              <w:instrText xml:space="preserve"> PAGEREF _Toc137831102 \h </w:instrText>
            </w:r>
            <w:r>
              <w:rPr>
                <w:noProof/>
                <w:webHidden/>
              </w:rPr>
            </w:r>
            <w:r>
              <w:rPr>
                <w:noProof/>
                <w:webHidden/>
              </w:rPr>
              <w:fldChar w:fldCharType="separate"/>
            </w:r>
            <w:r>
              <w:rPr>
                <w:noProof/>
                <w:webHidden/>
              </w:rPr>
              <w:t>50</w:t>
            </w:r>
            <w:r>
              <w:rPr>
                <w:noProof/>
                <w:webHidden/>
              </w:rPr>
              <w:fldChar w:fldCharType="end"/>
            </w:r>
          </w:hyperlink>
        </w:p>
        <w:p w14:paraId="4B562ACB" w14:textId="0926B9C7"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03" w:history="1">
            <w:r w:rsidRPr="009C43D6">
              <w:rPr>
                <w:rStyle w:val="Hyperlink"/>
                <w:noProof/>
              </w:rPr>
              <w:t>Anti-Smuggling Operations</w:t>
            </w:r>
            <w:r>
              <w:rPr>
                <w:noProof/>
                <w:webHidden/>
              </w:rPr>
              <w:tab/>
            </w:r>
            <w:r>
              <w:rPr>
                <w:noProof/>
                <w:webHidden/>
              </w:rPr>
              <w:fldChar w:fldCharType="begin"/>
            </w:r>
            <w:r>
              <w:rPr>
                <w:noProof/>
                <w:webHidden/>
              </w:rPr>
              <w:instrText xml:space="preserve"> PAGEREF _Toc137831103 \h </w:instrText>
            </w:r>
            <w:r>
              <w:rPr>
                <w:noProof/>
                <w:webHidden/>
              </w:rPr>
            </w:r>
            <w:r>
              <w:rPr>
                <w:noProof/>
                <w:webHidden/>
              </w:rPr>
              <w:fldChar w:fldCharType="separate"/>
            </w:r>
            <w:r>
              <w:rPr>
                <w:noProof/>
                <w:webHidden/>
              </w:rPr>
              <w:t>51</w:t>
            </w:r>
            <w:r>
              <w:rPr>
                <w:noProof/>
                <w:webHidden/>
              </w:rPr>
              <w:fldChar w:fldCharType="end"/>
            </w:r>
          </w:hyperlink>
        </w:p>
        <w:p w14:paraId="43B48137" w14:textId="645D3407"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04" w:history="1">
            <w:r w:rsidRPr="009C43D6">
              <w:rPr>
                <w:rStyle w:val="Hyperlink"/>
                <w:noProof/>
              </w:rPr>
              <w:t>Post Clearance Audit (PCA) Activities</w:t>
            </w:r>
            <w:r>
              <w:rPr>
                <w:noProof/>
                <w:webHidden/>
              </w:rPr>
              <w:tab/>
            </w:r>
            <w:r>
              <w:rPr>
                <w:noProof/>
                <w:webHidden/>
              </w:rPr>
              <w:fldChar w:fldCharType="begin"/>
            </w:r>
            <w:r>
              <w:rPr>
                <w:noProof/>
                <w:webHidden/>
              </w:rPr>
              <w:instrText xml:space="preserve"> PAGEREF _Toc137831104 \h </w:instrText>
            </w:r>
            <w:r>
              <w:rPr>
                <w:noProof/>
                <w:webHidden/>
              </w:rPr>
            </w:r>
            <w:r>
              <w:rPr>
                <w:noProof/>
                <w:webHidden/>
              </w:rPr>
              <w:fldChar w:fldCharType="separate"/>
            </w:r>
            <w:r>
              <w:rPr>
                <w:noProof/>
                <w:webHidden/>
              </w:rPr>
              <w:t>51</w:t>
            </w:r>
            <w:r>
              <w:rPr>
                <w:noProof/>
                <w:webHidden/>
              </w:rPr>
              <w:fldChar w:fldCharType="end"/>
            </w:r>
          </w:hyperlink>
        </w:p>
        <w:p w14:paraId="7ECE0227" w14:textId="75031834"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105" w:history="1">
            <w:r w:rsidRPr="009C43D6">
              <w:rPr>
                <w:rStyle w:val="Hyperlink"/>
                <w:noProof/>
              </w:rPr>
              <w:t>OTHER CUSTOMS ACTIVITES</w:t>
            </w:r>
            <w:r>
              <w:rPr>
                <w:noProof/>
                <w:webHidden/>
              </w:rPr>
              <w:tab/>
            </w:r>
            <w:r>
              <w:rPr>
                <w:noProof/>
                <w:webHidden/>
              </w:rPr>
              <w:fldChar w:fldCharType="begin"/>
            </w:r>
            <w:r>
              <w:rPr>
                <w:noProof/>
                <w:webHidden/>
              </w:rPr>
              <w:instrText xml:space="preserve"> PAGEREF _Toc137831105 \h </w:instrText>
            </w:r>
            <w:r>
              <w:rPr>
                <w:noProof/>
                <w:webHidden/>
              </w:rPr>
            </w:r>
            <w:r>
              <w:rPr>
                <w:noProof/>
                <w:webHidden/>
              </w:rPr>
              <w:fldChar w:fldCharType="separate"/>
            </w:r>
            <w:r>
              <w:rPr>
                <w:noProof/>
                <w:webHidden/>
              </w:rPr>
              <w:t>51</w:t>
            </w:r>
            <w:r>
              <w:rPr>
                <w:noProof/>
                <w:webHidden/>
              </w:rPr>
              <w:fldChar w:fldCharType="end"/>
            </w:r>
          </w:hyperlink>
        </w:p>
        <w:p w14:paraId="403596F1" w14:textId="5A137B4F"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06" w:history="1">
            <w:r w:rsidRPr="009C43D6">
              <w:rPr>
                <w:rStyle w:val="Hyperlink"/>
                <w:noProof/>
              </w:rPr>
              <w:t>Debt Recovery and Management</w:t>
            </w:r>
            <w:r>
              <w:rPr>
                <w:noProof/>
                <w:webHidden/>
              </w:rPr>
              <w:tab/>
            </w:r>
            <w:r>
              <w:rPr>
                <w:noProof/>
                <w:webHidden/>
              </w:rPr>
              <w:fldChar w:fldCharType="begin"/>
            </w:r>
            <w:r>
              <w:rPr>
                <w:noProof/>
                <w:webHidden/>
              </w:rPr>
              <w:instrText xml:space="preserve"> PAGEREF _Toc137831106 \h </w:instrText>
            </w:r>
            <w:r>
              <w:rPr>
                <w:noProof/>
                <w:webHidden/>
              </w:rPr>
            </w:r>
            <w:r>
              <w:rPr>
                <w:noProof/>
                <w:webHidden/>
              </w:rPr>
              <w:fldChar w:fldCharType="separate"/>
            </w:r>
            <w:r>
              <w:rPr>
                <w:noProof/>
                <w:webHidden/>
              </w:rPr>
              <w:t>51</w:t>
            </w:r>
            <w:r>
              <w:rPr>
                <w:noProof/>
                <w:webHidden/>
              </w:rPr>
              <w:fldChar w:fldCharType="end"/>
            </w:r>
          </w:hyperlink>
        </w:p>
        <w:p w14:paraId="62EC704B" w14:textId="427BA0C9"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07" w:history="1">
            <w:r w:rsidRPr="009C43D6">
              <w:rPr>
                <w:rStyle w:val="Hyperlink"/>
                <w:noProof/>
              </w:rPr>
              <w:t>Trade and Tariff Unit</w:t>
            </w:r>
            <w:r>
              <w:rPr>
                <w:noProof/>
                <w:webHidden/>
              </w:rPr>
              <w:tab/>
            </w:r>
            <w:r>
              <w:rPr>
                <w:noProof/>
                <w:webHidden/>
              </w:rPr>
              <w:fldChar w:fldCharType="begin"/>
            </w:r>
            <w:r>
              <w:rPr>
                <w:noProof/>
                <w:webHidden/>
              </w:rPr>
              <w:instrText xml:space="preserve"> PAGEREF _Toc137831107 \h </w:instrText>
            </w:r>
            <w:r>
              <w:rPr>
                <w:noProof/>
                <w:webHidden/>
              </w:rPr>
            </w:r>
            <w:r>
              <w:rPr>
                <w:noProof/>
                <w:webHidden/>
              </w:rPr>
              <w:fldChar w:fldCharType="separate"/>
            </w:r>
            <w:r>
              <w:rPr>
                <w:noProof/>
                <w:webHidden/>
              </w:rPr>
              <w:t>52</w:t>
            </w:r>
            <w:r>
              <w:rPr>
                <w:noProof/>
                <w:webHidden/>
              </w:rPr>
              <w:fldChar w:fldCharType="end"/>
            </w:r>
          </w:hyperlink>
        </w:p>
        <w:p w14:paraId="239CD7CC" w14:textId="19CE7B45"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08" w:history="1">
            <w:r w:rsidRPr="009C43D6">
              <w:rPr>
                <w:rStyle w:val="Hyperlink"/>
                <w:noProof/>
              </w:rPr>
              <w:t>Container Inspection and Examination Unit</w:t>
            </w:r>
            <w:r>
              <w:rPr>
                <w:noProof/>
                <w:webHidden/>
              </w:rPr>
              <w:tab/>
            </w:r>
            <w:r>
              <w:rPr>
                <w:noProof/>
                <w:webHidden/>
              </w:rPr>
              <w:fldChar w:fldCharType="begin"/>
            </w:r>
            <w:r>
              <w:rPr>
                <w:noProof/>
                <w:webHidden/>
              </w:rPr>
              <w:instrText xml:space="preserve"> PAGEREF _Toc137831108 \h </w:instrText>
            </w:r>
            <w:r>
              <w:rPr>
                <w:noProof/>
                <w:webHidden/>
              </w:rPr>
            </w:r>
            <w:r>
              <w:rPr>
                <w:noProof/>
                <w:webHidden/>
              </w:rPr>
              <w:fldChar w:fldCharType="separate"/>
            </w:r>
            <w:r>
              <w:rPr>
                <w:noProof/>
                <w:webHidden/>
              </w:rPr>
              <w:t>53</w:t>
            </w:r>
            <w:r>
              <w:rPr>
                <w:noProof/>
                <w:webHidden/>
              </w:rPr>
              <w:fldChar w:fldCharType="end"/>
            </w:r>
          </w:hyperlink>
        </w:p>
        <w:p w14:paraId="530F6BD3" w14:textId="0BABB141"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09" w:history="1">
            <w:r w:rsidRPr="009C43D6">
              <w:rPr>
                <w:rStyle w:val="Hyperlink"/>
                <w:noProof/>
              </w:rPr>
              <w:t>Port Baggage Unit</w:t>
            </w:r>
            <w:r>
              <w:rPr>
                <w:noProof/>
                <w:webHidden/>
              </w:rPr>
              <w:tab/>
            </w:r>
            <w:r>
              <w:rPr>
                <w:noProof/>
                <w:webHidden/>
              </w:rPr>
              <w:fldChar w:fldCharType="begin"/>
            </w:r>
            <w:r>
              <w:rPr>
                <w:noProof/>
                <w:webHidden/>
              </w:rPr>
              <w:instrText xml:space="preserve"> PAGEREF _Toc137831109 \h </w:instrText>
            </w:r>
            <w:r>
              <w:rPr>
                <w:noProof/>
                <w:webHidden/>
              </w:rPr>
            </w:r>
            <w:r>
              <w:rPr>
                <w:noProof/>
                <w:webHidden/>
              </w:rPr>
              <w:fldChar w:fldCharType="separate"/>
            </w:r>
            <w:r>
              <w:rPr>
                <w:noProof/>
                <w:webHidden/>
              </w:rPr>
              <w:t>53</w:t>
            </w:r>
            <w:r>
              <w:rPr>
                <w:noProof/>
                <w:webHidden/>
              </w:rPr>
              <w:fldChar w:fldCharType="end"/>
            </w:r>
          </w:hyperlink>
        </w:p>
        <w:p w14:paraId="11A858C5" w14:textId="30F0170F"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10" w:history="1">
            <w:r w:rsidRPr="009C43D6">
              <w:rPr>
                <w:rStyle w:val="Hyperlink"/>
                <w:noProof/>
              </w:rPr>
              <w:t>Vehicle Clearance Unit</w:t>
            </w:r>
            <w:r>
              <w:rPr>
                <w:noProof/>
                <w:webHidden/>
              </w:rPr>
              <w:tab/>
            </w:r>
            <w:r>
              <w:rPr>
                <w:noProof/>
                <w:webHidden/>
              </w:rPr>
              <w:fldChar w:fldCharType="begin"/>
            </w:r>
            <w:r>
              <w:rPr>
                <w:noProof/>
                <w:webHidden/>
              </w:rPr>
              <w:instrText xml:space="preserve"> PAGEREF _Toc137831110 \h </w:instrText>
            </w:r>
            <w:r>
              <w:rPr>
                <w:noProof/>
                <w:webHidden/>
              </w:rPr>
            </w:r>
            <w:r>
              <w:rPr>
                <w:noProof/>
                <w:webHidden/>
              </w:rPr>
              <w:fldChar w:fldCharType="separate"/>
            </w:r>
            <w:r>
              <w:rPr>
                <w:noProof/>
                <w:webHidden/>
              </w:rPr>
              <w:t>55</w:t>
            </w:r>
            <w:r>
              <w:rPr>
                <w:noProof/>
                <w:webHidden/>
              </w:rPr>
              <w:fldChar w:fldCharType="end"/>
            </w:r>
          </w:hyperlink>
        </w:p>
        <w:p w14:paraId="02622C40" w14:textId="7C97EB8C"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11" w:history="1">
            <w:r w:rsidRPr="009C43D6">
              <w:rPr>
                <w:rStyle w:val="Hyperlink"/>
                <w:noProof/>
              </w:rPr>
              <w:t>Scanning Unit</w:t>
            </w:r>
            <w:r>
              <w:rPr>
                <w:noProof/>
                <w:webHidden/>
              </w:rPr>
              <w:tab/>
            </w:r>
            <w:r>
              <w:rPr>
                <w:noProof/>
                <w:webHidden/>
              </w:rPr>
              <w:fldChar w:fldCharType="begin"/>
            </w:r>
            <w:r>
              <w:rPr>
                <w:noProof/>
                <w:webHidden/>
              </w:rPr>
              <w:instrText xml:space="preserve"> PAGEREF _Toc137831111 \h </w:instrText>
            </w:r>
            <w:r>
              <w:rPr>
                <w:noProof/>
                <w:webHidden/>
              </w:rPr>
            </w:r>
            <w:r>
              <w:rPr>
                <w:noProof/>
                <w:webHidden/>
              </w:rPr>
              <w:fldChar w:fldCharType="separate"/>
            </w:r>
            <w:r>
              <w:rPr>
                <w:noProof/>
                <w:webHidden/>
              </w:rPr>
              <w:t>55</w:t>
            </w:r>
            <w:r>
              <w:rPr>
                <w:noProof/>
                <w:webHidden/>
              </w:rPr>
              <w:fldChar w:fldCharType="end"/>
            </w:r>
          </w:hyperlink>
        </w:p>
        <w:p w14:paraId="0B484CF3" w14:textId="45D95FA5"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112" w:history="1">
            <w:r w:rsidRPr="009C43D6">
              <w:rPr>
                <w:rStyle w:val="Hyperlink"/>
                <w:noProof/>
              </w:rPr>
              <w:t>DOMESTIC TAX COMPLIANCE</w:t>
            </w:r>
            <w:r>
              <w:rPr>
                <w:noProof/>
                <w:webHidden/>
              </w:rPr>
              <w:tab/>
            </w:r>
            <w:r>
              <w:rPr>
                <w:noProof/>
                <w:webHidden/>
              </w:rPr>
              <w:fldChar w:fldCharType="begin"/>
            </w:r>
            <w:r>
              <w:rPr>
                <w:noProof/>
                <w:webHidden/>
              </w:rPr>
              <w:instrText xml:space="preserve"> PAGEREF _Toc137831112 \h </w:instrText>
            </w:r>
            <w:r>
              <w:rPr>
                <w:noProof/>
                <w:webHidden/>
              </w:rPr>
            </w:r>
            <w:r>
              <w:rPr>
                <w:noProof/>
                <w:webHidden/>
              </w:rPr>
              <w:fldChar w:fldCharType="separate"/>
            </w:r>
            <w:r>
              <w:rPr>
                <w:noProof/>
                <w:webHidden/>
              </w:rPr>
              <w:t>57</w:t>
            </w:r>
            <w:r>
              <w:rPr>
                <w:noProof/>
                <w:webHidden/>
              </w:rPr>
              <w:fldChar w:fldCharType="end"/>
            </w:r>
          </w:hyperlink>
        </w:p>
        <w:p w14:paraId="6FBCB482" w14:textId="24F0B2B3"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13" w:history="1">
            <w:r w:rsidRPr="009C43D6">
              <w:rPr>
                <w:rStyle w:val="Hyperlink"/>
                <w:noProof/>
              </w:rPr>
              <w:t>Taxpayer Registration</w:t>
            </w:r>
            <w:r>
              <w:rPr>
                <w:noProof/>
                <w:webHidden/>
              </w:rPr>
              <w:tab/>
            </w:r>
            <w:r>
              <w:rPr>
                <w:noProof/>
                <w:webHidden/>
              </w:rPr>
              <w:fldChar w:fldCharType="begin"/>
            </w:r>
            <w:r>
              <w:rPr>
                <w:noProof/>
                <w:webHidden/>
              </w:rPr>
              <w:instrText xml:space="preserve"> PAGEREF _Toc137831113 \h </w:instrText>
            </w:r>
            <w:r>
              <w:rPr>
                <w:noProof/>
                <w:webHidden/>
              </w:rPr>
            </w:r>
            <w:r>
              <w:rPr>
                <w:noProof/>
                <w:webHidden/>
              </w:rPr>
              <w:fldChar w:fldCharType="separate"/>
            </w:r>
            <w:r>
              <w:rPr>
                <w:noProof/>
                <w:webHidden/>
              </w:rPr>
              <w:t>57</w:t>
            </w:r>
            <w:r>
              <w:rPr>
                <w:noProof/>
                <w:webHidden/>
              </w:rPr>
              <w:fldChar w:fldCharType="end"/>
            </w:r>
          </w:hyperlink>
        </w:p>
        <w:p w14:paraId="3565D2D5" w14:textId="054A581C"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14" w:history="1">
            <w:r w:rsidRPr="009C43D6">
              <w:rPr>
                <w:rStyle w:val="Hyperlink"/>
                <w:noProof/>
              </w:rPr>
              <w:t>On-time Filing Compliance</w:t>
            </w:r>
            <w:r>
              <w:rPr>
                <w:noProof/>
                <w:webHidden/>
              </w:rPr>
              <w:tab/>
            </w:r>
            <w:r>
              <w:rPr>
                <w:noProof/>
                <w:webHidden/>
              </w:rPr>
              <w:fldChar w:fldCharType="begin"/>
            </w:r>
            <w:r>
              <w:rPr>
                <w:noProof/>
                <w:webHidden/>
              </w:rPr>
              <w:instrText xml:space="preserve"> PAGEREF _Toc137831114 \h </w:instrText>
            </w:r>
            <w:r>
              <w:rPr>
                <w:noProof/>
                <w:webHidden/>
              </w:rPr>
            </w:r>
            <w:r>
              <w:rPr>
                <w:noProof/>
                <w:webHidden/>
              </w:rPr>
              <w:fldChar w:fldCharType="separate"/>
            </w:r>
            <w:r>
              <w:rPr>
                <w:noProof/>
                <w:webHidden/>
              </w:rPr>
              <w:t>59</w:t>
            </w:r>
            <w:r>
              <w:rPr>
                <w:noProof/>
                <w:webHidden/>
              </w:rPr>
              <w:fldChar w:fldCharType="end"/>
            </w:r>
          </w:hyperlink>
        </w:p>
        <w:p w14:paraId="1E560A6D" w14:textId="2BFBD1DC"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15" w:history="1">
            <w:r w:rsidRPr="009C43D6">
              <w:rPr>
                <w:rStyle w:val="Hyperlink"/>
                <w:noProof/>
              </w:rPr>
              <w:t>DTD Arrears</w:t>
            </w:r>
            <w:r>
              <w:rPr>
                <w:noProof/>
                <w:webHidden/>
              </w:rPr>
              <w:tab/>
            </w:r>
            <w:r>
              <w:rPr>
                <w:noProof/>
                <w:webHidden/>
              </w:rPr>
              <w:fldChar w:fldCharType="begin"/>
            </w:r>
            <w:r>
              <w:rPr>
                <w:noProof/>
                <w:webHidden/>
              </w:rPr>
              <w:instrText xml:space="preserve"> PAGEREF _Toc137831115 \h </w:instrText>
            </w:r>
            <w:r>
              <w:rPr>
                <w:noProof/>
                <w:webHidden/>
              </w:rPr>
            </w:r>
            <w:r>
              <w:rPr>
                <w:noProof/>
                <w:webHidden/>
              </w:rPr>
              <w:fldChar w:fldCharType="separate"/>
            </w:r>
            <w:r>
              <w:rPr>
                <w:noProof/>
                <w:webHidden/>
              </w:rPr>
              <w:t>60</w:t>
            </w:r>
            <w:r>
              <w:rPr>
                <w:noProof/>
                <w:webHidden/>
              </w:rPr>
              <w:fldChar w:fldCharType="end"/>
            </w:r>
          </w:hyperlink>
        </w:p>
        <w:p w14:paraId="65DAB14A" w14:textId="5D820C23"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116" w:history="1">
            <w:r w:rsidRPr="009C43D6">
              <w:rPr>
                <w:rStyle w:val="Hyperlink"/>
                <w:noProof/>
              </w:rPr>
              <w:t>DOMESTIC TAX DEPARTMENT AUDITS</w:t>
            </w:r>
            <w:r>
              <w:rPr>
                <w:noProof/>
                <w:webHidden/>
              </w:rPr>
              <w:tab/>
            </w:r>
            <w:r>
              <w:rPr>
                <w:noProof/>
                <w:webHidden/>
              </w:rPr>
              <w:fldChar w:fldCharType="begin"/>
            </w:r>
            <w:r>
              <w:rPr>
                <w:noProof/>
                <w:webHidden/>
              </w:rPr>
              <w:instrText xml:space="preserve"> PAGEREF _Toc137831116 \h </w:instrText>
            </w:r>
            <w:r>
              <w:rPr>
                <w:noProof/>
                <w:webHidden/>
              </w:rPr>
            </w:r>
            <w:r>
              <w:rPr>
                <w:noProof/>
                <w:webHidden/>
              </w:rPr>
              <w:fldChar w:fldCharType="separate"/>
            </w:r>
            <w:r>
              <w:rPr>
                <w:noProof/>
                <w:webHidden/>
              </w:rPr>
              <w:t>61</w:t>
            </w:r>
            <w:r>
              <w:rPr>
                <w:noProof/>
                <w:webHidden/>
              </w:rPr>
              <w:fldChar w:fldCharType="end"/>
            </w:r>
          </w:hyperlink>
        </w:p>
        <w:p w14:paraId="11D05ED8" w14:textId="17268F1A"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17" w:history="1">
            <w:r w:rsidRPr="009C43D6">
              <w:rPr>
                <w:rStyle w:val="Hyperlink"/>
                <w:noProof/>
              </w:rPr>
              <w:t>Large Taxpayers Office</w:t>
            </w:r>
            <w:r>
              <w:rPr>
                <w:noProof/>
                <w:webHidden/>
              </w:rPr>
              <w:tab/>
            </w:r>
            <w:r>
              <w:rPr>
                <w:noProof/>
                <w:webHidden/>
              </w:rPr>
              <w:fldChar w:fldCharType="begin"/>
            </w:r>
            <w:r>
              <w:rPr>
                <w:noProof/>
                <w:webHidden/>
              </w:rPr>
              <w:instrText xml:space="preserve"> PAGEREF _Toc137831117 \h </w:instrText>
            </w:r>
            <w:r>
              <w:rPr>
                <w:noProof/>
                <w:webHidden/>
              </w:rPr>
            </w:r>
            <w:r>
              <w:rPr>
                <w:noProof/>
                <w:webHidden/>
              </w:rPr>
              <w:fldChar w:fldCharType="separate"/>
            </w:r>
            <w:r>
              <w:rPr>
                <w:noProof/>
                <w:webHidden/>
              </w:rPr>
              <w:t>61</w:t>
            </w:r>
            <w:r>
              <w:rPr>
                <w:noProof/>
                <w:webHidden/>
              </w:rPr>
              <w:fldChar w:fldCharType="end"/>
            </w:r>
          </w:hyperlink>
        </w:p>
        <w:p w14:paraId="01D33AB9" w14:textId="6E921419"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18" w:history="1">
            <w:r w:rsidRPr="009C43D6">
              <w:rPr>
                <w:rStyle w:val="Hyperlink"/>
                <w:noProof/>
              </w:rPr>
              <w:t>Medium Taxpayers Office</w:t>
            </w:r>
            <w:r>
              <w:rPr>
                <w:noProof/>
                <w:webHidden/>
              </w:rPr>
              <w:tab/>
            </w:r>
            <w:r>
              <w:rPr>
                <w:noProof/>
                <w:webHidden/>
              </w:rPr>
              <w:fldChar w:fldCharType="begin"/>
            </w:r>
            <w:r>
              <w:rPr>
                <w:noProof/>
                <w:webHidden/>
              </w:rPr>
              <w:instrText xml:space="preserve"> PAGEREF _Toc137831118 \h </w:instrText>
            </w:r>
            <w:r>
              <w:rPr>
                <w:noProof/>
                <w:webHidden/>
              </w:rPr>
            </w:r>
            <w:r>
              <w:rPr>
                <w:noProof/>
                <w:webHidden/>
              </w:rPr>
              <w:fldChar w:fldCharType="separate"/>
            </w:r>
            <w:r>
              <w:rPr>
                <w:noProof/>
                <w:webHidden/>
              </w:rPr>
              <w:t>61</w:t>
            </w:r>
            <w:r>
              <w:rPr>
                <w:noProof/>
                <w:webHidden/>
              </w:rPr>
              <w:fldChar w:fldCharType="end"/>
            </w:r>
          </w:hyperlink>
        </w:p>
        <w:p w14:paraId="1F806BCE" w14:textId="69F49702"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19" w:history="1">
            <w:r w:rsidRPr="009C43D6">
              <w:rPr>
                <w:rStyle w:val="Hyperlink"/>
                <w:noProof/>
              </w:rPr>
              <w:t>Extractive Industry Revenue Unit</w:t>
            </w:r>
            <w:r>
              <w:rPr>
                <w:noProof/>
                <w:webHidden/>
              </w:rPr>
              <w:tab/>
            </w:r>
            <w:r>
              <w:rPr>
                <w:noProof/>
                <w:webHidden/>
              </w:rPr>
              <w:fldChar w:fldCharType="begin"/>
            </w:r>
            <w:r>
              <w:rPr>
                <w:noProof/>
                <w:webHidden/>
              </w:rPr>
              <w:instrText xml:space="preserve"> PAGEREF _Toc137831119 \h </w:instrText>
            </w:r>
            <w:r>
              <w:rPr>
                <w:noProof/>
                <w:webHidden/>
              </w:rPr>
            </w:r>
            <w:r>
              <w:rPr>
                <w:noProof/>
                <w:webHidden/>
              </w:rPr>
              <w:fldChar w:fldCharType="separate"/>
            </w:r>
            <w:r>
              <w:rPr>
                <w:noProof/>
                <w:webHidden/>
              </w:rPr>
              <w:t>62</w:t>
            </w:r>
            <w:r>
              <w:rPr>
                <w:noProof/>
                <w:webHidden/>
              </w:rPr>
              <w:fldChar w:fldCharType="end"/>
            </w:r>
          </w:hyperlink>
        </w:p>
        <w:p w14:paraId="1CB471D7" w14:textId="6FA62434"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120" w:history="1">
            <w:r w:rsidRPr="009C43D6">
              <w:rPr>
                <w:rStyle w:val="Hyperlink"/>
                <w:noProof/>
              </w:rPr>
              <w:t>DOMESTIC TAXES ENFORCEMENT ACTIVITY</w:t>
            </w:r>
            <w:r>
              <w:rPr>
                <w:noProof/>
                <w:webHidden/>
              </w:rPr>
              <w:tab/>
            </w:r>
            <w:r>
              <w:rPr>
                <w:noProof/>
                <w:webHidden/>
              </w:rPr>
              <w:fldChar w:fldCharType="begin"/>
            </w:r>
            <w:r>
              <w:rPr>
                <w:noProof/>
                <w:webHidden/>
              </w:rPr>
              <w:instrText xml:space="preserve"> PAGEREF _Toc137831120 \h </w:instrText>
            </w:r>
            <w:r>
              <w:rPr>
                <w:noProof/>
                <w:webHidden/>
              </w:rPr>
            </w:r>
            <w:r>
              <w:rPr>
                <w:noProof/>
                <w:webHidden/>
              </w:rPr>
              <w:fldChar w:fldCharType="separate"/>
            </w:r>
            <w:r>
              <w:rPr>
                <w:noProof/>
                <w:webHidden/>
              </w:rPr>
              <w:t>63</w:t>
            </w:r>
            <w:r>
              <w:rPr>
                <w:noProof/>
                <w:webHidden/>
              </w:rPr>
              <w:fldChar w:fldCharType="end"/>
            </w:r>
          </w:hyperlink>
        </w:p>
        <w:p w14:paraId="518011D5" w14:textId="77ACF24F" w:rsidR="009C1DE7" w:rsidRDefault="009C1DE7" w:rsidP="009C1DE7">
          <w:pPr>
            <w:pStyle w:val="TOC1"/>
            <w:rPr>
              <w:rFonts w:asciiTheme="minorHAnsi" w:eastAsiaTheme="minorEastAsia" w:hAnsiTheme="minorHAnsi" w:cstheme="minorBidi"/>
              <w:noProof/>
              <w:kern w:val="2"/>
              <w:sz w:val="24"/>
              <w:szCs w:val="24"/>
              <w:lang w:val="en-CA"/>
              <w14:ligatures w14:val="standardContextual"/>
            </w:rPr>
          </w:pPr>
          <w:hyperlink w:anchor="_Toc137831121" w:history="1">
            <w:r w:rsidRPr="009C43D6">
              <w:rPr>
                <w:rStyle w:val="Hyperlink"/>
                <w:noProof/>
              </w:rPr>
              <w:t>CHAPTER FIVE: PROSPECTS AND CHALLENGES LOOKING FORWARD TO 2023</w:t>
            </w:r>
            <w:r>
              <w:rPr>
                <w:noProof/>
                <w:webHidden/>
              </w:rPr>
              <w:tab/>
            </w:r>
            <w:r>
              <w:rPr>
                <w:noProof/>
                <w:webHidden/>
              </w:rPr>
              <w:fldChar w:fldCharType="begin"/>
            </w:r>
            <w:r>
              <w:rPr>
                <w:noProof/>
                <w:webHidden/>
              </w:rPr>
              <w:instrText xml:space="preserve"> PAGEREF _Toc137831121 \h </w:instrText>
            </w:r>
            <w:r>
              <w:rPr>
                <w:noProof/>
                <w:webHidden/>
              </w:rPr>
            </w:r>
            <w:r>
              <w:rPr>
                <w:noProof/>
                <w:webHidden/>
              </w:rPr>
              <w:fldChar w:fldCharType="separate"/>
            </w:r>
            <w:r>
              <w:rPr>
                <w:noProof/>
                <w:webHidden/>
              </w:rPr>
              <w:t>64</w:t>
            </w:r>
            <w:r>
              <w:rPr>
                <w:noProof/>
                <w:webHidden/>
              </w:rPr>
              <w:fldChar w:fldCharType="end"/>
            </w:r>
          </w:hyperlink>
        </w:p>
        <w:p w14:paraId="3938F238" w14:textId="00FB021D"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122" w:history="1">
            <w:r w:rsidRPr="009C43D6">
              <w:rPr>
                <w:rStyle w:val="Hyperlink"/>
                <w:noProof/>
              </w:rPr>
              <w:t>REVENUE TARGETS FOR 202=</w:t>
            </w:r>
            <w:r>
              <w:rPr>
                <w:noProof/>
                <w:webHidden/>
              </w:rPr>
              <w:tab/>
            </w:r>
            <w:r>
              <w:rPr>
                <w:noProof/>
                <w:webHidden/>
              </w:rPr>
              <w:fldChar w:fldCharType="begin"/>
            </w:r>
            <w:r>
              <w:rPr>
                <w:noProof/>
                <w:webHidden/>
              </w:rPr>
              <w:instrText xml:space="preserve"> PAGEREF _Toc137831122 \h </w:instrText>
            </w:r>
            <w:r>
              <w:rPr>
                <w:noProof/>
                <w:webHidden/>
              </w:rPr>
            </w:r>
            <w:r>
              <w:rPr>
                <w:noProof/>
                <w:webHidden/>
              </w:rPr>
              <w:fldChar w:fldCharType="separate"/>
            </w:r>
            <w:r>
              <w:rPr>
                <w:noProof/>
                <w:webHidden/>
              </w:rPr>
              <w:t>64</w:t>
            </w:r>
            <w:r>
              <w:rPr>
                <w:noProof/>
                <w:webHidden/>
              </w:rPr>
              <w:fldChar w:fldCharType="end"/>
            </w:r>
          </w:hyperlink>
        </w:p>
        <w:p w14:paraId="58B12004" w14:textId="11A0E3A9"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23" w:history="1">
            <w:r w:rsidRPr="009C43D6">
              <w:rPr>
                <w:rStyle w:val="Hyperlink"/>
                <w:noProof/>
              </w:rPr>
              <w:t>Revised 2023 Domestic Revenue Target</w:t>
            </w:r>
            <w:r>
              <w:rPr>
                <w:noProof/>
                <w:webHidden/>
              </w:rPr>
              <w:tab/>
            </w:r>
            <w:r>
              <w:rPr>
                <w:noProof/>
                <w:webHidden/>
              </w:rPr>
              <w:fldChar w:fldCharType="begin"/>
            </w:r>
            <w:r>
              <w:rPr>
                <w:noProof/>
                <w:webHidden/>
              </w:rPr>
              <w:instrText xml:space="preserve"> PAGEREF _Toc137831123 \h </w:instrText>
            </w:r>
            <w:r>
              <w:rPr>
                <w:noProof/>
                <w:webHidden/>
              </w:rPr>
            </w:r>
            <w:r>
              <w:rPr>
                <w:noProof/>
                <w:webHidden/>
              </w:rPr>
              <w:fldChar w:fldCharType="separate"/>
            </w:r>
            <w:r>
              <w:rPr>
                <w:noProof/>
                <w:webHidden/>
              </w:rPr>
              <w:t>65</w:t>
            </w:r>
            <w:r>
              <w:rPr>
                <w:noProof/>
                <w:webHidden/>
              </w:rPr>
              <w:fldChar w:fldCharType="end"/>
            </w:r>
          </w:hyperlink>
        </w:p>
        <w:p w14:paraId="1E2612D8" w14:textId="206D4078"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124" w:history="1">
            <w:r w:rsidRPr="009C43D6">
              <w:rPr>
                <w:rStyle w:val="Hyperlink"/>
                <w:noProof/>
              </w:rPr>
              <w:t>REVENUE ADMINISTRATION REFORMS AND OUTLOOK IN THE MEDIUM TERM</w:t>
            </w:r>
            <w:r>
              <w:rPr>
                <w:noProof/>
                <w:webHidden/>
              </w:rPr>
              <w:tab/>
            </w:r>
            <w:r>
              <w:rPr>
                <w:noProof/>
                <w:webHidden/>
              </w:rPr>
              <w:fldChar w:fldCharType="begin"/>
            </w:r>
            <w:r>
              <w:rPr>
                <w:noProof/>
                <w:webHidden/>
              </w:rPr>
              <w:instrText xml:space="preserve"> PAGEREF _Toc137831124 \h </w:instrText>
            </w:r>
            <w:r>
              <w:rPr>
                <w:noProof/>
                <w:webHidden/>
              </w:rPr>
            </w:r>
            <w:r>
              <w:rPr>
                <w:noProof/>
                <w:webHidden/>
              </w:rPr>
              <w:fldChar w:fldCharType="separate"/>
            </w:r>
            <w:r>
              <w:rPr>
                <w:noProof/>
                <w:webHidden/>
              </w:rPr>
              <w:t>66</w:t>
            </w:r>
            <w:r>
              <w:rPr>
                <w:noProof/>
                <w:webHidden/>
              </w:rPr>
              <w:fldChar w:fldCharType="end"/>
            </w:r>
          </w:hyperlink>
        </w:p>
        <w:p w14:paraId="35ADB6B2" w14:textId="241C9D76"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25" w:history="1">
            <w:r w:rsidRPr="009C43D6">
              <w:rPr>
                <w:rStyle w:val="Hyperlink"/>
                <w:noProof/>
              </w:rPr>
              <w:t>Reforms to be Completed by December 2023</w:t>
            </w:r>
            <w:r>
              <w:rPr>
                <w:noProof/>
                <w:webHidden/>
              </w:rPr>
              <w:tab/>
            </w:r>
            <w:r>
              <w:rPr>
                <w:noProof/>
                <w:webHidden/>
              </w:rPr>
              <w:fldChar w:fldCharType="begin"/>
            </w:r>
            <w:r>
              <w:rPr>
                <w:noProof/>
                <w:webHidden/>
              </w:rPr>
              <w:instrText xml:space="preserve"> PAGEREF _Toc137831125 \h </w:instrText>
            </w:r>
            <w:r>
              <w:rPr>
                <w:noProof/>
                <w:webHidden/>
              </w:rPr>
            </w:r>
            <w:r>
              <w:rPr>
                <w:noProof/>
                <w:webHidden/>
              </w:rPr>
              <w:fldChar w:fldCharType="separate"/>
            </w:r>
            <w:r>
              <w:rPr>
                <w:noProof/>
                <w:webHidden/>
              </w:rPr>
              <w:t>67</w:t>
            </w:r>
            <w:r>
              <w:rPr>
                <w:noProof/>
                <w:webHidden/>
              </w:rPr>
              <w:fldChar w:fldCharType="end"/>
            </w:r>
          </w:hyperlink>
        </w:p>
        <w:p w14:paraId="6446966A" w14:textId="2A3BCF34" w:rsidR="009C1DE7" w:rsidRDefault="009C1DE7">
          <w:pPr>
            <w:pStyle w:val="TOC3"/>
            <w:tabs>
              <w:tab w:val="right" w:leader="dot" w:pos="9350"/>
            </w:tabs>
            <w:rPr>
              <w:rFonts w:asciiTheme="minorHAnsi" w:eastAsiaTheme="minorEastAsia" w:hAnsiTheme="minorHAnsi" w:cstheme="minorBidi"/>
              <w:i w:val="0"/>
              <w:iCs w:val="0"/>
              <w:noProof/>
              <w:kern w:val="2"/>
              <w:sz w:val="24"/>
              <w:szCs w:val="24"/>
              <w:lang w:val="en-CA"/>
              <w14:ligatures w14:val="standardContextual"/>
            </w:rPr>
          </w:pPr>
          <w:hyperlink w:anchor="_Toc137831126" w:history="1">
            <w:r w:rsidRPr="009C43D6">
              <w:rPr>
                <w:rStyle w:val="Hyperlink"/>
                <w:noProof/>
              </w:rPr>
              <w:t>Outlook of Revenue Administration for the Medium Term</w:t>
            </w:r>
            <w:r>
              <w:rPr>
                <w:noProof/>
                <w:webHidden/>
              </w:rPr>
              <w:tab/>
            </w:r>
            <w:r>
              <w:rPr>
                <w:noProof/>
                <w:webHidden/>
              </w:rPr>
              <w:fldChar w:fldCharType="begin"/>
            </w:r>
            <w:r>
              <w:rPr>
                <w:noProof/>
                <w:webHidden/>
              </w:rPr>
              <w:instrText xml:space="preserve"> PAGEREF _Toc137831126 \h </w:instrText>
            </w:r>
            <w:r>
              <w:rPr>
                <w:noProof/>
                <w:webHidden/>
              </w:rPr>
            </w:r>
            <w:r>
              <w:rPr>
                <w:noProof/>
                <w:webHidden/>
              </w:rPr>
              <w:fldChar w:fldCharType="separate"/>
            </w:r>
            <w:r>
              <w:rPr>
                <w:noProof/>
                <w:webHidden/>
              </w:rPr>
              <w:t>68</w:t>
            </w:r>
            <w:r>
              <w:rPr>
                <w:noProof/>
                <w:webHidden/>
              </w:rPr>
              <w:fldChar w:fldCharType="end"/>
            </w:r>
          </w:hyperlink>
        </w:p>
        <w:p w14:paraId="030552DA" w14:textId="5878CBBC" w:rsidR="009C1DE7" w:rsidRDefault="009C1DE7" w:rsidP="009C1DE7">
          <w:pPr>
            <w:pStyle w:val="TOC1"/>
            <w:rPr>
              <w:rFonts w:asciiTheme="minorHAnsi" w:eastAsiaTheme="minorEastAsia" w:hAnsiTheme="minorHAnsi" w:cstheme="minorBidi"/>
              <w:noProof/>
              <w:kern w:val="2"/>
              <w:sz w:val="24"/>
              <w:szCs w:val="24"/>
              <w:lang w:val="en-CA"/>
              <w14:ligatures w14:val="standardContextual"/>
            </w:rPr>
          </w:pPr>
          <w:hyperlink w:anchor="_Toc137831127" w:history="1">
            <w:r w:rsidRPr="009C43D6">
              <w:rPr>
                <w:rStyle w:val="Hyperlink"/>
                <w:noProof/>
              </w:rPr>
              <w:t>APPENDICES</w:t>
            </w:r>
            <w:r>
              <w:rPr>
                <w:noProof/>
                <w:webHidden/>
              </w:rPr>
              <w:tab/>
            </w:r>
            <w:r>
              <w:rPr>
                <w:noProof/>
                <w:webHidden/>
              </w:rPr>
              <w:fldChar w:fldCharType="begin"/>
            </w:r>
            <w:r>
              <w:rPr>
                <w:noProof/>
                <w:webHidden/>
              </w:rPr>
              <w:instrText xml:space="preserve"> PAGEREF _Toc137831127 \h </w:instrText>
            </w:r>
            <w:r>
              <w:rPr>
                <w:noProof/>
                <w:webHidden/>
              </w:rPr>
            </w:r>
            <w:r>
              <w:rPr>
                <w:noProof/>
                <w:webHidden/>
              </w:rPr>
              <w:fldChar w:fldCharType="separate"/>
            </w:r>
            <w:r>
              <w:rPr>
                <w:noProof/>
                <w:webHidden/>
              </w:rPr>
              <w:t>71</w:t>
            </w:r>
            <w:r>
              <w:rPr>
                <w:noProof/>
                <w:webHidden/>
              </w:rPr>
              <w:fldChar w:fldCharType="end"/>
            </w:r>
          </w:hyperlink>
        </w:p>
        <w:p w14:paraId="7E482FB6" w14:textId="70886D89"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128" w:history="1">
            <w:r w:rsidRPr="009C43D6">
              <w:rPr>
                <w:rStyle w:val="Hyperlink"/>
                <w:noProof/>
              </w:rPr>
              <w:t>Appendix A: Abridged Version of the 2019 Unaudited Financial Statement of the NRA</w:t>
            </w:r>
            <w:r>
              <w:rPr>
                <w:noProof/>
                <w:webHidden/>
              </w:rPr>
              <w:tab/>
            </w:r>
            <w:r>
              <w:rPr>
                <w:noProof/>
                <w:webHidden/>
              </w:rPr>
              <w:fldChar w:fldCharType="begin"/>
            </w:r>
            <w:r>
              <w:rPr>
                <w:noProof/>
                <w:webHidden/>
              </w:rPr>
              <w:instrText xml:space="preserve"> PAGEREF _Toc137831128 \h </w:instrText>
            </w:r>
            <w:r>
              <w:rPr>
                <w:noProof/>
                <w:webHidden/>
              </w:rPr>
            </w:r>
            <w:r>
              <w:rPr>
                <w:noProof/>
                <w:webHidden/>
              </w:rPr>
              <w:fldChar w:fldCharType="separate"/>
            </w:r>
            <w:r>
              <w:rPr>
                <w:noProof/>
                <w:webHidden/>
              </w:rPr>
              <w:t>71</w:t>
            </w:r>
            <w:r>
              <w:rPr>
                <w:noProof/>
                <w:webHidden/>
              </w:rPr>
              <w:fldChar w:fldCharType="end"/>
            </w:r>
          </w:hyperlink>
        </w:p>
        <w:p w14:paraId="325B5401" w14:textId="2FD03644" w:rsidR="009C1DE7" w:rsidRDefault="009C1DE7">
          <w:pPr>
            <w:pStyle w:val="TOC2"/>
            <w:rPr>
              <w:rFonts w:asciiTheme="minorHAnsi" w:eastAsiaTheme="minorEastAsia" w:hAnsiTheme="minorHAnsi" w:cstheme="minorBidi"/>
              <w:smallCaps w:val="0"/>
              <w:noProof/>
              <w:kern w:val="2"/>
              <w:sz w:val="24"/>
              <w:szCs w:val="24"/>
              <w:lang w:val="en-CA"/>
              <w14:ligatures w14:val="standardContextual"/>
            </w:rPr>
          </w:pPr>
          <w:hyperlink w:anchor="_Toc137831129" w:history="1">
            <w:r w:rsidRPr="009C43D6">
              <w:rPr>
                <w:rStyle w:val="Hyperlink"/>
                <w:noProof/>
              </w:rPr>
              <w:t>Appendix B: Detailed Reconciled NRA 2022 Revenue Statistics</w:t>
            </w:r>
            <w:r>
              <w:rPr>
                <w:noProof/>
                <w:webHidden/>
              </w:rPr>
              <w:tab/>
            </w:r>
            <w:r>
              <w:rPr>
                <w:noProof/>
                <w:webHidden/>
              </w:rPr>
              <w:fldChar w:fldCharType="begin"/>
            </w:r>
            <w:r>
              <w:rPr>
                <w:noProof/>
                <w:webHidden/>
              </w:rPr>
              <w:instrText xml:space="preserve"> PAGEREF _Toc137831129 \h </w:instrText>
            </w:r>
            <w:r>
              <w:rPr>
                <w:noProof/>
                <w:webHidden/>
              </w:rPr>
            </w:r>
            <w:r>
              <w:rPr>
                <w:noProof/>
                <w:webHidden/>
              </w:rPr>
              <w:fldChar w:fldCharType="separate"/>
            </w:r>
            <w:r>
              <w:rPr>
                <w:noProof/>
                <w:webHidden/>
              </w:rPr>
              <w:t>72</w:t>
            </w:r>
            <w:r>
              <w:rPr>
                <w:noProof/>
                <w:webHidden/>
              </w:rPr>
              <w:fldChar w:fldCharType="end"/>
            </w:r>
          </w:hyperlink>
        </w:p>
        <w:p w14:paraId="3639028A" w14:textId="74B27091" w:rsidR="0059271D" w:rsidRPr="00923467" w:rsidRDefault="0059271D" w:rsidP="00923467">
          <w:r w:rsidRPr="00923467">
            <w:rPr>
              <w:b/>
              <w:bCs/>
              <w:noProof/>
            </w:rPr>
            <w:fldChar w:fldCharType="end"/>
          </w:r>
        </w:p>
      </w:sdtContent>
    </w:sdt>
    <w:p w14:paraId="472B0005" w14:textId="1C4F6034" w:rsidR="0059271D" w:rsidRPr="00923467" w:rsidRDefault="0059271D" w:rsidP="00923467">
      <w:r w:rsidRPr="00923467">
        <w:br w:type="page"/>
      </w:r>
    </w:p>
    <w:p w14:paraId="3EB84B9D" w14:textId="3B199D19" w:rsidR="00774C47" w:rsidRPr="00A819C4" w:rsidRDefault="0059271D" w:rsidP="00A819C4">
      <w:pPr>
        <w:jc w:val="center"/>
        <w:rPr>
          <w:sz w:val="36"/>
          <w:szCs w:val="36"/>
        </w:rPr>
      </w:pPr>
      <w:r w:rsidRPr="00A819C4">
        <w:rPr>
          <w:sz w:val="36"/>
          <w:szCs w:val="36"/>
        </w:rPr>
        <w:t>List of Tables</w:t>
      </w:r>
    </w:p>
    <w:p w14:paraId="129D1734" w14:textId="7789F426" w:rsidR="009C1DE7" w:rsidRPr="00DF0A66" w:rsidRDefault="0059271D">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r w:rsidRPr="00DF0A66">
        <w:rPr>
          <w:b/>
          <w:bCs/>
          <w:sz w:val="21"/>
          <w:szCs w:val="21"/>
        </w:rPr>
        <w:fldChar w:fldCharType="begin"/>
      </w:r>
      <w:r w:rsidRPr="00DF0A66">
        <w:rPr>
          <w:b/>
          <w:bCs/>
          <w:sz w:val="21"/>
          <w:szCs w:val="21"/>
        </w:rPr>
        <w:instrText xml:space="preserve"> TOC \h \z \c "Table" </w:instrText>
      </w:r>
      <w:r w:rsidRPr="00DF0A66">
        <w:rPr>
          <w:b/>
          <w:bCs/>
          <w:sz w:val="21"/>
          <w:szCs w:val="21"/>
        </w:rPr>
        <w:fldChar w:fldCharType="separate"/>
      </w:r>
      <w:hyperlink w:anchor="_Toc137831130" w:history="1">
        <w:r w:rsidR="009C1DE7" w:rsidRPr="00DF0A66">
          <w:rPr>
            <w:rStyle w:val="Hyperlink"/>
            <w:noProof/>
            <w:sz w:val="21"/>
            <w:szCs w:val="21"/>
          </w:rPr>
          <w:t>Table 1: Total Domestic Revenue Collection Against Target (Q1-Q4 2022)</w:t>
        </w:r>
        <w:r w:rsidR="009C1DE7" w:rsidRPr="00DF0A66">
          <w:rPr>
            <w:noProof/>
            <w:webHidden/>
            <w:sz w:val="21"/>
            <w:szCs w:val="21"/>
          </w:rPr>
          <w:tab/>
        </w:r>
        <w:r w:rsidR="009C1DE7" w:rsidRPr="00DF0A66">
          <w:rPr>
            <w:noProof/>
            <w:webHidden/>
            <w:sz w:val="21"/>
            <w:szCs w:val="21"/>
          </w:rPr>
          <w:fldChar w:fldCharType="begin"/>
        </w:r>
        <w:r w:rsidR="009C1DE7" w:rsidRPr="00DF0A66">
          <w:rPr>
            <w:noProof/>
            <w:webHidden/>
            <w:sz w:val="21"/>
            <w:szCs w:val="21"/>
          </w:rPr>
          <w:instrText xml:space="preserve"> PAGEREF _Toc137831130 \h </w:instrText>
        </w:r>
        <w:r w:rsidR="009C1DE7" w:rsidRPr="00DF0A66">
          <w:rPr>
            <w:noProof/>
            <w:webHidden/>
            <w:sz w:val="21"/>
            <w:szCs w:val="21"/>
          </w:rPr>
        </w:r>
        <w:r w:rsidR="009C1DE7" w:rsidRPr="00DF0A66">
          <w:rPr>
            <w:noProof/>
            <w:webHidden/>
            <w:sz w:val="21"/>
            <w:szCs w:val="21"/>
          </w:rPr>
          <w:fldChar w:fldCharType="separate"/>
        </w:r>
        <w:r w:rsidR="009C1DE7" w:rsidRPr="00DF0A66">
          <w:rPr>
            <w:noProof/>
            <w:webHidden/>
            <w:sz w:val="21"/>
            <w:szCs w:val="21"/>
          </w:rPr>
          <w:t>23</w:t>
        </w:r>
        <w:r w:rsidR="009C1DE7" w:rsidRPr="00DF0A66">
          <w:rPr>
            <w:noProof/>
            <w:webHidden/>
            <w:sz w:val="21"/>
            <w:szCs w:val="21"/>
          </w:rPr>
          <w:fldChar w:fldCharType="end"/>
        </w:r>
      </w:hyperlink>
    </w:p>
    <w:p w14:paraId="2F8FEE0C" w14:textId="420D408C"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31" w:history="1">
        <w:r w:rsidRPr="00DF0A66">
          <w:rPr>
            <w:rStyle w:val="Hyperlink"/>
            <w:noProof/>
            <w:sz w:val="21"/>
            <w:szCs w:val="21"/>
          </w:rPr>
          <w:t>Table 2: Domestic Revenue Collection Against Revised Target (Q1-Q4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_Toc137831131 \h </w:instrText>
        </w:r>
        <w:r w:rsidRPr="00DF0A66">
          <w:rPr>
            <w:noProof/>
            <w:webHidden/>
            <w:sz w:val="21"/>
            <w:szCs w:val="21"/>
          </w:rPr>
        </w:r>
        <w:r w:rsidRPr="00DF0A66">
          <w:rPr>
            <w:noProof/>
            <w:webHidden/>
            <w:sz w:val="21"/>
            <w:szCs w:val="21"/>
          </w:rPr>
          <w:fldChar w:fldCharType="separate"/>
        </w:r>
        <w:r w:rsidRPr="00DF0A66">
          <w:rPr>
            <w:noProof/>
            <w:webHidden/>
            <w:sz w:val="21"/>
            <w:szCs w:val="21"/>
          </w:rPr>
          <w:t>24</w:t>
        </w:r>
        <w:r w:rsidRPr="00DF0A66">
          <w:rPr>
            <w:noProof/>
            <w:webHidden/>
            <w:sz w:val="21"/>
            <w:szCs w:val="21"/>
          </w:rPr>
          <w:fldChar w:fldCharType="end"/>
        </w:r>
      </w:hyperlink>
    </w:p>
    <w:p w14:paraId="3FAC1920" w14:textId="4FFA7471"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32" w:history="1">
        <w:r w:rsidRPr="00DF0A66">
          <w:rPr>
            <w:rStyle w:val="Hyperlink"/>
            <w:noProof/>
            <w:sz w:val="21"/>
            <w:szCs w:val="21"/>
          </w:rPr>
          <w:t>Table 3: Total Domestic Revenue Collection: 2022 vs 2021</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_Toc137831132 \h </w:instrText>
        </w:r>
        <w:r w:rsidRPr="00DF0A66">
          <w:rPr>
            <w:noProof/>
            <w:webHidden/>
            <w:sz w:val="21"/>
            <w:szCs w:val="21"/>
          </w:rPr>
        </w:r>
        <w:r w:rsidRPr="00DF0A66">
          <w:rPr>
            <w:noProof/>
            <w:webHidden/>
            <w:sz w:val="21"/>
            <w:szCs w:val="21"/>
          </w:rPr>
          <w:fldChar w:fldCharType="separate"/>
        </w:r>
        <w:r w:rsidRPr="00DF0A66">
          <w:rPr>
            <w:noProof/>
            <w:webHidden/>
            <w:sz w:val="21"/>
            <w:szCs w:val="21"/>
          </w:rPr>
          <w:t>25</w:t>
        </w:r>
        <w:r w:rsidRPr="00DF0A66">
          <w:rPr>
            <w:noProof/>
            <w:webHidden/>
            <w:sz w:val="21"/>
            <w:szCs w:val="21"/>
          </w:rPr>
          <w:fldChar w:fldCharType="end"/>
        </w:r>
      </w:hyperlink>
    </w:p>
    <w:p w14:paraId="484CC780" w14:textId="33E5D303"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33" w:history="1">
        <w:r w:rsidRPr="00DF0A66">
          <w:rPr>
            <w:rStyle w:val="Hyperlink"/>
            <w:i/>
            <w:iCs/>
            <w:noProof/>
            <w:sz w:val="21"/>
            <w:szCs w:val="21"/>
          </w:rPr>
          <w:t>Table 4: Revenue Loss from Non-Implementation of Revenue Enhancing Policies in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_Toc137831133 \h </w:instrText>
        </w:r>
        <w:r w:rsidRPr="00DF0A66">
          <w:rPr>
            <w:noProof/>
            <w:webHidden/>
            <w:sz w:val="21"/>
            <w:szCs w:val="21"/>
          </w:rPr>
        </w:r>
        <w:r w:rsidRPr="00DF0A66">
          <w:rPr>
            <w:noProof/>
            <w:webHidden/>
            <w:sz w:val="21"/>
            <w:szCs w:val="21"/>
          </w:rPr>
          <w:fldChar w:fldCharType="separate"/>
        </w:r>
        <w:r w:rsidRPr="00DF0A66">
          <w:rPr>
            <w:noProof/>
            <w:webHidden/>
            <w:sz w:val="21"/>
            <w:szCs w:val="21"/>
          </w:rPr>
          <w:t>28</w:t>
        </w:r>
        <w:r w:rsidRPr="00DF0A66">
          <w:rPr>
            <w:noProof/>
            <w:webHidden/>
            <w:sz w:val="21"/>
            <w:szCs w:val="21"/>
          </w:rPr>
          <w:fldChar w:fldCharType="end"/>
        </w:r>
      </w:hyperlink>
    </w:p>
    <w:p w14:paraId="448E6266" w14:textId="0F91133E"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34" w:history="1">
        <w:r w:rsidRPr="00DF0A66">
          <w:rPr>
            <w:rStyle w:val="Hyperlink"/>
            <w:i/>
            <w:iCs/>
            <w:noProof/>
            <w:sz w:val="21"/>
            <w:szCs w:val="21"/>
          </w:rPr>
          <w:t>Table 5: Duty Waiver by Category, 2021 and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_Toc137831134 \h </w:instrText>
        </w:r>
        <w:r w:rsidRPr="00DF0A66">
          <w:rPr>
            <w:noProof/>
            <w:webHidden/>
            <w:sz w:val="21"/>
            <w:szCs w:val="21"/>
          </w:rPr>
        </w:r>
        <w:r w:rsidRPr="00DF0A66">
          <w:rPr>
            <w:noProof/>
            <w:webHidden/>
            <w:sz w:val="21"/>
            <w:szCs w:val="21"/>
          </w:rPr>
          <w:fldChar w:fldCharType="separate"/>
        </w:r>
        <w:r w:rsidRPr="00DF0A66">
          <w:rPr>
            <w:noProof/>
            <w:webHidden/>
            <w:sz w:val="21"/>
            <w:szCs w:val="21"/>
          </w:rPr>
          <w:t>29</w:t>
        </w:r>
        <w:r w:rsidRPr="00DF0A66">
          <w:rPr>
            <w:noProof/>
            <w:webHidden/>
            <w:sz w:val="21"/>
            <w:szCs w:val="21"/>
          </w:rPr>
          <w:fldChar w:fldCharType="end"/>
        </w:r>
      </w:hyperlink>
    </w:p>
    <w:p w14:paraId="2561C849" w14:textId="2A777953"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35" w:history="1">
        <w:r w:rsidRPr="00DF0A66">
          <w:rPr>
            <w:rStyle w:val="Hyperlink"/>
            <w:noProof/>
            <w:sz w:val="21"/>
            <w:szCs w:val="21"/>
          </w:rPr>
          <w:t>Table 6: Duty Waiver by Sector (2021 and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_Toc137831135 \h </w:instrText>
        </w:r>
        <w:r w:rsidRPr="00DF0A66">
          <w:rPr>
            <w:noProof/>
            <w:webHidden/>
            <w:sz w:val="21"/>
            <w:szCs w:val="21"/>
          </w:rPr>
        </w:r>
        <w:r w:rsidRPr="00DF0A66">
          <w:rPr>
            <w:noProof/>
            <w:webHidden/>
            <w:sz w:val="21"/>
            <w:szCs w:val="21"/>
          </w:rPr>
          <w:fldChar w:fldCharType="separate"/>
        </w:r>
        <w:r w:rsidRPr="00DF0A66">
          <w:rPr>
            <w:noProof/>
            <w:webHidden/>
            <w:sz w:val="21"/>
            <w:szCs w:val="21"/>
          </w:rPr>
          <w:t>30</w:t>
        </w:r>
        <w:r w:rsidRPr="00DF0A66">
          <w:rPr>
            <w:noProof/>
            <w:webHidden/>
            <w:sz w:val="21"/>
            <w:szCs w:val="21"/>
          </w:rPr>
          <w:fldChar w:fldCharType="end"/>
        </w:r>
      </w:hyperlink>
    </w:p>
    <w:p w14:paraId="334D5B35" w14:textId="35B8D083"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36" w:history="1">
        <w:r w:rsidRPr="00DF0A66">
          <w:rPr>
            <w:rStyle w:val="Hyperlink"/>
            <w:noProof/>
            <w:sz w:val="21"/>
            <w:szCs w:val="21"/>
          </w:rPr>
          <w:t>Table 7: Count of Duty Waiver Applications Received and Processed (2021 and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_Toc137831136 \h </w:instrText>
        </w:r>
        <w:r w:rsidRPr="00DF0A66">
          <w:rPr>
            <w:noProof/>
            <w:webHidden/>
            <w:sz w:val="21"/>
            <w:szCs w:val="21"/>
          </w:rPr>
        </w:r>
        <w:r w:rsidRPr="00DF0A66">
          <w:rPr>
            <w:noProof/>
            <w:webHidden/>
            <w:sz w:val="21"/>
            <w:szCs w:val="21"/>
          </w:rPr>
          <w:fldChar w:fldCharType="separate"/>
        </w:r>
        <w:r w:rsidRPr="00DF0A66">
          <w:rPr>
            <w:noProof/>
            <w:webHidden/>
            <w:sz w:val="21"/>
            <w:szCs w:val="21"/>
          </w:rPr>
          <w:t>30</w:t>
        </w:r>
        <w:r w:rsidRPr="00DF0A66">
          <w:rPr>
            <w:noProof/>
            <w:webHidden/>
            <w:sz w:val="21"/>
            <w:szCs w:val="21"/>
          </w:rPr>
          <w:fldChar w:fldCharType="end"/>
        </w:r>
      </w:hyperlink>
    </w:p>
    <w:p w14:paraId="39B0CD0E" w14:textId="6CAB604A"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37" w:history="1">
        <w:r w:rsidRPr="00DF0A66">
          <w:rPr>
            <w:rStyle w:val="Hyperlink"/>
            <w:noProof/>
            <w:sz w:val="21"/>
            <w:szCs w:val="21"/>
          </w:rPr>
          <w:t>Table 8: Count of Duty Waiver Applications Received and Processed by Month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_Toc137831137 \h </w:instrText>
        </w:r>
        <w:r w:rsidRPr="00DF0A66">
          <w:rPr>
            <w:noProof/>
            <w:webHidden/>
            <w:sz w:val="21"/>
            <w:szCs w:val="21"/>
          </w:rPr>
        </w:r>
        <w:r w:rsidRPr="00DF0A66">
          <w:rPr>
            <w:noProof/>
            <w:webHidden/>
            <w:sz w:val="21"/>
            <w:szCs w:val="21"/>
          </w:rPr>
          <w:fldChar w:fldCharType="separate"/>
        </w:r>
        <w:r w:rsidRPr="00DF0A66">
          <w:rPr>
            <w:noProof/>
            <w:webHidden/>
            <w:sz w:val="21"/>
            <w:szCs w:val="21"/>
          </w:rPr>
          <w:t>31</w:t>
        </w:r>
        <w:r w:rsidRPr="00DF0A66">
          <w:rPr>
            <w:noProof/>
            <w:webHidden/>
            <w:sz w:val="21"/>
            <w:szCs w:val="21"/>
          </w:rPr>
          <w:fldChar w:fldCharType="end"/>
        </w:r>
      </w:hyperlink>
    </w:p>
    <w:p w14:paraId="4EB772E5" w14:textId="5C3FFA32"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38" w:history="1">
        <w:r w:rsidRPr="00DF0A66">
          <w:rPr>
            <w:rStyle w:val="Hyperlink"/>
            <w:noProof/>
            <w:sz w:val="21"/>
            <w:szCs w:val="21"/>
          </w:rPr>
          <w:t>Table 9: Staff Strength by Gender in 2021 and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_Toc137831138 \h </w:instrText>
        </w:r>
        <w:r w:rsidRPr="00DF0A66">
          <w:rPr>
            <w:noProof/>
            <w:webHidden/>
            <w:sz w:val="21"/>
            <w:szCs w:val="21"/>
          </w:rPr>
        </w:r>
        <w:r w:rsidRPr="00DF0A66">
          <w:rPr>
            <w:noProof/>
            <w:webHidden/>
            <w:sz w:val="21"/>
            <w:szCs w:val="21"/>
          </w:rPr>
          <w:fldChar w:fldCharType="separate"/>
        </w:r>
        <w:r w:rsidRPr="00DF0A66">
          <w:rPr>
            <w:noProof/>
            <w:webHidden/>
            <w:sz w:val="21"/>
            <w:szCs w:val="21"/>
          </w:rPr>
          <w:t>38</w:t>
        </w:r>
        <w:r w:rsidRPr="00DF0A66">
          <w:rPr>
            <w:noProof/>
            <w:webHidden/>
            <w:sz w:val="21"/>
            <w:szCs w:val="21"/>
          </w:rPr>
          <w:fldChar w:fldCharType="end"/>
        </w:r>
      </w:hyperlink>
    </w:p>
    <w:p w14:paraId="6EBF88BD" w14:textId="373F4B94"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39" w:history="1">
        <w:r w:rsidRPr="00DF0A66">
          <w:rPr>
            <w:rStyle w:val="Hyperlink"/>
            <w:noProof/>
            <w:sz w:val="21"/>
            <w:szCs w:val="21"/>
          </w:rPr>
          <w:t>Table 10: Staff Recruitment by Department,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_Toc137831139 \h </w:instrText>
        </w:r>
        <w:r w:rsidRPr="00DF0A66">
          <w:rPr>
            <w:noProof/>
            <w:webHidden/>
            <w:sz w:val="21"/>
            <w:szCs w:val="21"/>
          </w:rPr>
        </w:r>
        <w:r w:rsidRPr="00DF0A66">
          <w:rPr>
            <w:noProof/>
            <w:webHidden/>
            <w:sz w:val="21"/>
            <w:szCs w:val="21"/>
          </w:rPr>
          <w:fldChar w:fldCharType="separate"/>
        </w:r>
        <w:r w:rsidRPr="00DF0A66">
          <w:rPr>
            <w:noProof/>
            <w:webHidden/>
            <w:sz w:val="21"/>
            <w:szCs w:val="21"/>
          </w:rPr>
          <w:t>39</w:t>
        </w:r>
        <w:r w:rsidRPr="00DF0A66">
          <w:rPr>
            <w:noProof/>
            <w:webHidden/>
            <w:sz w:val="21"/>
            <w:szCs w:val="21"/>
          </w:rPr>
          <w:fldChar w:fldCharType="end"/>
        </w:r>
      </w:hyperlink>
    </w:p>
    <w:p w14:paraId="44EDBACA" w14:textId="0B21190C"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40" w:history="1">
        <w:r w:rsidRPr="00DF0A66">
          <w:rPr>
            <w:rStyle w:val="Hyperlink"/>
            <w:noProof/>
            <w:sz w:val="21"/>
            <w:szCs w:val="21"/>
          </w:rPr>
          <w:t>Table 11: Staff Separation by Department,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_Toc137831140 \h </w:instrText>
        </w:r>
        <w:r w:rsidRPr="00DF0A66">
          <w:rPr>
            <w:noProof/>
            <w:webHidden/>
            <w:sz w:val="21"/>
            <w:szCs w:val="21"/>
          </w:rPr>
        </w:r>
        <w:r w:rsidRPr="00DF0A66">
          <w:rPr>
            <w:noProof/>
            <w:webHidden/>
            <w:sz w:val="21"/>
            <w:szCs w:val="21"/>
          </w:rPr>
          <w:fldChar w:fldCharType="separate"/>
        </w:r>
        <w:r w:rsidRPr="00DF0A66">
          <w:rPr>
            <w:noProof/>
            <w:webHidden/>
            <w:sz w:val="21"/>
            <w:szCs w:val="21"/>
          </w:rPr>
          <w:t>40</w:t>
        </w:r>
        <w:r w:rsidRPr="00DF0A66">
          <w:rPr>
            <w:noProof/>
            <w:webHidden/>
            <w:sz w:val="21"/>
            <w:szCs w:val="21"/>
          </w:rPr>
          <w:fldChar w:fldCharType="end"/>
        </w:r>
      </w:hyperlink>
    </w:p>
    <w:p w14:paraId="6F23A215" w14:textId="6DA3CD46"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41" w:history="1">
        <w:r w:rsidRPr="00DF0A66">
          <w:rPr>
            <w:rStyle w:val="Hyperlink"/>
            <w:noProof/>
            <w:sz w:val="21"/>
            <w:szCs w:val="21"/>
          </w:rPr>
          <w:t>Table 12: Number of Training Beneficiaries by Department</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_Toc137831141 \h </w:instrText>
        </w:r>
        <w:r w:rsidRPr="00DF0A66">
          <w:rPr>
            <w:noProof/>
            <w:webHidden/>
            <w:sz w:val="21"/>
            <w:szCs w:val="21"/>
          </w:rPr>
        </w:r>
        <w:r w:rsidRPr="00DF0A66">
          <w:rPr>
            <w:noProof/>
            <w:webHidden/>
            <w:sz w:val="21"/>
            <w:szCs w:val="21"/>
          </w:rPr>
          <w:fldChar w:fldCharType="separate"/>
        </w:r>
        <w:r w:rsidRPr="00DF0A66">
          <w:rPr>
            <w:noProof/>
            <w:webHidden/>
            <w:sz w:val="21"/>
            <w:szCs w:val="21"/>
          </w:rPr>
          <w:t>41</w:t>
        </w:r>
        <w:r w:rsidRPr="00DF0A66">
          <w:rPr>
            <w:noProof/>
            <w:webHidden/>
            <w:sz w:val="21"/>
            <w:szCs w:val="21"/>
          </w:rPr>
          <w:fldChar w:fldCharType="end"/>
        </w:r>
      </w:hyperlink>
    </w:p>
    <w:p w14:paraId="450E0381" w14:textId="23CFE6E4"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42" w:history="1">
        <w:r w:rsidRPr="00DF0A66">
          <w:rPr>
            <w:rStyle w:val="Hyperlink"/>
            <w:noProof/>
            <w:sz w:val="21"/>
            <w:szCs w:val="21"/>
          </w:rPr>
          <w:t>Table 13: Clearing and Forwarding Agencies Licenses Processed in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_Toc137831142 \h </w:instrText>
        </w:r>
        <w:r w:rsidRPr="00DF0A66">
          <w:rPr>
            <w:noProof/>
            <w:webHidden/>
            <w:sz w:val="21"/>
            <w:szCs w:val="21"/>
          </w:rPr>
        </w:r>
        <w:r w:rsidRPr="00DF0A66">
          <w:rPr>
            <w:noProof/>
            <w:webHidden/>
            <w:sz w:val="21"/>
            <w:szCs w:val="21"/>
          </w:rPr>
          <w:fldChar w:fldCharType="separate"/>
        </w:r>
        <w:r w:rsidRPr="00DF0A66">
          <w:rPr>
            <w:noProof/>
            <w:webHidden/>
            <w:sz w:val="21"/>
            <w:szCs w:val="21"/>
          </w:rPr>
          <w:t>43</w:t>
        </w:r>
        <w:r w:rsidRPr="00DF0A66">
          <w:rPr>
            <w:noProof/>
            <w:webHidden/>
            <w:sz w:val="21"/>
            <w:szCs w:val="21"/>
          </w:rPr>
          <w:fldChar w:fldCharType="end"/>
        </w:r>
      </w:hyperlink>
    </w:p>
    <w:p w14:paraId="45A939B7" w14:textId="525BED38"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43" w:history="1">
        <w:r w:rsidRPr="00DF0A66">
          <w:rPr>
            <w:rStyle w:val="Hyperlink"/>
            <w:noProof/>
            <w:sz w:val="21"/>
            <w:szCs w:val="21"/>
          </w:rPr>
          <w:t>Table 14: Dutiable Imports in 2021 and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_Toc137831143 \h </w:instrText>
        </w:r>
        <w:r w:rsidRPr="00DF0A66">
          <w:rPr>
            <w:noProof/>
            <w:webHidden/>
            <w:sz w:val="21"/>
            <w:szCs w:val="21"/>
          </w:rPr>
        </w:r>
        <w:r w:rsidRPr="00DF0A66">
          <w:rPr>
            <w:noProof/>
            <w:webHidden/>
            <w:sz w:val="21"/>
            <w:szCs w:val="21"/>
          </w:rPr>
          <w:fldChar w:fldCharType="separate"/>
        </w:r>
        <w:r w:rsidRPr="00DF0A66">
          <w:rPr>
            <w:noProof/>
            <w:webHidden/>
            <w:sz w:val="21"/>
            <w:szCs w:val="21"/>
          </w:rPr>
          <w:t>47</w:t>
        </w:r>
        <w:r w:rsidRPr="00DF0A66">
          <w:rPr>
            <w:noProof/>
            <w:webHidden/>
            <w:sz w:val="21"/>
            <w:szCs w:val="21"/>
          </w:rPr>
          <w:fldChar w:fldCharType="end"/>
        </w:r>
      </w:hyperlink>
    </w:p>
    <w:p w14:paraId="0817F0C2" w14:textId="5476CC33"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44" w:history="1">
        <w:r w:rsidRPr="00DF0A66">
          <w:rPr>
            <w:rStyle w:val="Hyperlink"/>
            <w:noProof/>
            <w:sz w:val="21"/>
            <w:szCs w:val="21"/>
          </w:rPr>
          <w:t>Table 15: Non-Dutiable Imports in 2021 and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_Toc137831144 \h </w:instrText>
        </w:r>
        <w:r w:rsidRPr="00DF0A66">
          <w:rPr>
            <w:noProof/>
            <w:webHidden/>
            <w:sz w:val="21"/>
            <w:szCs w:val="21"/>
          </w:rPr>
        </w:r>
        <w:r w:rsidRPr="00DF0A66">
          <w:rPr>
            <w:noProof/>
            <w:webHidden/>
            <w:sz w:val="21"/>
            <w:szCs w:val="21"/>
          </w:rPr>
          <w:fldChar w:fldCharType="separate"/>
        </w:r>
        <w:r w:rsidRPr="00DF0A66">
          <w:rPr>
            <w:noProof/>
            <w:webHidden/>
            <w:sz w:val="21"/>
            <w:szCs w:val="21"/>
          </w:rPr>
          <w:t>48</w:t>
        </w:r>
        <w:r w:rsidRPr="00DF0A66">
          <w:rPr>
            <w:noProof/>
            <w:webHidden/>
            <w:sz w:val="21"/>
            <w:szCs w:val="21"/>
          </w:rPr>
          <w:fldChar w:fldCharType="end"/>
        </w:r>
      </w:hyperlink>
    </w:p>
    <w:p w14:paraId="197BFCB3" w14:textId="058C83C0"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45" w:history="1">
        <w:r w:rsidRPr="00DF0A66">
          <w:rPr>
            <w:rStyle w:val="Hyperlink"/>
            <w:noProof/>
            <w:sz w:val="21"/>
            <w:szCs w:val="21"/>
          </w:rPr>
          <w:t>Table 16: Import Value by Country of Origin in 2021 and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_Toc137831145 \h </w:instrText>
        </w:r>
        <w:r w:rsidRPr="00DF0A66">
          <w:rPr>
            <w:noProof/>
            <w:webHidden/>
            <w:sz w:val="21"/>
            <w:szCs w:val="21"/>
          </w:rPr>
        </w:r>
        <w:r w:rsidRPr="00DF0A66">
          <w:rPr>
            <w:noProof/>
            <w:webHidden/>
            <w:sz w:val="21"/>
            <w:szCs w:val="21"/>
          </w:rPr>
          <w:fldChar w:fldCharType="separate"/>
        </w:r>
        <w:r w:rsidRPr="00DF0A66">
          <w:rPr>
            <w:noProof/>
            <w:webHidden/>
            <w:sz w:val="21"/>
            <w:szCs w:val="21"/>
          </w:rPr>
          <w:t>49</w:t>
        </w:r>
        <w:r w:rsidRPr="00DF0A66">
          <w:rPr>
            <w:noProof/>
            <w:webHidden/>
            <w:sz w:val="21"/>
            <w:szCs w:val="21"/>
          </w:rPr>
          <w:fldChar w:fldCharType="end"/>
        </w:r>
      </w:hyperlink>
    </w:p>
    <w:p w14:paraId="449A17AC" w14:textId="475208BF"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46" w:history="1">
        <w:r w:rsidRPr="00DF0A66">
          <w:rPr>
            <w:rStyle w:val="Hyperlink"/>
            <w:noProof/>
            <w:sz w:val="21"/>
            <w:szCs w:val="21"/>
          </w:rPr>
          <w:t>Table 17: Revenue Raised by the Risk Management Unit,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_Toc137831146 \h </w:instrText>
        </w:r>
        <w:r w:rsidRPr="00DF0A66">
          <w:rPr>
            <w:noProof/>
            <w:webHidden/>
            <w:sz w:val="21"/>
            <w:szCs w:val="21"/>
          </w:rPr>
        </w:r>
        <w:r w:rsidRPr="00DF0A66">
          <w:rPr>
            <w:noProof/>
            <w:webHidden/>
            <w:sz w:val="21"/>
            <w:szCs w:val="21"/>
          </w:rPr>
          <w:fldChar w:fldCharType="separate"/>
        </w:r>
        <w:r w:rsidRPr="00DF0A66">
          <w:rPr>
            <w:noProof/>
            <w:webHidden/>
            <w:sz w:val="21"/>
            <w:szCs w:val="21"/>
          </w:rPr>
          <w:t>49</w:t>
        </w:r>
        <w:r w:rsidRPr="00DF0A66">
          <w:rPr>
            <w:noProof/>
            <w:webHidden/>
            <w:sz w:val="21"/>
            <w:szCs w:val="21"/>
          </w:rPr>
          <w:fldChar w:fldCharType="end"/>
        </w:r>
      </w:hyperlink>
    </w:p>
    <w:p w14:paraId="668B079C" w14:textId="1239A76C"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47" w:history="1">
        <w:r w:rsidRPr="00DF0A66">
          <w:rPr>
            <w:rStyle w:val="Hyperlink"/>
            <w:noProof/>
            <w:sz w:val="21"/>
            <w:szCs w:val="21"/>
          </w:rPr>
          <w:t>Table 18: Number of profiled importers by Selectivity Lane in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_Toc137831147 \h </w:instrText>
        </w:r>
        <w:r w:rsidRPr="00DF0A66">
          <w:rPr>
            <w:noProof/>
            <w:webHidden/>
            <w:sz w:val="21"/>
            <w:szCs w:val="21"/>
          </w:rPr>
        </w:r>
        <w:r w:rsidRPr="00DF0A66">
          <w:rPr>
            <w:noProof/>
            <w:webHidden/>
            <w:sz w:val="21"/>
            <w:szCs w:val="21"/>
          </w:rPr>
          <w:fldChar w:fldCharType="separate"/>
        </w:r>
        <w:r w:rsidRPr="00DF0A66">
          <w:rPr>
            <w:noProof/>
            <w:webHidden/>
            <w:sz w:val="21"/>
            <w:szCs w:val="21"/>
          </w:rPr>
          <w:t>50</w:t>
        </w:r>
        <w:r w:rsidRPr="00DF0A66">
          <w:rPr>
            <w:noProof/>
            <w:webHidden/>
            <w:sz w:val="21"/>
            <w:szCs w:val="21"/>
          </w:rPr>
          <w:fldChar w:fldCharType="end"/>
        </w:r>
      </w:hyperlink>
    </w:p>
    <w:p w14:paraId="7EAFDB9C" w14:textId="0FD803BA"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48" w:history="1">
        <w:r w:rsidRPr="00DF0A66">
          <w:rPr>
            <w:rStyle w:val="Hyperlink"/>
            <w:noProof/>
            <w:sz w:val="21"/>
            <w:szCs w:val="21"/>
          </w:rPr>
          <w:t>Table 19: Number of profiled declarants by Selectivity Lane in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_Toc137831148 \h </w:instrText>
        </w:r>
        <w:r w:rsidRPr="00DF0A66">
          <w:rPr>
            <w:noProof/>
            <w:webHidden/>
            <w:sz w:val="21"/>
            <w:szCs w:val="21"/>
          </w:rPr>
        </w:r>
        <w:r w:rsidRPr="00DF0A66">
          <w:rPr>
            <w:noProof/>
            <w:webHidden/>
            <w:sz w:val="21"/>
            <w:szCs w:val="21"/>
          </w:rPr>
          <w:fldChar w:fldCharType="separate"/>
        </w:r>
        <w:r w:rsidRPr="00DF0A66">
          <w:rPr>
            <w:noProof/>
            <w:webHidden/>
            <w:sz w:val="21"/>
            <w:szCs w:val="21"/>
          </w:rPr>
          <w:t>50</w:t>
        </w:r>
        <w:r w:rsidRPr="00DF0A66">
          <w:rPr>
            <w:noProof/>
            <w:webHidden/>
            <w:sz w:val="21"/>
            <w:szCs w:val="21"/>
          </w:rPr>
          <w:fldChar w:fldCharType="end"/>
        </w:r>
      </w:hyperlink>
    </w:p>
    <w:p w14:paraId="3B88FE1C" w14:textId="3AD3C006"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49" w:history="1">
        <w:r w:rsidRPr="00DF0A66">
          <w:rPr>
            <w:rStyle w:val="Hyperlink"/>
            <w:noProof/>
            <w:sz w:val="21"/>
            <w:szCs w:val="21"/>
          </w:rPr>
          <w:t>Table 20: Containers Examined and Released 2021 and 2022 by the Container Unit</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_Toc137831149 \h </w:instrText>
        </w:r>
        <w:r w:rsidRPr="00DF0A66">
          <w:rPr>
            <w:noProof/>
            <w:webHidden/>
            <w:sz w:val="21"/>
            <w:szCs w:val="21"/>
          </w:rPr>
        </w:r>
        <w:r w:rsidRPr="00DF0A66">
          <w:rPr>
            <w:noProof/>
            <w:webHidden/>
            <w:sz w:val="21"/>
            <w:szCs w:val="21"/>
          </w:rPr>
          <w:fldChar w:fldCharType="separate"/>
        </w:r>
        <w:r w:rsidRPr="00DF0A66">
          <w:rPr>
            <w:noProof/>
            <w:webHidden/>
            <w:sz w:val="21"/>
            <w:szCs w:val="21"/>
          </w:rPr>
          <w:t>53</w:t>
        </w:r>
        <w:r w:rsidRPr="00DF0A66">
          <w:rPr>
            <w:noProof/>
            <w:webHidden/>
            <w:sz w:val="21"/>
            <w:szCs w:val="21"/>
          </w:rPr>
          <w:fldChar w:fldCharType="end"/>
        </w:r>
      </w:hyperlink>
    </w:p>
    <w:p w14:paraId="11895D8E" w14:textId="32473758"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50" w:history="1">
        <w:r w:rsidRPr="00DF0A66">
          <w:rPr>
            <w:rStyle w:val="Hyperlink"/>
            <w:noProof/>
            <w:sz w:val="21"/>
            <w:szCs w:val="21"/>
          </w:rPr>
          <w:t>Table 21: Containers Examined and Released 2021 and 2022 by the Baggage Unit</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_Toc137831150 \h </w:instrText>
        </w:r>
        <w:r w:rsidRPr="00DF0A66">
          <w:rPr>
            <w:noProof/>
            <w:webHidden/>
            <w:sz w:val="21"/>
            <w:szCs w:val="21"/>
          </w:rPr>
        </w:r>
        <w:r w:rsidRPr="00DF0A66">
          <w:rPr>
            <w:noProof/>
            <w:webHidden/>
            <w:sz w:val="21"/>
            <w:szCs w:val="21"/>
          </w:rPr>
          <w:fldChar w:fldCharType="separate"/>
        </w:r>
        <w:r w:rsidRPr="00DF0A66">
          <w:rPr>
            <w:noProof/>
            <w:webHidden/>
            <w:sz w:val="21"/>
            <w:szCs w:val="21"/>
          </w:rPr>
          <w:t>54</w:t>
        </w:r>
        <w:r w:rsidRPr="00DF0A66">
          <w:rPr>
            <w:noProof/>
            <w:webHidden/>
            <w:sz w:val="21"/>
            <w:szCs w:val="21"/>
          </w:rPr>
          <w:fldChar w:fldCharType="end"/>
        </w:r>
      </w:hyperlink>
    </w:p>
    <w:p w14:paraId="5DD6BAD8" w14:textId="519E1D17"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51" w:history="1">
        <w:r w:rsidRPr="00DF0A66">
          <w:rPr>
            <w:rStyle w:val="Hyperlink"/>
            <w:noProof/>
            <w:sz w:val="21"/>
            <w:szCs w:val="21"/>
          </w:rPr>
          <w:t>Table 22: Declarations and Revenue Collection by the Vehicle Unit in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_Toc137831151 \h </w:instrText>
        </w:r>
        <w:r w:rsidRPr="00DF0A66">
          <w:rPr>
            <w:noProof/>
            <w:webHidden/>
            <w:sz w:val="21"/>
            <w:szCs w:val="21"/>
          </w:rPr>
        </w:r>
        <w:r w:rsidRPr="00DF0A66">
          <w:rPr>
            <w:noProof/>
            <w:webHidden/>
            <w:sz w:val="21"/>
            <w:szCs w:val="21"/>
          </w:rPr>
          <w:fldChar w:fldCharType="separate"/>
        </w:r>
        <w:r w:rsidRPr="00DF0A66">
          <w:rPr>
            <w:noProof/>
            <w:webHidden/>
            <w:sz w:val="21"/>
            <w:szCs w:val="21"/>
          </w:rPr>
          <w:t>55</w:t>
        </w:r>
        <w:r w:rsidRPr="00DF0A66">
          <w:rPr>
            <w:noProof/>
            <w:webHidden/>
            <w:sz w:val="21"/>
            <w:szCs w:val="21"/>
          </w:rPr>
          <w:fldChar w:fldCharType="end"/>
        </w:r>
      </w:hyperlink>
    </w:p>
    <w:p w14:paraId="11CADB65" w14:textId="0ACC8F86"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52" w:history="1">
        <w:r w:rsidRPr="00DF0A66">
          <w:rPr>
            <w:rStyle w:val="Hyperlink"/>
            <w:noProof/>
            <w:sz w:val="21"/>
            <w:szCs w:val="21"/>
          </w:rPr>
          <w:t>Table 23: Scanned Containers, 2021 vs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_Toc137831152 \h </w:instrText>
        </w:r>
        <w:r w:rsidRPr="00DF0A66">
          <w:rPr>
            <w:noProof/>
            <w:webHidden/>
            <w:sz w:val="21"/>
            <w:szCs w:val="21"/>
          </w:rPr>
        </w:r>
        <w:r w:rsidRPr="00DF0A66">
          <w:rPr>
            <w:noProof/>
            <w:webHidden/>
            <w:sz w:val="21"/>
            <w:szCs w:val="21"/>
          </w:rPr>
          <w:fldChar w:fldCharType="separate"/>
        </w:r>
        <w:r w:rsidRPr="00DF0A66">
          <w:rPr>
            <w:noProof/>
            <w:webHidden/>
            <w:sz w:val="21"/>
            <w:szCs w:val="21"/>
          </w:rPr>
          <w:t>56</w:t>
        </w:r>
        <w:r w:rsidRPr="00DF0A66">
          <w:rPr>
            <w:noProof/>
            <w:webHidden/>
            <w:sz w:val="21"/>
            <w:szCs w:val="21"/>
          </w:rPr>
          <w:fldChar w:fldCharType="end"/>
        </w:r>
      </w:hyperlink>
    </w:p>
    <w:p w14:paraId="2E4F6CE3" w14:textId="02713830"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53" w:history="1">
        <w:r w:rsidRPr="00DF0A66">
          <w:rPr>
            <w:rStyle w:val="Hyperlink"/>
            <w:noProof/>
            <w:sz w:val="21"/>
            <w:szCs w:val="21"/>
          </w:rPr>
          <w:t>Table 24: Scanned Containers by Size</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_Toc137831153 \h </w:instrText>
        </w:r>
        <w:r w:rsidRPr="00DF0A66">
          <w:rPr>
            <w:noProof/>
            <w:webHidden/>
            <w:sz w:val="21"/>
            <w:szCs w:val="21"/>
          </w:rPr>
        </w:r>
        <w:r w:rsidRPr="00DF0A66">
          <w:rPr>
            <w:noProof/>
            <w:webHidden/>
            <w:sz w:val="21"/>
            <w:szCs w:val="21"/>
          </w:rPr>
          <w:fldChar w:fldCharType="separate"/>
        </w:r>
        <w:r w:rsidRPr="00DF0A66">
          <w:rPr>
            <w:noProof/>
            <w:webHidden/>
            <w:sz w:val="21"/>
            <w:szCs w:val="21"/>
          </w:rPr>
          <w:t>56</w:t>
        </w:r>
        <w:r w:rsidRPr="00DF0A66">
          <w:rPr>
            <w:noProof/>
            <w:webHidden/>
            <w:sz w:val="21"/>
            <w:szCs w:val="21"/>
          </w:rPr>
          <w:fldChar w:fldCharType="end"/>
        </w:r>
      </w:hyperlink>
    </w:p>
    <w:p w14:paraId="381106F9" w14:textId="6EE9D914"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54" w:history="1">
        <w:r w:rsidRPr="00DF0A66">
          <w:rPr>
            <w:rStyle w:val="Hyperlink"/>
            <w:noProof/>
            <w:sz w:val="21"/>
            <w:szCs w:val="21"/>
          </w:rPr>
          <w:t>Table 25: Additional Revenue Generated from Unsatisfactory Scanned Reports by Month,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_Toc137831154 \h </w:instrText>
        </w:r>
        <w:r w:rsidRPr="00DF0A66">
          <w:rPr>
            <w:noProof/>
            <w:webHidden/>
            <w:sz w:val="21"/>
            <w:szCs w:val="21"/>
          </w:rPr>
        </w:r>
        <w:r w:rsidRPr="00DF0A66">
          <w:rPr>
            <w:noProof/>
            <w:webHidden/>
            <w:sz w:val="21"/>
            <w:szCs w:val="21"/>
          </w:rPr>
          <w:fldChar w:fldCharType="separate"/>
        </w:r>
        <w:r w:rsidRPr="00DF0A66">
          <w:rPr>
            <w:noProof/>
            <w:webHidden/>
            <w:sz w:val="21"/>
            <w:szCs w:val="21"/>
          </w:rPr>
          <w:t>57</w:t>
        </w:r>
        <w:r w:rsidRPr="00DF0A66">
          <w:rPr>
            <w:noProof/>
            <w:webHidden/>
            <w:sz w:val="21"/>
            <w:szCs w:val="21"/>
          </w:rPr>
          <w:fldChar w:fldCharType="end"/>
        </w:r>
      </w:hyperlink>
    </w:p>
    <w:p w14:paraId="00455561" w14:textId="6DEE7AAF"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55" w:history="1">
        <w:r w:rsidRPr="00DF0A66">
          <w:rPr>
            <w:rStyle w:val="Hyperlink"/>
            <w:noProof/>
            <w:sz w:val="21"/>
            <w:szCs w:val="21"/>
          </w:rPr>
          <w:t>Table 26: TINs Issued by Tax Office in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_Toc137831155 \h </w:instrText>
        </w:r>
        <w:r w:rsidRPr="00DF0A66">
          <w:rPr>
            <w:noProof/>
            <w:webHidden/>
            <w:sz w:val="21"/>
            <w:szCs w:val="21"/>
          </w:rPr>
        </w:r>
        <w:r w:rsidRPr="00DF0A66">
          <w:rPr>
            <w:noProof/>
            <w:webHidden/>
            <w:sz w:val="21"/>
            <w:szCs w:val="21"/>
          </w:rPr>
          <w:fldChar w:fldCharType="separate"/>
        </w:r>
        <w:r w:rsidRPr="00DF0A66">
          <w:rPr>
            <w:noProof/>
            <w:webHidden/>
            <w:sz w:val="21"/>
            <w:szCs w:val="21"/>
          </w:rPr>
          <w:t>58</w:t>
        </w:r>
        <w:r w:rsidRPr="00DF0A66">
          <w:rPr>
            <w:noProof/>
            <w:webHidden/>
            <w:sz w:val="21"/>
            <w:szCs w:val="21"/>
          </w:rPr>
          <w:fldChar w:fldCharType="end"/>
        </w:r>
      </w:hyperlink>
    </w:p>
    <w:p w14:paraId="7EE91252" w14:textId="69EDAC0E"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56" w:history="1">
        <w:r w:rsidRPr="00DF0A66">
          <w:rPr>
            <w:rStyle w:val="Hyperlink"/>
            <w:noProof/>
            <w:sz w:val="21"/>
            <w:szCs w:val="21"/>
          </w:rPr>
          <w:t>Table 27: Average Compliance Rate by Tax Office</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_Toc137831156 \h </w:instrText>
        </w:r>
        <w:r w:rsidRPr="00DF0A66">
          <w:rPr>
            <w:noProof/>
            <w:webHidden/>
            <w:sz w:val="21"/>
            <w:szCs w:val="21"/>
          </w:rPr>
        </w:r>
        <w:r w:rsidRPr="00DF0A66">
          <w:rPr>
            <w:noProof/>
            <w:webHidden/>
            <w:sz w:val="21"/>
            <w:szCs w:val="21"/>
          </w:rPr>
          <w:fldChar w:fldCharType="separate"/>
        </w:r>
        <w:r w:rsidRPr="00DF0A66">
          <w:rPr>
            <w:noProof/>
            <w:webHidden/>
            <w:sz w:val="21"/>
            <w:szCs w:val="21"/>
          </w:rPr>
          <w:t>60</w:t>
        </w:r>
        <w:r w:rsidRPr="00DF0A66">
          <w:rPr>
            <w:noProof/>
            <w:webHidden/>
            <w:sz w:val="21"/>
            <w:szCs w:val="21"/>
          </w:rPr>
          <w:fldChar w:fldCharType="end"/>
        </w:r>
      </w:hyperlink>
    </w:p>
    <w:p w14:paraId="4E70DAD0" w14:textId="3A0179C5"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57" w:history="1">
        <w:r w:rsidRPr="00DF0A66">
          <w:rPr>
            <w:rStyle w:val="Hyperlink"/>
            <w:noProof/>
            <w:sz w:val="21"/>
            <w:szCs w:val="21"/>
          </w:rPr>
          <w:t>Table 28: DTD Arrears by Tax Type and Office</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_Toc137831157 \h </w:instrText>
        </w:r>
        <w:r w:rsidRPr="00DF0A66">
          <w:rPr>
            <w:noProof/>
            <w:webHidden/>
            <w:sz w:val="21"/>
            <w:szCs w:val="21"/>
          </w:rPr>
        </w:r>
        <w:r w:rsidRPr="00DF0A66">
          <w:rPr>
            <w:noProof/>
            <w:webHidden/>
            <w:sz w:val="21"/>
            <w:szCs w:val="21"/>
          </w:rPr>
          <w:fldChar w:fldCharType="separate"/>
        </w:r>
        <w:r w:rsidRPr="00DF0A66">
          <w:rPr>
            <w:noProof/>
            <w:webHidden/>
            <w:sz w:val="21"/>
            <w:szCs w:val="21"/>
          </w:rPr>
          <w:t>60</w:t>
        </w:r>
        <w:r w:rsidRPr="00DF0A66">
          <w:rPr>
            <w:noProof/>
            <w:webHidden/>
            <w:sz w:val="21"/>
            <w:szCs w:val="21"/>
          </w:rPr>
          <w:fldChar w:fldCharType="end"/>
        </w:r>
      </w:hyperlink>
    </w:p>
    <w:p w14:paraId="5A872B90" w14:textId="4DFEA878"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58" w:history="1">
        <w:r w:rsidRPr="00DF0A66">
          <w:rPr>
            <w:rStyle w:val="Hyperlink"/>
            <w:noProof/>
            <w:sz w:val="21"/>
            <w:szCs w:val="21"/>
          </w:rPr>
          <w:t>Table 29: Additional Tax Liability Established through Audits (LTO)</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_Toc137831158 \h </w:instrText>
        </w:r>
        <w:r w:rsidRPr="00DF0A66">
          <w:rPr>
            <w:noProof/>
            <w:webHidden/>
            <w:sz w:val="21"/>
            <w:szCs w:val="21"/>
          </w:rPr>
        </w:r>
        <w:r w:rsidRPr="00DF0A66">
          <w:rPr>
            <w:noProof/>
            <w:webHidden/>
            <w:sz w:val="21"/>
            <w:szCs w:val="21"/>
          </w:rPr>
          <w:fldChar w:fldCharType="separate"/>
        </w:r>
        <w:r w:rsidRPr="00DF0A66">
          <w:rPr>
            <w:noProof/>
            <w:webHidden/>
            <w:sz w:val="21"/>
            <w:szCs w:val="21"/>
          </w:rPr>
          <w:t>61</w:t>
        </w:r>
        <w:r w:rsidRPr="00DF0A66">
          <w:rPr>
            <w:noProof/>
            <w:webHidden/>
            <w:sz w:val="21"/>
            <w:szCs w:val="21"/>
          </w:rPr>
          <w:fldChar w:fldCharType="end"/>
        </w:r>
      </w:hyperlink>
    </w:p>
    <w:p w14:paraId="0E9F1087" w14:textId="208B84AE"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59" w:history="1">
        <w:r w:rsidRPr="00DF0A66">
          <w:rPr>
            <w:rStyle w:val="Hyperlink"/>
            <w:noProof/>
            <w:sz w:val="21"/>
            <w:szCs w:val="21"/>
          </w:rPr>
          <w:t>Table 30: Additional Tax Liability Established through Audits (MTO)</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_Toc137831159 \h </w:instrText>
        </w:r>
        <w:r w:rsidRPr="00DF0A66">
          <w:rPr>
            <w:noProof/>
            <w:webHidden/>
            <w:sz w:val="21"/>
            <w:szCs w:val="21"/>
          </w:rPr>
        </w:r>
        <w:r w:rsidRPr="00DF0A66">
          <w:rPr>
            <w:noProof/>
            <w:webHidden/>
            <w:sz w:val="21"/>
            <w:szCs w:val="21"/>
          </w:rPr>
          <w:fldChar w:fldCharType="separate"/>
        </w:r>
        <w:r w:rsidRPr="00DF0A66">
          <w:rPr>
            <w:noProof/>
            <w:webHidden/>
            <w:sz w:val="21"/>
            <w:szCs w:val="21"/>
          </w:rPr>
          <w:t>62</w:t>
        </w:r>
        <w:r w:rsidRPr="00DF0A66">
          <w:rPr>
            <w:noProof/>
            <w:webHidden/>
            <w:sz w:val="21"/>
            <w:szCs w:val="21"/>
          </w:rPr>
          <w:fldChar w:fldCharType="end"/>
        </w:r>
      </w:hyperlink>
    </w:p>
    <w:p w14:paraId="0749BD06" w14:textId="6E4B2F3A"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60" w:history="1">
        <w:r w:rsidRPr="00DF0A66">
          <w:rPr>
            <w:rStyle w:val="Hyperlink"/>
            <w:noProof/>
            <w:sz w:val="21"/>
            <w:szCs w:val="21"/>
          </w:rPr>
          <w:t>Table 31: Additional Tax Liability Established through Audits (EIRU)</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_Toc137831160 \h </w:instrText>
        </w:r>
        <w:r w:rsidRPr="00DF0A66">
          <w:rPr>
            <w:noProof/>
            <w:webHidden/>
            <w:sz w:val="21"/>
            <w:szCs w:val="21"/>
          </w:rPr>
        </w:r>
        <w:r w:rsidRPr="00DF0A66">
          <w:rPr>
            <w:noProof/>
            <w:webHidden/>
            <w:sz w:val="21"/>
            <w:szCs w:val="21"/>
          </w:rPr>
          <w:fldChar w:fldCharType="separate"/>
        </w:r>
        <w:r w:rsidRPr="00DF0A66">
          <w:rPr>
            <w:noProof/>
            <w:webHidden/>
            <w:sz w:val="21"/>
            <w:szCs w:val="21"/>
          </w:rPr>
          <w:t>63</w:t>
        </w:r>
        <w:r w:rsidRPr="00DF0A66">
          <w:rPr>
            <w:noProof/>
            <w:webHidden/>
            <w:sz w:val="21"/>
            <w:szCs w:val="21"/>
          </w:rPr>
          <w:fldChar w:fldCharType="end"/>
        </w:r>
      </w:hyperlink>
    </w:p>
    <w:p w14:paraId="32E54893" w14:textId="2CE17792"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61" w:history="1">
        <w:r w:rsidRPr="00DF0A66">
          <w:rPr>
            <w:rStyle w:val="Hyperlink"/>
            <w:noProof/>
            <w:sz w:val="21"/>
            <w:szCs w:val="21"/>
          </w:rPr>
          <w:t>Table 32: Revenue Raised by Enforcement Units (MTO &amp; LTO, 2022)</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_Toc137831161 \h </w:instrText>
        </w:r>
        <w:r w:rsidRPr="00DF0A66">
          <w:rPr>
            <w:noProof/>
            <w:webHidden/>
            <w:sz w:val="21"/>
            <w:szCs w:val="21"/>
          </w:rPr>
        </w:r>
        <w:r w:rsidRPr="00DF0A66">
          <w:rPr>
            <w:noProof/>
            <w:webHidden/>
            <w:sz w:val="21"/>
            <w:szCs w:val="21"/>
          </w:rPr>
          <w:fldChar w:fldCharType="separate"/>
        </w:r>
        <w:r w:rsidRPr="00DF0A66">
          <w:rPr>
            <w:noProof/>
            <w:webHidden/>
            <w:sz w:val="21"/>
            <w:szCs w:val="21"/>
          </w:rPr>
          <w:t>63</w:t>
        </w:r>
        <w:r w:rsidRPr="00DF0A66">
          <w:rPr>
            <w:noProof/>
            <w:webHidden/>
            <w:sz w:val="21"/>
            <w:szCs w:val="21"/>
          </w:rPr>
          <w:fldChar w:fldCharType="end"/>
        </w:r>
      </w:hyperlink>
    </w:p>
    <w:p w14:paraId="211E0E7D" w14:textId="70504328"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62" w:history="1">
        <w:r w:rsidRPr="00DF0A66">
          <w:rPr>
            <w:rStyle w:val="Hyperlink"/>
            <w:noProof/>
            <w:sz w:val="21"/>
            <w:szCs w:val="21"/>
          </w:rPr>
          <w:t>Table 33: Original Domestic Revenue Projections for 2023</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_Toc137831162 \h </w:instrText>
        </w:r>
        <w:r w:rsidRPr="00DF0A66">
          <w:rPr>
            <w:noProof/>
            <w:webHidden/>
            <w:sz w:val="21"/>
            <w:szCs w:val="21"/>
          </w:rPr>
        </w:r>
        <w:r w:rsidRPr="00DF0A66">
          <w:rPr>
            <w:noProof/>
            <w:webHidden/>
            <w:sz w:val="21"/>
            <w:szCs w:val="21"/>
          </w:rPr>
          <w:fldChar w:fldCharType="separate"/>
        </w:r>
        <w:r w:rsidRPr="00DF0A66">
          <w:rPr>
            <w:noProof/>
            <w:webHidden/>
            <w:sz w:val="21"/>
            <w:szCs w:val="21"/>
          </w:rPr>
          <w:t>65</w:t>
        </w:r>
        <w:r w:rsidRPr="00DF0A66">
          <w:rPr>
            <w:noProof/>
            <w:webHidden/>
            <w:sz w:val="21"/>
            <w:szCs w:val="21"/>
          </w:rPr>
          <w:fldChar w:fldCharType="end"/>
        </w:r>
      </w:hyperlink>
    </w:p>
    <w:p w14:paraId="191E9825" w14:textId="2A23C83D" w:rsidR="009C1DE7" w:rsidRPr="00DF0A66" w:rsidRDefault="009C1DE7">
      <w:pPr>
        <w:pStyle w:val="TableofFigures"/>
        <w:tabs>
          <w:tab w:val="right" w:leader="dot" w:pos="9350"/>
        </w:tabs>
        <w:rPr>
          <w:rFonts w:asciiTheme="minorHAnsi" w:eastAsiaTheme="minorEastAsia" w:hAnsiTheme="minorHAnsi" w:cstheme="minorBidi"/>
          <w:noProof/>
          <w:kern w:val="2"/>
          <w:sz w:val="21"/>
          <w:szCs w:val="21"/>
          <w:lang w:val="en-CA"/>
          <w14:ligatures w14:val="standardContextual"/>
        </w:rPr>
      </w:pPr>
      <w:hyperlink w:anchor="_Toc137831163" w:history="1">
        <w:r w:rsidRPr="00DF0A66">
          <w:rPr>
            <w:rStyle w:val="Hyperlink"/>
            <w:noProof/>
            <w:sz w:val="21"/>
            <w:szCs w:val="21"/>
          </w:rPr>
          <w:t>Table 34: Quarterly Profile Target Breakdown of Revised 2023 Revenue Target</w:t>
        </w:r>
        <w:r w:rsidRPr="00DF0A66">
          <w:rPr>
            <w:noProof/>
            <w:webHidden/>
            <w:sz w:val="21"/>
            <w:szCs w:val="21"/>
          </w:rPr>
          <w:tab/>
        </w:r>
        <w:r w:rsidRPr="00DF0A66">
          <w:rPr>
            <w:noProof/>
            <w:webHidden/>
            <w:sz w:val="21"/>
            <w:szCs w:val="21"/>
          </w:rPr>
          <w:fldChar w:fldCharType="begin"/>
        </w:r>
        <w:r w:rsidRPr="00DF0A66">
          <w:rPr>
            <w:noProof/>
            <w:webHidden/>
            <w:sz w:val="21"/>
            <w:szCs w:val="21"/>
          </w:rPr>
          <w:instrText xml:space="preserve"> PAGEREF _Toc137831163 \h </w:instrText>
        </w:r>
        <w:r w:rsidRPr="00DF0A66">
          <w:rPr>
            <w:noProof/>
            <w:webHidden/>
            <w:sz w:val="21"/>
            <w:szCs w:val="21"/>
          </w:rPr>
        </w:r>
        <w:r w:rsidRPr="00DF0A66">
          <w:rPr>
            <w:noProof/>
            <w:webHidden/>
            <w:sz w:val="21"/>
            <w:szCs w:val="21"/>
          </w:rPr>
          <w:fldChar w:fldCharType="separate"/>
        </w:r>
        <w:r w:rsidRPr="00DF0A66">
          <w:rPr>
            <w:noProof/>
            <w:webHidden/>
            <w:sz w:val="21"/>
            <w:szCs w:val="21"/>
          </w:rPr>
          <w:t>66</w:t>
        </w:r>
        <w:r w:rsidRPr="00DF0A66">
          <w:rPr>
            <w:noProof/>
            <w:webHidden/>
            <w:sz w:val="21"/>
            <w:szCs w:val="21"/>
          </w:rPr>
          <w:fldChar w:fldCharType="end"/>
        </w:r>
      </w:hyperlink>
    </w:p>
    <w:p w14:paraId="59028519" w14:textId="247D2303" w:rsidR="00A819C4" w:rsidRPr="00A819C4" w:rsidRDefault="0059271D" w:rsidP="00DF0A66">
      <w:pPr>
        <w:rPr>
          <w:sz w:val="36"/>
          <w:szCs w:val="36"/>
        </w:rPr>
      </w:pPr>
      <w:r w:rsidRPr="00DF0A66">
        <w:rPr>
          <w:sz w:val="21"/>
          <w:szCs w:val="21"/>
        </w:rPr>
        <w:fldChar w:fldCharType="end"/>
      </w:r>
      <w:r w:rsidR="00A819C4" w:rsidRPr="00A819C4">
        <w:rPr>
          <w:sz w:val="36"/>
          <w:szCs w:val="36"/>
        </w:rPr>
        <w:t>List of Figures</w:t>
      </w:r>
    </w:p>
    <w:p w14:paraId="6E62B649" w14:textId="48340539" w:rsidR="009C1DE7" w:rsidRDefault="00A819C4">
      <w:pPr>
        <w:pStyle w:val="TableofFigures"/>
        <w:tabs>
          <w:tab w:val="right" w:leader="dot" w:pos="9350"/>
        </w:tabs>
        <w:rPr>
          <w:rFonts w:asciiTheme="minorHAnsi" w:eastAsiaTheme="minorEastAsia" w:hAnsiTheme="minorHAnsi" w:cstheme="minorBidi"/>
          <w:noProof/>
          <w:kern w:val="2"/>
          <w:sz w:val="24"/>
          <w:szCs w:val="24"/>
          <w:lang w:val="en-CA"/>
          <w14:ligatures w14:val="standardContextual"/>
        </w:rPr>
      </w:pPr>
      <w:r w:rsidRPr="00923467">
        <w:rPr>
          <w:b/>
          <w:bCs/>
          <w:sz w:val="24"/>
          <w:szCs w:val="24"/>
        </w:rPr>
        <w:fldChar w:fldCharType="begin"/>
      </w:r>
      <w:r w:rsidRPr="00923467">
        <w:rPr>
          <w:b/>
          <w:bCs/>
          <w:sz w:val="24"/>
          <w:szCs w:val="24"/>
        </w:rPr>
        <w:instrText xml:space="preserve"> TOC \h \z \c "Figure" </w:instrText>
      </w:r>
      <w:r w:rsidRPr="00923467">
        <w:rPr>
          <w:b/>
          <w:bCs/>
          <w:sz w:val="24"/>
          <w:szCs w:val="24"/>
        </w:rPr>
        <w:fldChar w:fldCharType="separate"/>
      </w:r>
      <w:hyperlink w:anchor="_Toc137831164" w:history="1">
        <w:r w:rsidR="009C1DE7" w:rsidRPr="000B053A">
          <w:rPr>
            <w:rStyle w:val="Hyperlink"/>
            <w:noProof/>
          </w:rPr>
          <w:t>Figure 1: Vision, Mission &amp; Mandate</w:t>
        </w:r>
        <w:r w:rsidR="009C1DE7">
          <w:rPr>
            <w:noProof/>
            <w:webHidden/>
          </w:rPr>
          <w:tab/>
        </w:r>
        <w:r w:rsidR="009C1DE7">
          <w:rPr>
            <w:noProof/>
            <w:webHidden/>
          </w:rPr>
          <w:fldChar w:fldCharType="begin"/>
        </w:r>
        <w:r w:rsidR="009C1DE7">
          <w:rPr>
            <w:noProof/>
            <w:webHidden/>
          </w:rPr>
          <w:instrText xml:space="preserve"> PAGEREF _Toc137831164 \h </w:instrText>
        </w:r>
        <w:r w:rsidR="009C1DE7">
          <w:rPr>
            <w:noProof/>
            <w:webHidden/>
          </w:rPr>
        </w:r>
        <w:r w:rsidR="009C1DE7">
          <w:rPr>
            <w:noProof/>
            <w:webHidden/>
          </w:rPr>
          <w:fldChar w:fldCharType="separate"/>
        </w:r>
        <w:r w:rsidR="009C1DE7">
          <w:rPr>
            <w:noProof/>
            <w:webHidden/>
          </w:rPr>
          <w:t>17</w:t>
        </w:r>
        <w:r w:rsidR="009C1DE7">
          <w:rPr>
            <w:noProof/>
            <w:webHidden/>
          </w:rPr>
          <w:fldChar w:fldCharType="end"/>
        </w:r>
      </w:hyperlink>
    </w:p>
    <w:p w14:paraId="5BF8001C" w14:textId="17C4F4EA" w:rsidR="009C1DE7" w:rsidRDefault="009C1DE7">
      <w:pPr>
        <w:pStyle w:val="TableofFigures"/>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137831165" w:history="1">
        <w:r w:rsidRPr="000B053A">
          <w:rPr>
            <w:rStyle w:val="Hyperlink"/>
            <w:noProof/>
          </w:rPr>
          <w:t>Figure 2: Core Values</w:t>
        </w:r>
        <w:r>
          <w:rPr>
            <w:noProof/>
            <w:webHidden/>
          </w:rPr>
          <w:tab/>
        </w:r>
        <w:r>
          <w:rPr>
            <w:noProof/>
            <w:webHidden/>
          </w:rPr>
          <w:fldChar w:fldCharType="begin"/>
        </w:r>
        <w:r>
          <w:rPr>
            <w:noProof/>
            <w:webHidden/>
          </w:rPr>
          <w:instrText xml:space="preserve"> PAGEREF _Toc137831165 \h </w:instrText>
        </w:r>
        <w:r>
          <w:rPr>
            <w:noProof/>
            <w:webHidden/>
          </w:rPr>
        </w:r>
        <w:r>
          <w:rPr>
            <w:noProof/>
            <w:webHidden/>
          </w:rPr>
          <w:fldChar w:fldCharType="separate"/>
        </w:r>
        <w:r>
          <w:rPr>
            <w:noProof/>
            <w:webHidden/>
          </w:rPr>
          <w:t>18</w:t>
        </w:r>
        <w:r>
          <w:rPr>
            <w:noProof/>
            <w:webHidden/>
          </w:rPr>
          <w:fldChar w:fldCharType="end"/>
        </w:r>
      </w:hyperlink>
    </w:p>
    <w:p w14:paraId="54291A19" w14:textId="779942BE" w:rsidR="009C1DE7" w:rsidRDefault="009C1DE7">
      <w:pPr>
        <w:pStyle w:val="TableofFigures"/>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137831166" w:history="1">
        <w:r w:rsidRPr="000B053A">
          <w:rPr>
            <w:rStyle w:val="Hyperlink"/>
            <w:noProof/>
          </w:rPr>
          <w:t>Figure 3: NRA Organogram</w:t>
        </w:r>
        <w:r>
          <w:rPr>
            <w:noProof/>
            <w:webHidden/>
          </w:rPr>
          <w:tab/>
        </w:r>
        <w:r>
          <w:rPr>
            <w:noProof/>
            <w:webHidden/>
          </w:rPr>
          <w:fldChar w:fldCharType="begin"/>
        </w:r>
        <w:r>
          <w:rPr>
            <w:noProof/>
            <w:webHidden/>
          </w:rPr>
          <w:instrText xml:space="preserve"> PAGEREF _Toc137831166 \h </w:instrText>
        </w:r>
        <w:r>
          <w:rPr>
            <w:noProof/>
            <w:webHidden/>
          </w:rPr>
        </w:r>
        <w:r>
          <w:rPr>
            <w:noProof/>
            <w:webHidden/>
          </w:rPr>
          <w:fldChar w:fldCharType="separate"/>
        </w:r>
        <w:r>
          <w:rPr>
            <w:noProof/>
            <w:webHidden/>
          </w:rPr>
          <w:t>20</w:t>
        </w:r>
        <w:r>
          <w:rPr>
            <w:noProof/>
            <w:webHidden/>
          </w:rPr>
          <w:fldChar w:fldCharType="end"/>
        </w:r>
      </w:hyperlink>
    </w:p>
    <w:p w14:paraId="47DB0873" w14:textId="34AF04DC" w:rsidR="009C1DE7" w:rsidRDefault="009C1DE7">
      <w:pPr>
        <w:pStyle w:val="TableofFigures"/>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137831167" w:history="1">
        <w:r w:rsidRPr="000B053A">
          <w:rPr>
            <w:rStyle w:val="Hyperlink"/>
            <w:noProof/>
          </w:rPr>
          <w:t>Figure 4: Trend in Domestic Revenue (2017-2022)</w:t>
        </w:r>
        <w:r>
          <w:rPr>
            <w:noProof/>
            <w:webHidden/>
          </w:rPr>
          <w:tab/>
        </w:r>
        <w:r>
          <w:rPr>
            <w:noProof/>
            <w:webHidden/>
          </w:rPr>
          <w:fldChar w:fldCharType="begin"/>
        </w:r>
        <w:r>
          <w:rPr>
            <w:noProof/>
            <w:webHidden/>
          </w:rPr>
          <w:instrText xml:space="preserve"> PAGEREF _Toc137831167 \h </w:instrText>
        </w:r>
        <w:r>
          <w:rPr>
            <w:noProof/>
            <w:webHidden/>
          </w:rPr>
        </w:r>
        <w:r>
          <w:rPr>
            <w:noProof/>
            <w:webHidden/>
          </w:rPr>
          <w:fldChar w:fldCharType="separate"/>
        </w:r>
        <w:r>
          <w:rPr>
            <w:noProof/>
            <w:webHidden/>
          </w:rPr>
          <w:t>21</w:t>
        </w:r>
        <w:r>
          <w:rPr>
            <w:noProof/>
            <w:webHidden/>
          </w:rPr>
          <w:fldChar w:fldCharType="end"/>
        </w:r>
      </w:hyperlink>
    </w:p>
    <w:p w14:paraId="38DFF5AD" w14:textId="1887A030" w:rsidR="009C1DE7" w:rsidRDefault="009C1DE7">
      <w:pPr>
        <w:pStyle w:val="TableofFigures"/>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137831168" w:history="1">
        <w:r w:rsidRPr="000B053A">
          <w:rPr>
            <w:rStyle w:val="Hyperlink"/>
            <w:noProof/>
          </w:rPr>
          <w:t>Figure 5: Revenue to GDP Ratio</w:t>
        </w:r>
        <w:r>
          <w:rPr>
            <w:noProof/>
            <w:webHidden/>
          </w:rPr>
          <w:tab/>
        </w:r>
        <w:r>
          <w:rPr>
            <w:noProof/>
            <w:webHidden/>
          </w:rPr>
          <w:fldChar w:fldCharType="begin"/>
        </w:r>
        <w:r>
          <w:rPr>
            <w:noProof/>
            <w:webHidden/>
          </w:rPr>
          <w:instrText xml:space="preserve"> PAGEREF _Toc137831168 \h </w:instrText>
        </w:r>
        <w:r>
          <w:rPr>
            <w:noProof/>
            <w:webHidden/>
          </w:rPr>
        </w:r>
        <w:r>
          <w:rPr>
            <w:noProof/>
            <w:webHidden/>
          </w:rPr>
          <w:fldChar w:fldCharType="separate"/>
        </w:r>
        <w:r>
          <w:rPr>
            <w:noProof/>
            <w:webHidden/>
          </w:rPr>
          <w:t>22</w:t>
        </w:r>
        <w:r>
          <w:rPr>
            <w:noProof/>
            <w:webHidden/>
          </w:rPr>
          <w:fldChar w:fldCharType="end"/>
        </w:r>
      </w:hyperlink>
    </w:p>
    <w:p w14:paraId="02E0B5C8" w14:textId="0482DCA6" w:rsidR="009C1DE7" w:rsidRDefault="009C1DE7">
      <w:pPr>
        <w:pStyle w:val="TableofFigures"/>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137831169" w:history="1">
        <w:r w:rsidRPr="000B053A">
          <w:rPr>
            <w:rStyle w:val="Hyperlink"/>
            <w:noProof/>
          </w:rPr>
          <w:t>Figure 6: Duty Waiver Trend (2017-2022)</w:t>
        </w:r>
        <w:r>
          <w:rPr>
            <w:noProof/>
            <w:webHidden/>
          </w:rPr>
          <w:tab/>
        </w:r>
        <w:r>
          <w:rPr>
            <w:noProof/>
            <w:webHidden/>
          </w:rPr>
          <w:fldChar w:fldCharType="begin"/>
        </w:r>
        <w:r>
          <w:rPr>
            <w:noProof/>
            <w:webHidden/>
          </w:rPr>
          <w:instrText xml:space="preserve"> PAGEREF _Toc137831169 \h </w:instrText>
        </w:r>
        <w:r>
          <w:rPr>
            <w:noProof/>
            <w:webHidden/>
          </w:rPr>
        </w:r>
        <w:r>
          <w:rPr>
            <w:noProof/>
            <w:webHidden/>
          </w:rPr>
          <w:fldChar w:fldCharType="separate"/>
        </w:r>
        <w:r>
          <w:rPr>
            <w:noProof/>
            <w:webHidden/>
          </w:rPr>
          <w:t>27</w:t>
        </w:r>
        <w:r>
          <w:rPr>
            <w:noProof/>
            <w:webHidden/>
          </w:rPr>
          <w:fldChar w:fldCharType="end"/>
        </w:r>
      </w:hyperlink>
    </w:p>
    <w:p w14:paraId="01AA7B86" w14:textId="4C65AE19" w:rsidR="009C1DE7" w:rsidRDefault="009C1DE7">
      <w:pPr>
        <w:pStyle w:val="TableofFigures"/>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137831170" w:history="1">
        <w:r w:rsidRPr="000B053A">
          <w:rPr>
            <w:rStyle w:val="Hyperlink"/>
            <w:noProof/>
          </w:rPr>
          <w:t>Figure 7: Staff Promotion by Department, 2022</w:t>
        </w:r>
        <w:r>
          <w:rPr>
            <w:noProof/>
            <w:webHidden/>
          </w:rPr>
          <w:tab/>
        </w:r>
        <w:r>
          <w:rPr>
            <w:noProof/>
            <w:webHidden/>
          </w:rPr>
          <w:fldChar w:fldCharType="begin"/>
        </w:r>
        <w:r>
          <w:rPr>
            <w:noProof/>
            <w:webHidden/>
          </w:rPr>
          <w:instrText xml:space="preserve"> PAGEREF _Toc137831170 \h </w:instrText>
        </w:r>
        <w:r>
          <w:rPr>
            <w:noProof/>
            <w:webHidden/>
          </w:rPr>
        </w:r>
        <w:r>
          <w:rPr>
            <w:noProof/>
            <w:webHidden/>
          </w:rPr>
          <w:fldChar w:fldCharType="separate"/>
        </w:r>
        <w:r>
          <w:rPr>
            <w:noProof/>
            <w:webHidden/>
          </w:rPr>
          <w:t>39</w:t>
        </w:r>
        <w:r>
          <w:rPr>
            <w:noProof/>
            <w:webHidden/>
          </w:rPr>
          <w:fldChar w:fldCharType="end"/>
        </w:r>
      </w:hyperlink>
    </w:p>
    <w:p w14:paraId="04516A33" w14:textId="05D91526" w:rsidR="009C1DE7" w:rsidRDefault="009C1DE7">
      <w:pPr>
        <w:pStyle w:val="TableofFigures"/>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137831171" w:history="1">
        <w:r w:rsidRPr="000B053A">
          <w:rPr>
            <w:rStyle w:val="Hyperlink"/>
            <w:noProof/>
          </w:rPr>
          <w:t>Figure 8: Staff Separation (2022 vs 2021)</w:t>
        </w:r>
        <w:r>
          <w:rPr>
            <w:noProof/>
            <w:webHidden/>
          </w:rPr>
          <w:tab/>
        </w:r>
        <w:r>
          <w:rPr>
            <w:noProof/>
            <w:webHidden/>
          </w:rPr>
          <w:fldChar w:fldCharType="begin"/>
        </w:r>
        <w:r>
          <w:rPr>
            <w:noProof/>
            <w:webHidden/>
          </w:rPr>
          <w:instrText xml:space="preserve"> PAGEREF _Toc137831171 \h </w:instrText>
        </w:r>
        <w:r>
          <w:rPr>
            <w:noProof/>
            <w:webHidden/>
          </w:rPr>
        </w:r>
        <w:r>
          <w:rPr>
            <w:noProof/>
            <w:webHidden/>
          </w:rPr>
          <w:fldChar w:fldCharType="separate"/>
        </w:r>
        <w:r>
          <w:rPr>
            <w:noProof/>
            <w:webHidden/>
          </w:rPr>
          <w:t>40</w:t>
        </w:r>
        <w:r>
          <w:rPr>
            <w:noProof/>
            <w:webHidden/>
          </w:rPr>
          <w:fldChar w:fldCharType="end"/>
        </w:r>
      </w:hyperlink>
    </w:p>
    <w:p w14:paraId="4263D893" w14:textId="0A2196B7" w:rsidR="009C1DE7" w:rsidRDefault="009C1DE7">
      <w:pPr>
        <w:pStyle w:val="TableofFigures"/>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137831172" w:history="1">
        <w:r w:rsidRPr="000B053A">
          <w:rPr>
            <w:rStyle w:val="Hyperlink"/>
            <w:noProof/>
          </w:rPr>
          <w:t>Figure 9: Additional Revenue Recovered by the Baggage Unit in 2022</w:t>
        </w:r>
        <w:r>
          <w:rPr>
            <w:noProof/>
            <w:webHidden/>
          </w:rPr>
          <w:tab/>
        </w:r>
        <w:r>
          <w:rPr>
            <w:noProof/>
            <w:webHidden/>
          </w:rPr>
          <w:fldChar w:fldCharType="begin"/>
        </w:r>
        <w:r>
          <w:rPr>
            <w:noProof/>
            <w:webHidden/>
          </w:rPr>
          <w:instrText xml:space="preserve"> PAGEREF _Toc137831172 \h </w:instrText>
        </w:r>
        <w:r>
          <w:rPr>
            <w:noProof/>
            <w:webHidden/>
          </w:rPr>
        </w:r>
        <w:r>
          <w:rPr>
            <w:noProof/>
            <w:webHidden/>
          </w:rPr>
          <w:fldChar w:fldCharType="separate"/>
        </w:r>
        <w:r>
          <w:rPr>
            <w:noProof/>
            <w:webHidden/>
          </w:rPr>
          <w:t>54</w:t>
        </w:r>
        <w:r>
          <w:rPr>
            <w:noProof/>
            <w:webHidden/>
          </w:rPr>
          <w:fldChar w:fldCharType="end"/>
        </w:r>
      </w:hyperlink>
    </w:p>
    <w:p w14:paraId="0B785E81" w14:textId="35EE562F" w:rsidR="009C1DE7" w:rsidRDefault="009C1DE7">
      <w:pPr>
        <w:pStyle w:val="TableofFigures"/>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137831173" w:history="1">
        <w:r w:rsidRPr="000B053A">
          <w:rPr>
            <w:rStyle w:val="Hyperlink"/>
            <w:noProof/>
          </w:rPr>
          <w:t>Figure 10: TINs Issued by Tax Type</w:t>
        </w:r>
        <w:r>
          <w:rPr>
            <w:noProof/>
            <w:webHidden/>
          </w:rPr>
          <w:tab/>
        </w:r>
        <w:r>
          <w:rPr>
            <w:noProof/>
            <w:webHidden/>
          </w:rPr>
          <w:fldChar w:fldCharType="begin"/>
        </w:r>
        <w:r>
          <w:rPr>
            <w:noProof/>
            <w:webHidden/>
          </w:rPr>
          <w:instrText xml:space="preserve"> PAGEREF _Toc137831173 \h </w:instrText>
        </w:r>
        <w:r>
          <w:rPr>
            <w:noProof/>
            <w:webHidden/>
          </w:rPr>
        </w:r>
        <w:r>
          <w:rPr>
            <w:noProof/>
            <w:webHidden/>
          </w:rPr>
          <w:fldChar w:fldCharType="separate"/>
        </w:r>
        <w:r>
          <w:rPr>
            <w:noProof/>
            <w:webHidden/>
          </w:rPr>
          <w:t>58</w:t>
        </w:r>
        <w:r>
          <w:rPr>
            <w:noProof/>
            <w:webHidden/>
          </w:rPr>
          <w:fldChar w:fldCharType="end"/>
        </w:r>
      </w:hyperlink>
    </w:p>
    <w:p w14:paraId="23CE3216" w14:textId="45BC9A53" w:rsidR="009C1DE7" w:rsidRDefault="009C1DE7">
      <w:pPr>
        <w:pStyle w:val="TableofFigures"/>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137831174" w:history="1">
        <w:r w:rsidRPr="000B053A">
          <w:rPr>
            <w:rStyle w:val="Hyperlink"/>
            <w:noProof/>
          </w:rPr>
          <w:t>Figure 11: TINs Issued by Purpose</w:t>
        </w:r>
        <w:r>
          <w:rPr>
            <w:noProof/>
            <w:webHidden/>
          </w:rPr>
          <w:tab/>
        </w:r>
        <w:r>
          <w:rPr>
            <w:noProof/>
            <w:webHidden/>
          </w:rPr>
          <w:fldChar w:fldCharType="begin"/>
        </w:r>
        <w:r>
          <w:rPr>
            <w:noProof/>
            <w:webHidden/>
          </w:rPr>
          <w:instrText xml:space="preserve"> PAGEREF _Toc137831174 \h </w:instrText>
        </w:r>
        <w:r>
          <w:rPr>
            <w:noProof/>
            <w:webHidden/>
          </w:rPr>
        </w:r>
        <w:r>
          <w:rPr>
            <w:noProof/>
            <w:webHidden/>
          </w:rPr>
          <w:fldChar w:fldCharType="separate"/>
        </w:r>
        <w:r>
          <w:rPr>
            <w:noProof/>
            <w:webHidden/>
          </w:rPr>
          <w:t>59</w:t>
        </w:r>
        <w:r>
          <w:rPr>
            <w:noProof/>
            <w:webHidden/>
          </w:rPr>
          <w:fldChar w:fldCharType="end"/>
        </w:r>
      </w:hyperlink>
    </w:p>
    <w:p w14:paraId="38644AD0" w14:textId="39A1B0EB" w:rsidR="009C1DE7" w:rsidRDefault="009C1DE7">
      <w:pPr>
        <w:pStyle w:val="TableofFigures"/>
        <w:tabs>
          <w:tab w:val="right" w:leader="dot" w:pos="9350"/>
        </w:tabs>
        <w:rPr>
          <w:rFonts w:asciiTheme="minorHAnsi" w:eastAsiaTheme="minorEastAsia" w:hAnsiTheme="minorHAnsi" w:cstheme="minorBidi"/>
          <w:noProof/>
          <w:kern w:val="2"/>
          <w:sz w:val="24"/>
          <w:szCs w:val="24"/>
          <w:lang w:val="en-CA"/>
          <w14:ligatures w14:val="standardContextual"/>
        </w:rPr>
      </w:pPr>
      <w:hyperlink w:anchor="_Toc137831175" w:history="1">
        <w:r w:rsidRPr="000B053A">
          <w:rPr>
            <w:rStyle w:val="Hyperlink"/>
            <w:noProof/>
          </w:rPr>
          <w:t>Figure 12: Average Compliance Rate by Tax Type</w:t>
        </w:r>
        <w:r>
          <w:rPr>
            <w:noProof/>
            <w:webHidden/>
          </w:rPr>
          <w:tab/>
        </w:r>
        <w:r>
          <w:rPr>
            <w:noProof/>
            <w:webHidden/>
          </w:rPr>
          <w:fldChar w:fldCharType="begin"/>
        </w:r>
        <w:r>
          <w:rPr>
            <w:noProof/>
            <w:webHidden/>
          </w:rPr>
          <w:instrText xml:space="preserve"> PAGEREF _Toc137831175 \h </w:instrText>
        </w:r>
        <w:r>
          <w:rPr>
            <w:noProof/>
            <w:webHidden/>
          </w:rPr>
        </w:r>
        <w:r>
          <w:rPr>
            <w:noProof/>
            <w:webHidden/>
          </w:rPr>
          <w:fldChar w:fldCharType="separate"/>
        </w:r>
        <w:r>
          <w:rPr>
            <w:noProof/>
            <w:webHidden/>
          </w:rPr>
          <w:t>60</w:t>
        </w:r>
        <w:r>
          <w:rPr>
            <w:noProof/>
            <w:webHidden/>
          </w:rPr>
          <w:fldChar w:fldCharType="end"/>
        </w:r>
      </w:hyperlink>
    </w:p>
    <w:p w14:paraId="08BAAFFC" w14:textId="7A96D8B6" w:rsidR="00A819C4" w:rsidRPr="00923467" w:rsidRDefault="00A819C4" w:rsidP="00A819C4">
      <w:r w:rsidRPr="00923467">
        <w:fldChar w:fldCharType="end"/>
      </w:r>
    </w:p>
    <w:p w14:paraId="3B02D9DC" w14:textId="6A8D2D10" w:rsidR="00A819C4" w:rsidRPr="00923467" w:rsidRDefault="00A819C4" w:rsidP="00DF0A66">
      <w:pPr>
        <w:jc w:val="center"/>
      </w:pPr>
    </w:p>
    <w:p w14:paraId="1E043B7D" w14:textId="77777777" w:rsidR="00A819C4" w:rsidRDefault="00A819C4">
      <w:pPr>
        <w:spacing w:after="160" w:line="259" w:lineRule="auto"/>
        <w:jc w:val="left"/>
      </w:pPr>
      <w:r>
        <w:br w:type="page"/>
      </w:r>
    </w:p>
    <w:p w14:paraId="6056C164" w14:textId="776CA509" w:rsidR="0019333F" w:rsidRPr="00A819C4" w:rsidRDefault="00C42D89" w:rsidP="00A819C4">
      <w:pPr>
        <w:jc w:val="center"/>
        <w:rPr>
          <w:sz w:val="36"/>
          <w:szCs w:val="36"/>
        </w:rPr>
      </w:pPr>
      <w:r w:rsidRPr="00A819C4">
        <w:rPr>
          <w:sz w:val="36"/>
          <w:szCs w:val="36"/>
        </w:rPr>
        <w:t>List of Acronyms</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0"/>
        <w:gridCol w:w="7614"/>
      </w:tblGrid>
      <w:tr w:rsidR="0019333F" w:rsidRPr="00923467" w14:paraId="644B912E" w14:textId="77777777" w:rsidTr="00A819C4">
        <w:trPr>
          <w:trHeight w:val="300"/>
        </w:trPr>
        <w:tc>
          <w:tcPr>
            <w:tcW w:w="1600" w:type="dxa"/>
            <w:noWrap/>
            <w:hideMark/>
          </w:tcPr>
          <w:p w14:paraId="1C15F491" w14:textId="77777777" w:rsidR="0019333F" w:rsidRPr="00923467" w:rsidRDefault="0019333F" w:rsidP="00923467">
            <w:r w:rsidRPr="00923467">
              <w:t>A-CIP</w:t>
            </w:r>
          </w:p>
        </w:tc>
        <w:tc>
          <w:tcPr>
            <w:tcW w:w="7614" w:type="dxa"/>
            <w:noWrap/>
            <w:hideMark/>
          </w:tcPr>
          <w:p w14:paraId="1154263C" w14:textId="4BC6155D" w:rsidR="0019333F" w:rsidRPr="00923467" w:rsidRDefault="0019333F" w:rsidP="00923467">
            <w:pPr>
              <w:rPr>
                <w:b/>
                <w:bCs/>
              </w:rPr>
            </w:pPr>
            <w:r w:rsidRPr="00923467">
              <w:t>Anti-Corruption and Integrity Promotion Programme</w:t>
            </w:r>
          </w:p>
        </w:tc>
      </w:tr>
      <w:tr w:rsidR="0019333F" w:rsidRPr="00923467" w14:paraId="0A06486F" w14:textId="77777777" w:rsidTr="00A819C4">
        <w:trPr>
          <w:trHeight w:val="300"/>
        </w:trPr>
        <w:tc>
          <w:tcPr>
            <w:tcW w:w="1600" w:type="dxa"/>
            <w:noWrap/>
            <w:hideMark/>
          </w:tcPr>
          <w:p w14:paraId="420D7331" w14:textId="77777777" w:rsidR="0019333F" w:rsidRPr="00923467" w:rsidRDefault="0019333F" w:rsidP="00923467">
            <w:r w:rsidRPr="00923467">
              <w:t>ASU</w:t>
            </w:r>
          </w:p>
        </w:tc>
        <w:tc>
          <w:tcPr>
            <w:tcW w:w="7614" w:type="dxa"/>
            <w:noWrap/>
            <w:hideMark/>
          </w:tcPr>
          <w:p w14:paraId="190904B5" w14:textId="77777777" w:rsidR="0019333F" w:rsidRPr="00923467" w:rsidRDefault="0019333F" w:rsidP="00923467">
            <w:r w:rsidRPr="00923467">
              <w:t xml:space="preserve">Anti-Smuggling Unit </w:t>
            </w:r>
          </w:p>
        </w:tc>
      </w:tr>
      <w:tr w:rsidR="0019333F" w:rsidRPr="00923467" w14:paraId="1E58BB00" w14:textId="77777777" w:rsidTr="00A819C4">
        <w:trPr>
          <w:trHeight w:val="300"/>
        </w:trPr>
        <w:tc>
          <w:tcPr>
            <w:tcW w:w="1600" w:type="dxa"/>
            <w:noWrap/>
            <w:hideMark/>
          </w:tcPr>
          <w:p w14:paraId="2E15720A" w14:textId="77777777" w:rsidR="0019333F" w:rsidRPr="00923467" w:rsidRDefault="0019333F" w:rsidP="00923467">
            <w:r w:rsidRPr="00923467">
              <w:t>ASYCUDA</w:t>
            </w:r>
          </w:p>
        </w:tc>
        <w:tc>
          <w:tcPr>
            <w:tcW w:w="7614" w:type="dxa"/>
            <w:noWrap/>
            <w:hideMark/>
          </w:tcPr>
          <w:p w14:paraId="07C4A774" w14:textId="77777777" w:rsidR="0019333F" w:rsidRPr="00923467" w:rsidRDefault="0019333F" w:rsidP="00923467">
            <w:r w:rsidRPr="00923467">
              <w:t>Automated System for Customs Data</w:t>
            </w:r>
          </w:p>
        </w:tc>
      </w:tr>
      <w:tr w:rsidR="0019333F" w:rsidRPr="00923467" w14:paraId="7742EF7A" w14:textId="77777777" w:rsidTr="00A819C4">
        <w:trPr>
          <w:trHeight w:val="300"/>
        </w:trPr>
        <w:tc>
          <w:tcPr>
            <w:tcW w:w="1600" w:type="dxa"/>
            <w:noWrap/>
            <w:hideMark/>
          </w:tcPr>
          <w:p w14:paraId="4D0AA8C5" w14:textId="77777777" w:rsidR="0019333F" w:rsidRPr="00923467" w:rsidRDefault="0019333F" w:rsidP="00923467">
            <w:r w:rsidRPr="00923467">
              <w:t>ATAF</w:t>
            </w:r>
          </w:p>
        </w:tc>
        <w:tc>
          <w:tcPr>
            <w:tcW w:w="7614" w:type="dxa"/>
            <w:noWrap/>
            <w:hideMark/>
          </w:tcPr>
          <w:p w14:paraId="2CF96921" w14:textId="77777777" w:rsidR="0019333F" w:rsidRPr="00923467" w:rsidRDefault="0019333F" w:rsidP="00923467">
            <w:r w:rsidRPr="00923467">
              <w:t>African Tax Administration Forum</w:t>
            </w:r>
          </w:p>
        </w:tc>
      </w:tr>
      <w:tr w:rsidR="0019333F" w:rsidRPr="00923467" w14:paraId="29FFEC18" w14:textId="77777777" w:rsidTr="00A819C4">
        <w:trPr>
          <w:trHeight w:val="300"/>
        </w:trPr>
        <w:tc>
          <w:tcPr>
            <w:tcW w:w="1600" w:type="dxa"/>
            <w:noWrap/>
            <w:hideMark/>
          </w:tcPr>
          <w:p w14:paraId="5DEA0904" w14:textId="77777777" w:rsidR="0019333F" w:rsidRPr="00923467" w:rsidRDefault="0019333F" w:rsidP="00923467">
            <w:r w:rsidRPr="00923467">
              <w:t>AYV</w:t>
            </w:r>
          </w:p>
        </w:tc>
        <w:tc>
          <w:tcPr>
            <w:tcW w:w="7614" w:type="dxa"/>
            <w:noWrap/>
            <w:hideMark/>
          </w:tcPr>
          <w:p w14:paraId="7668B54B" w14:textId="77777777" w:rsidR="0019333F" w:rsidRPr="00923467" w:rsidRDefault="0019333F" w:rsidP="00923467">
            <w:r w:rsidRPr="00923467">
              <w:t xml:space="preserve">African Young Voices </w:t>
            </w:r>
          </w:p>
        </w:tc>
      </w:tr>
      <w:tr w:rsidR="0019333F" w:rsidRPr="00923467" w14:paraId="78441DF2" w14:textId="77777777" w:rsidTr="00A819C4">
        <w:trPr>
          <w:trHeight w:val="300"/>
        </w:trPr>
        <w:tc>
          <w:tcPr>
            <w:tcW w:w="1600" w:type="dxa"/>
            <w:noWrap/>
            <w:hideMark/>
          </w:tcPr>
          <w:p w14:paraId="5A111348" w14:textId="77777777" w:rsidR="0019333F" w:rsidRPr="00923467" w:rsidRDefault="0019333F" w:rsidP="00923467">
            <w:r w:rsidRPr="00923467">
              <w:t>BCM</w:t>
            </w:r>
          </w:p>
        </w:tc>
        <w:tc>
          <w:tcPr>
            <w:tcW w:w="7614" w:type="dxa"/>
            <w:noWrap/>
            <w:hideMark/>
          </w:tcPr>
          <w:p w14:paraId="5C1DA4B2" w14:textId="77777777" w:rsidR="0019333F" w:rsidRPr="00923467" w:rsidRDefault="0019333F" w:rsidP="00923467">
            <w:r w:rsidRPr="00923467">
              <w:t>Border Controls and Management</w:t>
            </w:r>
          </w:p>
        </w:tc>
      </w:tr>
      <w:tr w:rsidR="0019333F" w:rsidRPr="00923467" w14:paraId="603FF172" w14:textId="77777777" w:rsidTr="00A819C4">
        <w:trPr>
          <w:trHeight w:val="300"/>
        </w:trPr>
        <w:tc>
          <w:tcPr>
            <w:tcW w:w="1600" w:type="dxa"/>
            <w:noWrap/>
            <w:hideMark/>
          </w:tcPr>
          <w:p w14:paraId="683DD296" w14:textId="77777777" w:rsidR="0019333F" w:rsidRPr="00923467" w:rsidRDefault="0019333F" w:rsidP="00923467">
            <w:r w:rsidRPr="00923467">
              <w:t>BMS</w:t>
            </w:r>
          </w:p>
        </w:tc>
        <w:tc>
          <w:tcPr>
            <w:tcW w:w="7614" w:type="dxa"/>
            <w:noWrap/>
            <w:hideMark/>
          </w:tcPr>
          <w:p w14:paraId="26C4A022" w14:textId="77777777" w:rsidR="0019333F" w:rsidRPr="00923467" w:rsidRDefault="0019333F" w:rsidP="00923467">
            <w:r w:rsidRPr="00923467">
              <w:t xml:space="preserve">Block Management System </w:t>
            </w:r>
          </w:p>
        </w:tc>
      </w:tr>
      <w:tr w:rsidR="0019333F" w:rsidRPr="00923467" w14:paraId="6EC1F5F2" w14:textId="77777777" w:rsidTr="00A819C4">
        <w:trPr>
          <w:trHeight w:val="300"/>
        </w:trPr>
        <w:tc>
          <w:tcPr>
            <w:tcW w:w="1600" w:type="dxa"/>
            <w:noWrap/>
            <w:hideMark/>
          </w:tcPr>
          <w:p w14:paraId="101E8BFE" w14:textId="77777777" w:rsidR="0019333F" w:rsidRPr="00923467" w:rsidRDefault="0019333F" w:rsidP="00923467">
            <w:r w:rsidRPr="00923467">
              <w:t>C&amp;FA</w:t>
            </w:r>
          </w:p>
        </w:tc>
        <w:tc>
          <w:tcPr>
            <w:tcW w:w="7614" w:type="dxa"/>
            <w:noWrap/>
            <w:hideMark/>
          </w:tcPr>
          <w:p w14:paraId="7EED4020" w14:textId="77777777" w:rsidR="0019333F" w:rsidRPr="00923467" w:rsidRDefault="0019333F" w:rsidP="00923467">
            <w:r w:rsidRPr="00923467">
              <w:t xml:space="preserve">Clearing and Forwarding Agencies </w:t>
            </w:r>
          </w:p>
        </w:tc>
      </w:tr>
      <w:tr w:rsidR="0019333F" w:rsidRPr="00923467" w14:paraId="742EE54B" w14:textId="77777777" w:rsidTr="00A819C4">
        <w:trPr>
          <w:trHeight w:val="300"/>
        </w:trPr>
        <w:tc>
          <w:tcPr>
            <w:tcW w:w="1600" w:type="dxa"/>
            <w:noWrap/>
            <w:hideMark/>
          </w:tcPr>
          <w:p w14:paraId="22053B87" w14:textId="77777777" w:rsidR="0019333F" w:rsidRPr="00923467" w:rsidRDefault="0019333F" w:rsidP="00923467">
            <w:r w:rsidRPr="00923467">
              <w:t>CG</w:t>
            </w:r>
          </w:p>
        </w:tc>
        <w:tc>
          <w:tcPr>
            <w:tcW w:w="7614" w:type="dxa"/>
            <w:noWrap/>
            <w:hideMark/>
          </w:tcPr>
          <w:p w14:paraId="3DC97233" w14:textId="77777777" w:rsidR="0019333F" w:rsidRPr="00923467" w:rsidRDefault="0019333F" w:rsidP="00923467">
            <w:r w:rsidRPr="00923467">
              <w:t>Commissioner-General</w:t>
            </w:r>
          </w:p>
        </w:tc>
      </w:tr>
      <w:tr w:rsidR="0019333F" w:rsidRPr="00923467" w14:paraId="26E53CFF" w14:textId="77777777" w:rsidTr="00A819C4">
        <w:trPr>
          <w:trHeight w:val="300"/>
        </w:trPr>
        <w:tc>
          <w:tcPr>
            <w:tcW w:w="1600" w:type="dxa"/>
            <w:noWrap/>
            <w:hideMark/>
          </w:tcPr>
          <w:p w14:paraId="461F551F" w14:textId="77777777" w:rsidR="0019333F" w:rsidRPr="00923467" w:rsidRDefault="0019333F" w:rsidP="00923467">
            <w:r w:rsidRPr="00923467">
              <w:t>CIF</w:t>
            </w:r>
          </w:p>
        </w:tc>
        <w:tc>
          <w:tcPr>
            <w:tcW w:w="7614" w:type="dxa"/>
            <w:noWrap/>
            <w:hideMark/>
          </w:tcPr>
          <w:p w14:paraId="3B116F3D" w14:textId="77777777" w:rsidR="0019333F" w:rsidRPr="00923467" w:rsidRDefault="0019333F" w:rsidP="00923467">
            <w:r w:rsidRPr="00923467">
              <w:t>Cost, Insurance and Freight</w:t>
            </w:r>
          </w:p>
        </w:tc>
      </w:tr>
      <w:tr w:rsidR="0019333F" w:rsidRPr="00923467" w14:paraId="12582A77" w14:textId="77777777" w:rsidTr="00A819C4">
        <w:trPr>
          <w:trHeight w:val="300"/>
        </w:trPr>
        <w:tc>
          <w:tcPr>
            <w:tcW w:w="1600" w:type="dxa"/>
            <w:noWrap/>
            <w:hideMark/>
          </w:tcPr>
          <w:p w14:paraId="4361C134" w14:textId="77777777" w:rsidR="0019333F" w:rsidRPr="00923467" w:rsidRDefault="0019333F" w:rsidP="00923467">
            <w:r w:rsidRPr="00923467">
              <w:t>CIT</w:t>
            </w:r>
          </w:p>
        </w:tc>
        <w:tc>
          <w:tcPr>
            <w:tcW w:w="7614" w:type="dxa"/>
            <w:noWrap/>
            <w:hideMark/>
          </w:tcPr>
          <w:p w14:paraId="183DB512" w14:textId="77777777" w:rsidR="0019333F" w:rsidRPr="00923467" w:rsidRDefault="0019333F" w:rsidP="00923467">
            <w:r w:rsidRPr="00923467">
              <w:t>Corporate Income Tax</w:t>
            </w:r>
          </w:p>
        </w:tc>
      </w:tr>
      <w:tr w:rsidR="0019333F" w:rsidRPr="00923467" w14:paraId="00638802" w14:textId="77777777" w:rsidTr="00A819C4">
        <w:trPr>
          <w:trHeight w:val="300"/>
        </w:trPr>
        <w:tc>
          <w:tcPr>
            <w:tcW w:w="1600" w:type="dxa"/>
            <w:noWrap/>
            <w:hideMark/>
          </w:tcPr>
          <w:p w14:paraId="5B61D02D" w14:textId="77777777" w:rsidR="0019333F" w:rsidRPr="00923467" w:rsidRDefault="0019333F" w:rsidP="00923467">
            <w:r w:rsidRPr="00923467">
              <w:t>CSD</w:t>
            </w:r>
          </w:p>
        </w:tc>
        <w:tc>
          <w:tcPr>
            <w:tcW w:w="7614" w:type="dxa"/>
            <w:noWrap/>
            <w:hideMark/>
          </w:tcPr>
          <w:p w14:paraId="527C29FC" w14:textId="77777777" w:rsidR="0019333F" w:rsidRPr="00923467" w:rsidRDefault="0019333F" w:rsidP="00923467">
            <w:r w:rsidRPr="00923467">
              <w:t>Customs Services Department</w:t>
            </w:r>
          </w:p>
        </w:tc>
      </w:tr>
      <w:tr w:rsidR="0019333F" w:rsidRPr="00923467" w14:paraId="28F0AD1D" w14:textId="77777777" w:rsidTr="00A819C4">
        <w:trPr>
          <w:trHeight w:val="300"/>
        </w:trPr>
        <w:tc>
          <w:tcPr>
            <w:tcW w:w="1600" w:type="dxa"/>
            <w:noWrap/>
            <w:hideMark/>
          </w:tcPr>
          <w:p w14:paraId="056577F1" w14:textId="77777777" w:rsidR="0019333F" w:rsidRPr="00923467" w:rsidRDefault="0019333F" w:rsidP="00923467">
            <w:r w:rsidRPr="00923467">
              <w:t>CSOs</w:t>
            </w:r>
          </w:p>
        </w:tc>
        <w:tc>
          <w:tcPr>
            <w:tcW w:w="7614" w:type="dxa"/>
            <w:noWrap/>
            <w:hideMark/>
          </w:tcPr>
          <w:p w14:paraId="20B70968" w14:textId="77777777" w:rsidR="0019333F" w:rsidRPr="00923467" w:rsidRDefault="0019333F" w:rsidP="00923467">
            <w:r w:rsidRPr="00923467">
              <w:t xml:space="preserve">Civil Society Organizations </w:t>
            </w:r>
          </w:p>
        </w:tc>
      </w:tr>
      <w:tr w:rsidR="0019333F" w:rsidRPr="00923467" w14:paraId="79B7F0C5" w14:textId="77777777" w:rsidTr="00A819C4">
        <w:trPr>
          <w:trHeight w:val="300"/>
        </w:trPr>
        <w:tc>
          <w:tcPr>
            <w:tcW w:w="1600" w:type="dxa"/>
            <w:noWrap/>
            <w:hideMark/>
          </w:tcPr>
          <w:p w14:paraId="342E0C63" w14:textId="77777777" w:rsidR="0019333F" w:rsidRPr="00923467" w:rsidRDefault="0019333F" w:rsidP="00923467">
            <w:r w:rsidRPr="00923467">
              <w:t>D&amp;M</w:t>
            </w:r>
          </w:p>
        </w:tc>
        <w:tc>
          <w:tcPr>
            <w:tcW w:w="7614" w:type="dxa"/>
            <w:noWrap/>
            <w:hideMark/>
          </w:tcPr>
          <w:p w14:paraId="659E01CD" w14:textId="77777777" w:rsidR="0019333F" w:rsidRPr="00923467" w:rsidRDefault="0019333F" w:rsidP="00923467">
            <w:r w:rsidRPr="00923467">
              <w:t xml:space="preserve">Design and Monitoring </w:t>
            </w:r>
          </w:p>
        </w:tc>
      </w:tr>
      <w:tr w:rsidR="0019333F" w:rsidRPr="00923467" w14:paraId="201EB910" w14:textId="77777777" w:rsidTr="00A819C4">
        <w:trPr>
          <w:trHeight w:val="300"/>
        </w:trPr>
        <w:tc>
          <w:tcPr>
            <w:tcW w:w="1600" w:type="dxa"/>
            <w:noWrap/>
            <w:hideMark/>
          </w:tcPr>
          <w:p w14:paraId="209CAF41" w14:textId="77777777" w:rsidR="0019333F" w:rsidRPr="00923467" w:rsidRDefault="0019333F" w:rsidP="00923467">
            <w:r w:rsidRPr="00923467">
              <w:t>DCG</w:t>
            </w:r>
          </w:p>
        </w:tc>
        <w:tc>
          <w:tcPr>
            <w:tcW w:w="7614" w:type="dxa"/>
            <w:noWrap/>
            <w:hideMark/>
          </w:tcPr>
          <w:p w14:paraId="35FC037E" w14:textId="77777777" w:rsidR="0019333F" w:rsidRPr="00923467" w:rsidRDefault="0019333F" w:rsidP="00923467">
            <w:r w:rsidRPr="00923467">
              <w:t>Deputy Commissioner-General</w:t>
            </w:r>
          </w:p>
        </w:tc>
      </w:tr>
      <w:tr w:rsidR="0019333F" w:rsidRPr="00923467" w14:paraId="1A122B87" w14:textId="77777777" w:rsidTr="00A819C4">
        <w:trPr>
          <w:trHeight w:val="300"/>
        </w:trPr>
        <w:tc>
          <w:tcPr>
            <w:tcW w:w="1600" w:type="dxa"/>
            <w:noWrap/>
            <w:hideMark/>
          </w:tcPr>
          <w:p w14:paraId="55AE6ECE" w14:textId="77777777" w:rsidR="0019333F" w:rsidRPr="00923467" w:rsidRDefault="0019333F" w:rsidP="00923467">
            <w:r w:rsidRPr="00923467">
              <w:t>DIPS</w:t>
            </w:r>
          </w:p>
        </w:tc>
        <w:tc>
          <w:tcPr>
            <w:tcW w:w="7614" w:type="dxa"/>
            <w:noWrap/>
            <w:hideMark/>
          </w:tcPr>
          <w:p w14:paraId="1FDDC66E" w14:textId="77777777" w:rsidR="0019333F" w:rsidRPr="00923467" w:rsidRDefault="0019333F" w:rsidP="00923467">
            <w:r w:rsidRPr="00923467">
              <w:t>Domestic Tax Integrity Perception Survey</w:t>
            </w:r>
          </w:p>
        </w:tc>
      </w:tr>
      <w:tr w:rsidR="0019333F" w:rsidRPr="00923467" w14:paraId="6EE234E8" w14:textId="77777777" w:rsidTr="00A819C4">
        <w:trPr>
          <w:trHeight w:val="300"/>
        </w:trPr>
        <w:tc>
          <w:tcPr>
            <w:tcW w:w="1600" w:type="dxa"/>
            <w:noWrap/>
            <w:hideMark/>
          </w:tcPr>
          <w:p w14:paraId="461C8B0C" w14:textId="77777777" w:rsidR="0019333F" w:rsidRPr="00923467" w:rsidRDefault="0019333F" w:rsidP="00923467">
            <w:r w:rsidRPr="00923467">
              <w:t>DMU</w:t>
            </w:r>
          </w:p>
        </w:tc>
        <w:tc>
          <w:tcPr>
            <w:tcW w:w="7614" w:type="dxa"/>
            <w:noWrap/>
            <w:hideMark/>
          </w:tcPr>
          <w:p w14:paraId="500F1D41" w14:textId="77777777" w:rsidR="0019333F" w:rsidRPr="00923467" w:rsidRDefault="0019333F" w:rsidP="00923467">
            <w:r w:rsidRPr="00923467">
              <w:t xml:space="preserve">Debt Management Unit </w:t>
            </w:r>
          </w:p>
        </w:tc>
      </w:tr>
      <w:tr w:rsidR="0019333F" w:rsidRPr="00923467" w14:paraId="5DF2E52A" w14:textId="77777777" w:rsidTr="00A819C4">
        <w:trPr>
          <w:trHeight w:val="300"/>
        </w:trPr>
        <w:tc>
          <w:tcPr>
            <w:tcW w:w="1600" w:type="dxa"/>
            <w:noWrap/>
            <w:hideMark/>
          </w:tcPr>
          <w:p w14:paraId="77149081" w14:textId="77777777" w:rsidR="0019333F" w:rsidRPr="00923467" w:rsidRDefault="0019333F" w:rsidP="00923467">
            <w:r w:rsidRPr="00923467">
              <w:t>DTD</w:t>
            </w:r>
          </w:p>
        </w:tc>
        <w:tc>
          <w:tcPr>
            <w:tcW w:w="7614" w:type="dxa"/>
            <w:noWrap/>
            <w:hideMark/>
          </w:tcPr>
          <w:p w14:paraId="6AF8982D" w14:textId="77777777" w:rsidR="0019333F" w:rsidRPr="00923467" w:rsidRDefault="0019333F" w:rsidP="00923467">
            <w:r w:rsidRPr="00923467">
              <w:t>Domestic Taxes Department</w:t>
            </w:r>
          </w:p>
        </w:tc>
      </w:tr>
      <w:tr w:rsidR="0019333F" w:rsidRPr="00923467" w14:paraId="3FDEEF34" w14:textId="77777777" w:rsidTr="00A819C4">
        <w:trPr>
          <w:trHeight w:val="300"/>
        </w:trPr>
        <w:tc>
          <w:tcPr>
            <w:tcW w:w="1600" w:type="dxa"/>
            <w:noWrap/>
            <w:hideMark/>
          </w:tcPr>
          <w:p w14:paraId="4A4E6EF9" w14:textId="77777777" w:rsidR="0019333F" w:rsidRPr="00923467" w:rsidRDefault="0019333F" w:rsidP="00923467">
            <w:r w:rsidRPr="00923467">
              <w:t>DTIS</w:t>
            </w:r>
          </w:p>
        </w:tc>
        <w:tc>
          <w:tcPr>
            <w:tcW w:w="7614" w:type="dxa"/>
            <w:noWrap/>
            <w:hideMark/>
          </w:tcPr>
          <w:p w14:paraId="3E0423D1" w14:textId="77777777" w:rsidR="0019333F" w:rsidRPr="00923467" w:rsidRDefault="0019333F" w:rsidP="00923467">
            <w:r w:rsidRPr="00923467">
              <w:t>Domestic Tax Information System</w:t>
            </w:r>
          </w:p>
        </w:tc>
      </w:tr>
      <w:tr w:rsidR="0019333F" w:rsidRPr="00923467" w14:paraId="71B8CB16" w14:textId="77777777" w:rsidTr="00A819C4">
        <w:trPr>
          <w:trHeight w:val="300"/>
        </w:trPr>
        <w:tc>
          <w:tcPr>
            <w:tcW w:w="1600" w:type="dxa"/>
            <w:noWrap/>
            <w:hideMark/>
          </w:tcPr>
          <w:p w14:paraId="668B7568" w14:textId="77777777" w:rsidR="0019333F" w:rsidRPr="00923467" w:rsidRDefault="0019333F" w:rsidP="00923467">
            <w:r w:rsidRPr="00923467">
              <w:t>DTPS</w:t>
            </w:r>
          </w:p>
        </w:tc>
        <w:tc>
          <w:tcPr>
            <w:tcW w:w="7614" w:type="dxa"/>
            <w:noWrap/>
            <w:hideMark/>
          </w:tcPr>
          <w:p w14:paraId="0F23F69E" w14:textId="77777777" w:rsidR="0019333F" w:rsidRPr="00923467" w:rsidRDefault="0019333F" w:rsidP="00923467">
            <w:r w:rsidRPr="00923467">
              <w:t xml:space="preserve">Domestic Tax Preparers Scheme </w:t>
            </w:r>
          </w:p>
        </w:tc>
      </w:tr>
      <w:tr w:rsidR="0019333F" w:rsidRPr="00923467" w14:paraId="5021E6E5" w14:textId="77777777" w:rsidTr="00A819C4">
        <w:trPr>
          <w:trHeight w:val="300"/>
        </w:trPr>
        <w:tc>
          <w:tcPr>
            <w:tcW w:w="1600" w:type="dxa"/>
            <w:noWrap/>
            <w:hideMark/>
          </w:tcPr>
          <w:p w14:paraId="5953F3F7" w14:textId="77777777" w:rsidR="0019333F" w:rsidRPr="00923467" w:rsidRDefault="0019333F" w:rsidP="00923467">
            <w:r w:rsidRPr="00923467">
              <w:t>ECOWAS</w:t>
            </w:r>
          </w:p>
        </w:tc>
        <w:tc>
          <w:tcPr>
            <w:tcW w:w="7614" w:type="dxa"/>
            <w:noWrap/>
            <w:hideMark/>
          </w:tcPr>
          <w:p w14:paraId="04C33701" w14:textId="77777777" w:rsidR="0019333F" w:rsidRPr="00923467" w:rsidRDefault="0019333F" w:rsidP="00923467">
            <w:r w:rsidRPr="00923467">
              <w:t>Economic Community of West African States</w:t>
            </w:r>
          </w:p>
        </w:tc>
      </w:tr>
      <w:tr w:rsidR="0019333F" w:rsidRPr="00923467" w14:paraId="712ADCAA" w14:textId="77777777" w:rsidTr="00A819C4">
        <w:trPr>
          <w:trHeight w:val="300"/>
        </w:trPr>
        <w:tc>
          <w:tcPr>
            <w:tcW w:w="1600" w:type="dxa"/>
            <w:noWrap/>
            <w:hideMark/>
          </w:tcPr>
          <w:p w14:paraId="3FA3CE9C" w14:textId="77777777" w:rsidR="0019333F" w:rsidRPr="00923467" w:rsidRDefault="0019333F" w:rsidP="00923467">
            <w:r w:rsidRPr="00923467">
              <w:t>ECR</w:t>
            </w:r>
          </w:p>
        </w:tc>
        <w:tc>
          <w:tcPr>
            <w:tcW w:w="7614" w:type="dxa"/>
            <w:noWrap/>
            <w:hideMark/>
          </w:tcPr>
          <w:p w14:paraId="0A3A1456" w14:textId="77777777" w:rsidR="0019333F" w:rsidRPr="00923467" w:rsidRDefault="0019333F" w:rsidP="00923467">
            <w:r w:rsidRPr="00923467">
              <w:t>Electronic Cash Register</w:t>
            </w:r>
          </w:p>
        </w:tc>
      </w:tr>
      <w:tr w:rsidR="0019333F" w:rsidRPr="00923467" w14:paraId="424B6677" w14:textId="77777777" w:rsidTr="00A819C4">
        <w:trPr>
          <w:trHeight w:val="300"/>
        </w:trPr>
        <w:tc>
          <w:tcPr>
            <w:tcW w:w="1600" w:type="dxa"/>
            <w:noWrap/>
            <w:hideMark/>
          </w:tcPr>
          <w:p w14:paraId="14605328" w14:textId="77777777" w:rsidR="0019333F" w:rsidRPr="00923467" w:rsidRDefault="0019333F" w:rsidP="00923467">
            <w:r w:rsidRPr="00923467">
              <w:t>EIRU</w:t>
            </w:r>
          </w:p>
        </w:tc>
        <w:tc>
          <w:tcPr>
            <w:tcW w:w="7614" w:type="dxa"/>
            <w:noWrap/>
            <w:hideMark/>
          </w:tcPr>
          <w:p w14:paraId="4E62E080" w14:textId="77777777" w:rsidR="0019333F" w:rsidRPr="00923467" w:rsidRDefault="0019333F" w:rsidP="00923467">
            <w:r w:rsidRPr="00923467">
              <w:t>Extractive Industry Revenue Unit</w:t>
            </w:r>
          </w:p>
        </w:tc>
      </w:tr>
      <w:tr w:rsidR="00A24B22" w:rsidRPr="00923467" w14:paraId="4C6B683B" w14:textId="77777777" w:rsidTr="00A819C4">
        <w:trPr>
          <w:trHeight w:val="300"/>
        </w:trPr>
        <w:tc>
          <w:tcPr>
            <w:tcW w:w="1600" w:type="dxa"/>
            <w:noWrap/>
            <w:hideMark/>
          </w:tcPr>
          <w:p w14:paraId="61A6C682" w14:textId="72A294B2" w:rsidR="00A24B22" w:rsidRPr="00923467" w:rsidRDefault="00A24B22" w:rsidP="00923467">
            <w:r w:rsidRPr="00923467">
              <w:t>ESW</w:t>
            </w:r>
          </w:p>
        </w:tc>
        <w:tc>
          <w:tcPr>
            <w:tcW w:w="7614" w:type="dxa"/>
            <w:noWrap/>
            <w:hideMark/>
          </w:tcPr>
          <w:p w14:paraId="561A5CEA" w14:textId="4FE49396" w:rsidR="00A24B22" w:rsidRPr="00923467" w:rsidRDefault="00A24B22" w:rsidP="00923467">
            <w:r w:rsidRPr="00923467">
              <w:t xml:space="preserve">Electronic Single Window </w:t>
            </w:r>
          </w:p>
        </w:tc>
      </w:tr>
      <w:tr w:rsidR="00A24B22" w:rsidRPr="00923467" w14:paraId="6E2324E1" w14:textId="77777777" w:rsidTr="00A819C4">
        <w:trPr>
          <w:trHeight w:val="300"/>
        </w:trPr>
        <w:tc>
          <w:tcPr>
            <w:tcW w:w="1600" w:type="dxa"/>
            <w:noWrap/>
            <w:hideMark/>
          </w:tcPr>
          <w:p w14:paraId="4F8A7680" w14:textId="5E205525" w:rsidR="00A24B22" w:rsidRPr="00923467" w:rsidRDefault="00A24B22" w:rsidP="00923467">
            <w:r w:rsidRPr="00923467">
              <w:t>F&amp;B</w:t>
            </w:r>
          </w:p>
        </w:tc>
        <w:tc>
          <w:tcPr>
            <w:tcW w:w="7614" w:type="dxa"/>
            <w:noWrap/>
            <w:hideMark/>
          </w:tcPr>
          <w:p w14:paraId="0DF0E8E4" w14:textId="5CF0A970" w:rsidR="00A24B22" w:rsidRPr="00923467" w:rsidRDefault="00A24B22" w:rsidP="00923467">
            <w:r w:rsidRPr="00923467">
              <w:t>Finance and Budget</w:t>
            </w:r>
          </w:p>
        </w:tc>
      </w:tr>
      <w:tr w:rsidR="00A24B22" w:rsidRPr="00923467" w14:paraId="6E6CD724" w14:textId="77777777" w:rsidTr="00A819C4">
        <w:trPr>
          <w:trHeight w:val="300"/>
        </w:trPr>
        <w:tc>
          <w:tcPr>
            <w:tcW w:w="1600" w:type="dxa"/>
            <w:noWrap/>
            <w:hideMark/>
          </w:tcPr>
          <w:p w14:paraId="554AB277" w14:textId="1B7ECB9E" w:rsidR="00A24B22" w:rsidRPr="00923467" w:rsidRDefault="00A24B22" w:rsidP="00923467">
            <w:r w:rsidRPr="00923467">
              <w:t>FIU</w:t>
            </w:r>
          </w:p>
        </w:tc>
        <w:tc>
          <w:tcPr>
            <w:tcW w:w="7614" w:type="dxa"/>
            <w:noWrap/>
            <w:hideMark/>
          </w:tcPr>
          <w:p w14:paraId="2DAD5A45" w14:textId="071FAE62" w:rsidR="00A24B22" w:rsidRPr="00923467" w:rsidRDefault="00A24B22" w:rsidP="00923467">
            <w:r w:rsidRPr="00923467">
              <w:t>Financial Intelligence Unit</w:t>
            </w:r>
          </w:p>
        </w:tc>
      </w:tr>
      <w:tr w:rsidR="00A24B22" w:rsidRPr="00923467" w14:paraId="6F009A2A" w14:textId="77777777" w:rsidTr="00A819C4">
        <w:trPr>
          <w:trHeight w:val="300"/>
        </w:trPr>
        <w:tc>
          <w:tcPr>
            <w:tcW w:w="1600" w:type="dxa"/>
            <w:noWrap/>
            <w:hideMark/>
          </w:tcPr>
          <w:p w14:paraId="60866441" w14:textId="53F03015" w:rsidR="00A24B22" w:rsidRPr="00923467" w:rsidRDefault="00A24B22" w:rsidP="00923467">
            <w:r w:rsidRPr="00923467">
              <w:t>FOB</w:t>
            </w:r>
          </w:p>
        </w:tc>
        <w:tc>
          <w:tcPr>
            <w:tcW w:w="7614" w:type="dxa"/>
            <w:noWrap/>
            <w:hideMark/>
          </w:tcPr>
          <w:p w14:paraId="1EC10C46" w14:textId="59D9CB42" w:rsidR="00A24B22" w:rsidRPr="00923467" w:rsidRDefault="00A24B22" w:rsidP="00923467">
            <w:r w:rsidRPr="00923467">
              <w:t>Free on Board</w:t>
            </w:r>
          </w:p>
        </w:tc>
      </w:tr>
      <w:tr w:rsidR="00A24B22" w:rsidRPr="00923467" w14:paraId="3A438FE4" w14:textId="77777777" w:rsidTr="00A819C4">
        <w:trPr>
          <w:trHeight w:val="300"/>
        </w:trPr>
        <w:tc>
          <w:tcPr>
            <w:tcW w:w="1600" w:type="dxa"/>
            <w:noWrap/>
            <w:hideMark/>
          </w:tcPr>
          <w:p w14:paraId="05273B11" w14:textId="1F0B87B6" w:rsidR="00A24B22" w:rsidRPr="00923467" w:rsidRDefault="00A24B22" w:rsidP="00923467">
            <w:r w:rsidRPr="00923467">
              <w:t>GST</w:t>
            </w:r>
          </w:p>
        </w:tc>
        <w:tc>
          <w:tcPr>
            <w:tcW w:w="7614" w:type="dxa"/>
            <w:noWrap/>
            <w:hideMark/>
          </w:tcPr>
          <w:p w14:paraId="4D11ADC0" w14:textId="05D8100E" w:rsidR="00A24B22" w:rsidRPr="00923467" w:rsidRDefault="00A24B22" w:rsidP="00923467">
            <w:r w:rsidRPr="00923467">
              <w:t>Goods and Services Tax</w:t>
            </w:r>
          </w:p>
        </w:tc>
      </w:tr>
      <w:tr w:rsidR="00A24B22" w:rsidRPr="00923467" w14:paraId="29DEFD9D" w14:textId="77777777" w:rsidTr="00A819C4">
        <w:trPr>
          <w:trHeight w:val="300"/>
        </w:trPr>
        <w:tc>
          <w:tcPr>
            <w:tcW w:w="1600" w:type="dxa"/>
            <w:noWrap/>
            <w:hideMark/>
          </w:tcPr>
          <w:p w14:paraId="4CF4024E" w14:textId="2C6FEFCA" w:rsidR="00A24B22" w:rsidRPr="00923467" w:rsidRDefault="00A24B22" w:rsidP="00923467">
            <w:r w:rsidRPr="00923467">
              <w:t>HRD</w:t>
            </w:r>
          </w:p>
        </w:tc>
        <w:tc>
          <w:tcPr>
            <w:tcW w:w="7614" w:type="dxa"/>
            <w:noWrap/>
            <w:hideMark/>
          </w:tcPr>
          <w:p w14:paraId="48095A6E" w14:textId="33DE1DDC" w:rsidR="00A24B22" w:rsidRPr="00923467" w:rsidRDefault="00A24B22" w:rsidP="00923467">
            <w:r w:rsidRPr="00923467">
              <w:t xml:space="preserve">Human Resource Department </w:t>
            </w:r>
          </w:p>
        </w:tc>
      </w:tr>
      <w:tr w:rsidR="00A24B22" w:rsidRPr="00923467" w14:paraId="2F0CEF07" w14:textId="77777777" w:rsidTr="00A819C4">
        <w:trPr>
          <w:trHeight w:val="300"/>
        </w:trPr>
        <w:tc>
          <w:tcPr>
            <w:tcW w:w="1600" w:type="dxa"/>
            <w:noWrap/>
            <w:hideMark/>
          </w:tcPr>
          <w:p w14:paraId="6AB426BB" w14:textId="200D17BB" w:rsidR="00A24B22" w:rsidRPr="00923467" w:rsidRDefault="00A24B22" w:rsidP="00923467">
            <w:r w:rsidRPr="00923467">
              <w:t>HS</w:t>
            </w:r>
          </w:p>
        </w:tc>
        <w:tc>
          <w:tcPr>
            <w:tcW w:w="7614" w:type="dxa"/>
            <w:noWrap/>
            <w:hideMark/>
          </w:tcPr>
          <w:p w14:paraId="1C3EC4B4" w14:textId="01B6D0C9" w:rsidR="00A24B22" w:rsidRPr="00923467" w:rsidRDefault="00A24B22" w:rsidP="00923467">
            <w:r w:rsidRPr="00923467">
              <w:t>Harmonized System</w:t>
            </w:r>
          </w:p>
        </w:tc>
      </w:tr>
      <w:tr w:rsidR="00A24B22" w:rsidRPr="00923467" w14:paraId="7F6C4641" w14:textId="77777777" w:rsidTr="00A819C4">
        <w:trPr>
          <w:trHeight w:val="300"/>
        </w:trPr>
        <w:tc>
          <w:tcPr>
            <w:tcW w:w="1600" w:type="dxa"/>
            <w:noWrap/>
            <w:hideMark/>
          </w:tcPr>
          <w:p w14:paraId="1E3ABDE1" w14:textId="55B12B46" w:rsidR="00A24B22" w:rsidRPr="00923467" w:rsidRDefault="00A24B22" w:rsidP="00923467">
            <w:r w:rsidRPr="00923467">
              <w:t>IAT</w:t>
            </w:r>
          </w:p>
        </w:tc>
        <w:tc>
          <w:tcPr>
            <w:tcW w:w="7614" w:type="dxa"/>
            <w:noWrap/>
            <w:hideMark/>
          </w:tcPr>
          <w:p w14:paraId="4E932E83" w14:textId="163285C3" w:rsidR="00A24B22" w:rsidRPr="00923467" w:rsidRDefault="00A24B22" w:rsidP="00923467">
            <w:r w:rsidRPr="00923467">
              <w:t xml:space="preserve">Import Adjustments Tax </w:t>
            </w:r>
          </w:p>
        </w:tc>
      </w:tr>
      <w:tr w:rsidR="00A24B22" w:rsidRPr="00923467" w14:paraId="54713B31" w14:textId="77777777" w:rsidTr="00A819C4">
        <w:trPr>
          <w:trHeight w:val="300"/>
        </w:trPr>
        <w:tc>
          <w:tcPr>
            <w:tcW w:w="1600" w:type="dxa"/>
            <w:noWrap/>
            <w:hideMark/>
          </w:tcPr>
          <w:p w14:paraId="77D036AD" w14:textId="2AA3D6A8" w:rsidR="00A24B22" w:rsidRPr="00923467" w:rsidRDefault="00A24B22" w:rsidP="00923467">
            <w:r w:rsidRPr="00923467">
              <w:t>IAU</w:t>
            </w:r>
          </w:p>
        </w:tc>
        <w:tc>
          <w:tcPr>
            <w:tcW w:w="7614" w:type="dxa"/>
            <w:noWrap/>
            <w:hideMark/>
          </w:tcPr>
          <w:p w14:paraId="09CE8FD9" w14:textId="33144889" w:rsidR="00A24B22" w:rsidRPr="00923467" w:rsidRDefault="00A24B22" w:rsidP="00923467">
            <w:r w:rsidRPr="00923467">
              <w:t xml:space="preserve">Internal </w:t>
            </w:r>
            <w:r w:rsidR="00861119" w:rsidRPr="00923467">
              <w:t>Affairs</w:t>
            </w:r>
            <w:r w:rsidRPr="00923467">
              <w:t xml:space="preserve"> Unit</w:t>
            </w:r>
          </w:p>
        </w:tc>
      </w:tr>
      <w:tr w:rsidR="00A24B22" w:rsidRPr="00923467" w14:paraId="07883722" w14:textId="77777777" w:rsidTr="00A819C4">
        <w:trPr>
          <w:trHeight w:val="300"/>
        </w:trPr>
        <w:tc>
          <w:tcPr>
            <w:tcW w:w="1600" w:type="dxa"/>
            <w:noWrap/>
            <w:hideMark/>
          </w:tcPr>
          <w:p w14:paraId="16F8ABF5" w14:textId="0E99EB76" w:rsidR="00A24B22" w:rsidRPr="00923467" w:rsidRDefault="00A24B22" w:rsidP="00923467">
            <w:r w:rsidRPr="00923467">
              <w:t>ICA</w:t>
            </w:r>
          </w:p>
        </w:tc>
        <w:tc>
          <w:tcPr>
            <w:tcW w:w="7614" w:type="dxa"/>
            <w:noWrap/>
            <w:hideMark/>
          </w:tcPr>
          <w:p w14:paraId="5CE991B8" w14:textId="66783998" w:rsidR="00A24B22" w:rsidRPr="00923467" w:rsidRDefault="00A24B22" w:rsidP="00923467">
            <w:r w:rsidRPr="00923467">
              <w:t>Internal Controls and Audit</w:t>
            </w:r>
          </w:p>
        </w:tc>
      </w:tr>
      <w:tr w:rsidR="00A24B22" w:rsidRPr="00923467" w14:paraId="3F4A93B5" w14:textId="77777777" w:rsidTr="00A819C4">
        <w:trPr>
          <w:trHeight w:val="300"/>
        </w:trPr>
        <w:tc>
          <w:tcPr>
            <w:tcW w:w="1600" w:type="dxa"/>
            <w:noWrap/>
            <w:hideMark/>
          </w:tcPr>
          <w:p w14:paraId="0FB7CD6D" w14:textId="02F7FA3B" w:rsidR="00A24B22" w:rsidRPr="00923467" w:rsidRDefault="00A24B22" w:rsidP="00923467">
            <w:r w:rsidRPr="00923467">
              <w:t>ICT</w:t>
            </w:r>
          </w:p>
        </w:tc>
        <w:tc>
          <w:tcPr>
            <w:tcW w:w="7614" w:type="dxa"/>
            <w:noWrap/>
            <w:hideMark/>
          </w:tcPr>
          <w:p w14:paraId="1950794F" w14:textId="1311C4D4" w:rsidR="00A24B22" w:rsidRPr="00923467" w:rsidRDefault="00A24B22" w:rsidP="00923467">
            <w:r w:rsidRPr="00923467">
              <w:t xml:space="preserve">Information, Communication Technology </w:t>
            </w:r>
          </w:p>
        </w:tc>
      </w:tr>
      <w:tr w:rsidR="00A24B22" w:rsidRPr="00923467" w14:paraId="3BC1B70A" w14:textId="77777777" w:rsidTr="00A819C4">
        <w:trPr>
          <w:trHeight w:val="300"/>
        </w:trPr>
        <w:tc>
          <w:tcPr>
            <w:tcW w:w="1600" w:type="dxa"/>
            <w:noWrap/>
            <w:hideMark/>
          </w:tcPr>
          <w:p w14:paraId="2B114F96" w14:textId="6AB201EC" w:rsidR="00A24B22" w:rsidRPr="00923467" w:rsidRDefault="00A24B22" w:rsidP="00923467">
            <w:r w:rsidRPr="00923467">
              <w:t>ICTD</w:t>
            </w:r>
          </w:p>
        </w:tc>
        <w:tc>
          <w:tcPr>
            <w:tcW w:w="7614" w:type="dxa"/>
            <w:noWrap/>
            <w:hideMark/>
          </w:tcPr>
          <w:p w14:paraId="5226F63F" w14:textId="14535170" w:rsidR="00A24B22" w:rsidRPr="00923467" w:rsidRDefault="00A24B22" w:rsidP="00923467">
            <w:r w:rsidRPr="00923467">
              <w:t xml:space="preserve">International Centre for Tax and Development </w:t>
            </w:r>
          </w:p>
        </w:tc>
      </w:tr>
      <w:tr w:rsidR="00A24B22" w:rsidRPr="00923467" w14:paraId="0C04ADF7" w14:textId="77777777" w:rsidTr="00A819C4">
        <w:trPr>
          <w:trHeight w:val="300"/>
        </w:trPr>
        <w:tc>
          <w:tcPr>
            <w:tcW w:w="1600" w:type="dxa"/>
            <w:noWrap/>
            <w:hideMark/>
          </w:tcPr>
          <w:p w14:paraId="1197C08B" w14:textId="3E402CB8" w:rsidR="00A24B22" w:rsidRPr="00923467" w:rsidRDefault="00A24B22" w:rsidP="00923467">
            <w:r w:rsidRPr="00923467">
              <w:t>IDG</w:t>
            </w:r>
          </w:p>
        </w:tc>
        <w:tc>
          <w:tcPr>
            <w:tcW w:w="7614" w:type="dxa"/>
            <w:noWrap/>
            <w:hideMark/>
          </w:tcPr>
          <w:p w14:paraId="05C25A09" w14:textId="0FDEFAAD" w:rsidR="00A24B22" w:rsidRPr="00923467" w:rsidRDefault="00A24B22" w:rsidP="00923467">
            <w:r w:rsidRPr="00923467">
              <w:t xml:space="preserve">Integrity Development Guide </w:t>
            </w:r>
          </w:p>
        </w:tc>
      </w:tr>
      <w:tr w:rsidR="00A24B22" w:rsidRPr="00923467" w14:paraId="0FF0FFEA" w14:textId="77777777" w:rsidTr="00A819C4">
        <w:trPr>
          <w:trHeight w:val="300"/>
        </w:trPr>
        <w:tc>
          <w:tcPr>
            <w:tcW w:w="1600" w:type="dxa"/>
            <w:noWrap/>
            <w:hideMark/>
          </w:tcPr>
          <w:p w14:paraId="2A929407" w14:textId="51D8858B" w:rsidR="00A24B22" w:rsidRPr="00923467" w:rsidRDefault="00A24B22" w:rsidP="00923467">
            <w:r w:rsidRPr="00923467">
              <w:t xml:space="preserve">IMF </w:t>
            </w:r>
          </w:p>
        </w:tc>
        <w:tc>
          <w:tcPr>
            <w:tcW w:w="7614" w:type="dxa"/>
            <w:noWrap/>
            <w:hideMark/>
          </w:tcPr>
          <w:p w14:paraId="5445AC54" w14:textId="4F7ACAFB" w:rsidR="00A24B22" w:rsidRPr="00923467" w:rsidRDefault="00A24B22" w:rsidP="00923467">
            <w:r w:rsidRPr="00923467">
              <w:t>International Monetary Fund</w:t>
            </w:r>
          </w:p>
        </w:tc>
      </w:tr>
      <w:tr w:rsidR="00A24B22" w:rsidRPr="00923467" w14:paraId="4E57B64D" w14:textId="77777777" w:rsidTr="00A819C4">
        <w:trPr>
          <w:trHeight w:val="300"/>
        </w:trPr>
        <w:tc>
          <w:tcPr>
            <w:tcW w:w="1600" w:type="dxa"/>
            <w:noWrap/>
            <w:hideMark/>
          </w:tcPr>
          <w:p w14:paraId="2B966EFA" w14:textId="40077C4C" w:rsidR="00A24B22" w:rsidRPr="00923467" w:rsidRDefault="00A24B22" w:rsidP="00923467">
            <w:r w:rsidRPr="00923467">
              <w:t>ITAS</w:t>
            </w:r>
          </w:p>
        </w:tc>
        <w:tc>
          <w:tcPr>
            <w:tcW w:w="7614" w:type="dxa"/>
            <w:noWrap/>
            <w:hideMark/>
          </w:tcPr>
          <w:p w14:paraId="452C44C9" w14:textId="5DC542AC" w:rsidR="00A24B22" w:rsidRPr="00923467" w:rsidRDefault="00A24B22" w:rsidP="00923467">
            <w:r w:rsidRPr="00923467">
              <w:t>Integrated Tax Administration System</w:t>
            </w:r>
          </w:p>
        </w:tc>
      </w:tr>
      <w:tr w:rsidR="00A24B22" w:rsidRPr="00923467" w14:paraId="45D2F572" w14:textId="77777777" w:rsidTr="00A819C4">
        <w:trPr>
          <w:trHeight w:val="300"/>
        </w:trPr>
        <w:tc>
          <w:tcPr>
            <w:tcW w:w="1600" w:type="dxa"/>
            <w:noWrap/>
            <w:hideMark/>
          </w:tcPr>
          <w:p w14:paraId="15F9754D" w14:textId="32CFBB96" w:rsidR="00A24B22" w:rsidRPr="00923467" w:rsidRDefault="00A24B22" w:rsidP="00923467">
            <w:r w:rsidRPr="00923467">
              <w:t>L&amp;CS</w:t>
            </w:r>
          </w:p>
        </w:tc>
        <w:tc>
          <w:tcPr>
            <w:tcW w:w="7614" w:type="dxa"/>
            <w:noWrap/>
            <w:hideMark/>
          </w:tcPr>
          <w:p w14:paraId="1E15CFD6" w14:textId="79540ACB" w:rsidR="00A24B22" w:rsidRPr="00923467" w:rsidRDefault="00A24B22" w:rsidP="00923467">
            <w:r w:rsidRPr="00923467">
              <w:t>Legal and Corporate Services</w:t>
            </w:r>
          </w:p>
        </w:tc>
      </w:tr>
      <w:tr w:rsidR="00A24B22" w:rsidRPr="00923467" w14:paraId="41583D31" w14:textId="77777777" w:rsidTr="00A819C4">
        <w:trPr>
          <w:trHeight w:val="300"/>
        </w:trPr>
        <w:tc>
          <w:tcPr>
            <w:tcW w:w="1600" w:type="dxa"/>
            <w:noWrap/>
            <w:hideMark/>
          </w:tcPr>
          <w:p w14:paraId="491EF2CD" w14:textId="2FC9B9F1" w:rsidR="00A24B22" w:rsidRPr="00923467" w:rsidRDefault="00A24B22" w:rsidP="00923467">
            <w:r w:rsidRPr="00923467">
              <w:t>LTO</w:t>
            </w:r>
          </w:p>
        </w:tc>
        <w:tc>
          <w:tcPr>
            <w:tcW w:w="7614" w:type="dxa"/>
            <w:noWrap/>
            <w:hideMark/>
          </w:tcPr>
          <w:p w14:paraId="43557AE3" w14:textId="3639DB88" w:rsidR="00A24B22" w:rsidRPr="00923467" w:rsidRDefault="00A24B22" w:rsidP="00923467">
            <w:r w:rsidRPr="00923467">
              <w:t>Large Taxpayers Office</w:t>
            </w:r>
          </w:p>
        </w:tc>
      </w:tr>
      <w:tr w:rsidR="00566320" w:rsidRPr="00923467" w14:paraId="32330013" w14:textId="77777777" w:rsidTr="00A819C4">
        <w:trPr>
          <w:trHeight w:val="300"/>
        </w:trPr>
        <w:tc>
          <w:tcPr>
            <w:tcW w:w="1600" w:type="dxa"/>
            <w:noWrap/>
            <w:hideMark/>
          </w:tcPr>
          <w:p w14:paraId="71305BC3" w14:textId="687A669A" w:rsidR="00566320" w:rsidRPr="00923467" w:rsidRDefault="00566320" w:rsidP="00923467">
            <w:r w:rsidRPr="00923467">
              <w:t>MDAs</w:t>
            </w:r>
          </w:p>
        </w:tc>
        <w:tc>
          <w:tcPr>
            <w:tcW w:w="7614" w:type="dxa"/>
            <w:noWrap/>
            <w:hideMark/>
          </w:tcPr>
          <w:p w14:paraId="673D354F" w14:textId="4DBC8972" w:rsidR="00566320" w:rsidRPr="00923467" w:rsidRDefault="00566320" w:rsidP="00923467">
            <w:r w:rsidRPr="00923467">
              <w:t>Ministries, Departments and Agencies</w:t>
            </w:r>
          </w:p>
        </w:tc>
      </w:tr>
      <w:tr w:rsidR="00566320" w:rsidRPr="00923467" w14:paraId="2A728AA2" w14:textId="77777777" w:rsidTr="00A819C4">
        <w:trPr>
          <w:trHeight w:val="300"/>
        </w:trPr>
        <w:tc>
          <w:tcPr>
            <w:tcW w:w="1600" w:type="dxa"/>
            <w:noWrap/>
            <w:hideMark/>
          </w:tcPr>
          <w:p w14:paraId="6996B3B7" w14:textId="5A8E1167" w:rsidR="00566320" w:rsidRPr="00923467" w:rsidRDefault="00566320" w:rsidP="00923467">
            <w:r w:rsidRPr="00923467">
              <w:t>MoF</w:t>
            </w:r>
          </w:p>
        </w:tc>
        <w:tc>
          <w:tcPr>
            <w:tcW w:w="7614" w:type="dxa"/>
            <w:noWrap/>
            <w:hideMark/>
          </w:tcPr>
          <w:p w14:paraId="55795303" w14:textId="51659DFE" w:rsidR="00566320" w:rsidRPr="00923467" w:rsidRDefault="00566320" w:rsidP="00923467">
            <w:r w:rsidRPr="00923467">
              <w:t>Ministry of Finance</w:t>
            </w:r>
          </w:p>
        </w:tc>
      </w:tr>
      <w:tr w:rsidR="00566320" w:rsidRPr="00923467" w14:paraId="31785CB0" w14:textId="77777777" w:rsidTr="00A819C4">
        <w:trPr>
          <w:trHeight w:val="300"/>
        </w:trPr>
        <w:tc>
          <w:tcPr>
            <w:tcW w:w="1600" w:type="dxa"/>
            <w:noWrap/>
            <w:hideMark/>
          </w:tcPr>
          <w:p w14:paraId="073D3BF3" w14:textId="1F560AAC" w:rsidR="00566320" w:rsidRPr="00923467" w:rsidRDefault="00566320" w:rsidP="00923467">
            <w:r w:rsidRPr="00923467">
              <w:t>MoU</w:t>
            </w:r>
          </w:p>
        </w:tc>
        <w:tc>
          <w:tcPr>
            <w:tcW w:w="7614" w:type="dxa"/>
            <w:noWrap/>
            <w:hideMark/>
          </w:tcPr>
          <w:p w14:paraId="53319D9C" w14:textId="43EEFF97" w:rsidR="00566320" w:rsidRPr="00923467" w:rsidRDefault="00566320" w:rsidP="00923467">
            <w:r w:rsidRPr="00923467">
              <w:t>Memorandum of Understanding</w:t>
            </w:r>
          </w:p>
        </w:tc>
      </w:tr>
      <w:tr w:rsidR="00566320" w:rsidRPr="00923467" w14:paraId="5F67295D" w14:textId="77777777" w:rsidTr="00A819C4">
        <w:trPr>
          <w:trHeight w:val="300"/>
        </w:trPr>
        <w:tc>
          <w:tcPr>
            <w:tcW w:w="1600" w:type="dxa"/>
            <w:noWrap/>
            <w:hideMark/>
          </w:tcPr>
          <w:p w14:paraId="71889ECE" w14:textId="46A834F9" w:rsidR="00566320" w:rsidRPr="00923467" w:rsidRDefault="00566320" w:rsidP="00923467">
            <w:r w:rsidRPr="00923467">
              <w:t>MRP</w:t>
            </w:r>
          </w:p>
        </w:tc>
        <w:tc>
          <w:tcPr>
            <w:tcW w:w="7614" w:type="dxa"/>
            <w:noWrap/>
            <w:hideMark/>
          </w:tcPr>
          <w:p w14:paraId="214140FF" w14:textId="617B5CDE" w:rsidR="00566320" w:rsidRPr="00923467" w:rsidRDefault="00566320" w:rsidP="00923467">
            <w:r w:rsidRPr="00923467">
              <w:t>Monitoring, Research and Planning</w:t>
            </w:r>
          </w:p>
        </w:tc>
      </w:tr>
      <w:tr w:rsidR="00566320" w:rsidRPr="00923467" w14:paraId="3D039424" w14:textId="77777777" w:rsidTr="00A819C4">
        <w:trPr>
          <w:trHeight w:val="300"/>
        </w:trPr>
        <w:tc>
          <w:tcPr>
            <w:tcW w:w="1600" w:type="dxa"/>
            <w:noWrap/>
            <w:hideMark/>
          </w:tcPr>
          <w:p w14:paraId="13AAAD81" w14:textId="178B4783" w:rsidR="00566320" w:rsidRPr="00923467" w:rsidRDefault="00566320" w:rsidP="00923467">
            <w:r w:rsidRPr="00923467">
              <w:t>MTO</w:t>
            </w:r>
          </w:p>
        </w:tc>
        <w:tc>
          <w:tcPr>
            <w:tcW w:w="7614" w:type="dxa"/>
            <w:noWrap/>
            <w:hideMark/>
          </w:tcPr>
          <w:p w14:paraId="15CEE3BD" w14:textId="0BDE7617" w:rsidR="00566320" w:rsidRPr="00923467" w:rsidRDefault="00566320" w:rsidP="00923467">
            <w:r w:rsidRPr="00923467">
              <w:t xml:space="preserve">Medium Taxpayers Office </w:t>
            </w:r>
          </w:p>
        </w:tc>
      </w:tr>
      <w:tr w:rsidR="00566320" w:rsidRPr="00923467" w14:paraId="7D5F3388" w14:textId="77777777" w:rsidTr="00A819C4">
        <w:trPr>
          <w:trHeight w:val="300"/>
        </w:trPr>
        <w:tc>
          <w:tcPr>
            <w:tcW w:w="1600" w:type="dxa"/>
            <w:noWrap/>
            <w:hideMark/>
          </w:tcPr>
          <w:p w14:paraId="4D56F1AF" w14:textId="716FF018" w:rsidR="00566320" w:rsidRPr="00923467" w:rsidRDefault="00566320" w:rsidP="00923467">
            <w:r w:rsidRPr="00923467">
              <w:t>NACS</w:t>
            </w:r>
          </w:p>
        </w:tc>
        <w:tc>
          <w:tcPr>
            <w:tcW w:w="7614" w:type="dxa"/>
            <w:noWrap/>
            <w:hideMark/>
          </w:tcPr>
          <w:p w14:paraId="1B82A0CA" w14:textId="2C92CF35" w:rsidR="00566320" w:rsidRPr="00923467" w:rsidRDefault="00566320" w:rsidP="00923467">
            <w:r w:rsidRPr="00923467">
              <w:t xml:space="preserve">National Anti-Corruption Strategy </w:t>
            </w:r>
          </w:p>
        </w:tc>
      </w:tr>
      <w:tr w:rsidR="00566320" w:rsidRPr="00923467" w14:paraId="77EDDFD2" w14:textId="77777777" w:rsidTr="00A819C4">
        <w:trPr>
          <w:trHeight w:val="300"/>
        </w:trPr>
        <w:tc>
          <w:tcPr>
            <w:tcW w:w="1600" w:type="dxa"/>
            <w:noWrap/>
            <w:hideMark/>
          </w:tcPr>
          <w:p w14:paraId="4848D38E" w14:textId="56CCDEF2" w:rsidR="00566320" w:rsidRPr="00923467" w:rsidRDefault="00566320" w:rsidP="00923467">
            <w:r w:rsidRPr="00923467">
              <w:t>NASSIT</w:t>
            </w:r>
          </w:p>
        </w:tc>
        <w:tc>
          <w:tcPr>
            <w:tcW w:w="7614" w:type="dxa"/>
            <w:noWrap/>
            <w:hideMark/>
          </w:tcPr>
          <w:p w14:paraId="2CE8BED6" w14:textId="52DB2912" w:rsidR="00566320" w:rsidRPr="00923467" w:rsidRDefault="00566320" w:rsidP="00923467">
            <w:r w:rsidRPr="00923467">
              <w:t>National Social Security and Insurance Trust</w:t>
            </w:r>
          </w:p>
        </w:tc>
      </w:tr>
      <w:tr w:rsidR="00566320" w:rsidRPr="00923467" w14:paraId="1EBAFB67" w14:textId="77777777" w:rsidTr="00A819C4">
        <w:trPr>
          <w:trHeight w:val="300"/>
        </w:trPr>
        <w:tc>
          <w:tcPr>
            <w:tcW w:w="1600" w:type="dxa"/>
            <w:noWrap/>
            <w:hideMark/>
          </w:tcPr>
          <w:p w14:paraId="7BB07173" w14:textId="34C9BAE8" w:rsidR="00566320" w:rsidRPr="00923467" w:rsidRDefault="00566320" w:rsidP="00923467">
            <w:r w:rsidRPr="00923467">
              <w:t>NCRA</w:t>
            </w:r>
          </w:p>
        </w:tc>
        <w:tc>
          <w:tcPr>
            <w:tcW w:w="7614" w:type="dxa"/>
            <w:noWrap/>
            <w:hideMark/>
          </w:tcPr>
          <w:p w14:paraId="3AFD33DA" w14:textId="3142410F" w:rsidR="00566320" w:rsidRPr="00923467" w:rsidRDefault="00566320" w:rsidP="00923467">
            <w:r w:rsidRPr="00923467">
              <w:t>National Civil Registration Authority</w:t>
            </w:r>
          </w:p>
        </w:tc>
      </w:tr>
      <w:tr w:rsidR="00566320" w:rsidRPr="00923467" w14:paraId="0C78F2C4" w14:textId="77777777" w:rsidTr="00A819C4">
        <w:trPr>
          <w:trHeight w:val="300"/>
        </w:trPr>
        <w:tc>
          <w:tcPr>
            <w:tcW w:w="1600" w:type="dxa"/>
            <w:noWrap/>
            <w:hideMark/>
          </w:tcPr>
          <w:p w14:paraId="064B63A8" w14:textId="41801B3F" w:rsidR="00566320" w:rsidRPr="00923467" w:rsidRDefault="00566320" w:rsidP="00923467">
            <w:r w:rsidRPr="00923467">
              <w:t>NRA</w:t>
            </w:r>
          </w:p>
        </w:tc>
        <w:tc>
          <w:tcPr>
            <w:tcW w:w="7614" w:type="dxa"/>
            <w:noWrap/>
            <w:hideMark/>
          </w:tcPr>
          <w:p w14:paraId="153AD137" w14:textId="68C47A9A" w:rsidR="00566320" w:rsidRPr="00923467" w:rsidRDefault="00566320" w:rsidP="00923467">
            <w:r w:rsidRPr="00923467">
              <w:t>National Revenue Authority</w:t>
            </w:r>
          </w:p>
        </w:tc>
      </w:tr>
      <w:tr w:rsidR="00566320" w:rsidRPr="00923467" w14:paraId="568CE2D5" w14:textId="77777777" w:rsidTr="00A819C4">
        <w:trPr>
          <w:trHeight w:val="300"/>
        </w:trPr>
        <w:tc>
          <w:tcPr>
            <w:tcW w:w="1600" w:type="dxa"/>
            <w:noWrap/>
            <w:hideMark/>
          </w:tcPr>
          <w:p w14:paraId="1705FD22" w14:textId="24933E7C" w:rsidR="00566320" w:rsidRPr="00923467" w:rsidRDefault="00566320" w:rsidP="00923467">
            <w:r w:rsidRPr="00923467">
              <w:t>NTR</w:t>
            </w:r>
          </w:p>
        </w:tc>
        <w:tc>
          <w:tcPr>
            <w:tcW w:w="7614" w:type="dxa"/>
            <w:noWrap/>
            <w:hideMark/>
          </w:tcPr>
          <w:p w14:paraId="5BCCB01B" w14:textId="4AB1E3C7" w:rsidR="00566320" w:rsidRPr="00923467" w:rsidRDefault="00566320" w:rsidP="00923467">
            <w:r w:rsidRPr="00923467">
              <w:t xml:space="preserve">Non-Tax Revenue </w:t>
            </w:r>
          </w:p>
        </w:tc>
      </w:tr>
      <w:tr w:rsidR="00566320" w:rsidRPr="00923467" w14:paraId="32203B9B" w14:textId="77777777" w:rsidTr="00A819C4">
        <w:trPr>
          <w:trHeight w:val="300"/>
        </w:trPr>
        <w:tc>
          <w:tcPr>
            <w:tcW w:w="1600" w:type="dxa"/>
            <w:noWrap/>
            <w:hideMark/>
          </w:tcPr>
          <w:p w14:paraId="75E6FC36" w14:textId="29AF7ABF" w:rsidR="00566320" w:rsidRPr="00923467" w:rsidRDefault="00566320" w:rsidP="00923467">
            <w:r w:rsidRPr="00923467">
              <w:t>NYC</w:t>
            </w:r>
          </w:p>
        </w:tc>
        <w:tc>
          <w:tcPr>
            <w:tcW w:w="7614" w:type="dxa"/>
            <w:noWrap/>
            <w:hideMark/>
          </w:tcPr>
          <w:p w14:paraId="3966A6F8" w14:textId="6A4F3748" w:rsidR="00566320" w:rsidRPr="00923467" w:rsidRDefault="00566320" w:rsidP="00923467">
            <w:r w:rsidRPr="00923467">
              <w:t xml:space="preserve">National Youth Commission </w:t>
            </w:r>
          </w:p>
        </w:tc>
      </w:tr>
      <w:tr w:rsidR="00566320" w:rsidRPr="00923467" w14:paraId="75F930D7" w14:textId="77777777" w:rsidTr="00A819C4">
        <w:trPr>
          <w:trHeight w:val="300"/>
        </w:trPr>
        <w:tc>
          <w:tcPr>
            <w:tcW w:w="1600" w:type="dxa"/>
            <w:noWrap/>
            <w:hideMark/>
          </w:tcPr>
          <w:p w14:paraId="199B760A" w14:textId="746ECFC9" w:rsidR="00566320" w:rsidRPr="00923467" w:rsidRDefault="00566320" w:rsidP="00923467">
            <w:r w:rsidRPr="00923467">
              <w:t>OARG</w:t>
            </w:r>
          </w:p>
        </w:tc>
        <w:tc>
          <w:tcPr>
            <w:tcW w:w="7614" w:type="dxa"/>
            <w:noWrap/>
            <w:hideMark/>
          </w:tcPr>
          <w:p w14:paraId="7C0C111B" w14:textId="091C3E41" w:rsidR="00566320" w:rsidRPr="00923467" w:rsidRDefault="00566320" w:rsidP="00923467">
            <w:r w:rsidRPr="00923467">
              <w:t xml:space="preserve">Administrator and Registrar General </w:t>
            </w:r>
          </w:p>
        </w:tc>
      </w:tr>
      <w:tr w:rsidR="00566320" w:rsidRPr="00923467" w14:paraId="6F203E48" w14:textId="77777777" w:rsidTr="00A819C4">
        <w:trPr>
          <w:trHeight w:val="300"/>
        </w:trPr>
        <w:tc>
          <w:tcPr>
            <w:tcW w:w="1600" w:type="dxa"/>
            <w:noWrap/>
            <w:hideMark/>
          </w:tcPr>
          <w:p w14:paraId="73D3A801" w14:textId="0991234C" w:rsidR="00566320" w:rsidRPr="00923467" w:rsidRDefault="00566320" w:rsidP="00923467">
            <w:r w:rsidRPr="00923467">
              <w:t>OMCs</w:t>
            </w:r>
          </w:p>
        </w:tc>
        <w:tc>
          <w:tcPr>
            <w:tcW w:w="7614" w:type="dxa"/>
            <w:noWrap/>
            <w:hideMark/>
          </w:tcPr>
          <w:p w14:paraId="19E130F7" w14:textId="5016B05B" w:rsidR="00566320" w:rsidRPr="00923467" w:rsidRDefault="00566320" w:rsidP="00923467">
            <w:r w:rsidRPr="00923467">
              <w:t xml:space="preserve">Oil Marketing Companies </w:t>
            </w:r>
          </w:p>
        </w:tc>
      </w:tr>
      <w:tr w:rsidR="00566320" w:rsidRPr="00923467" w14:paraId="64F4A5D4" w14:textId="77777777" w:rsidTr="00A819C4">
        <w:trPr>
          <w:trHeight w:val="300"/>
        </w:trPr>
        <w:tc>
          <w:tcPr>
            <w:tcW w:w="1600" w:type="dxa"/>
            <w:noWrap/>
            <w:hideMark/>
          </w:tcPr>
          <w:p w14:paraId="43024618" w14:textId="57C4F962" w:rsidR="00566320" w:rsidRPr="00923467" w:rsidRDefault="00566320" w:rsidP="00923467">
            <w:r w:rsidRPr="00923467">
              <w:t>OSIWA</w:t>
            </w:r>
          </w:p>
        </w:tc>
        <w:tc>
          <w:tcPr>
            <w:tcW w:w="7614" w:type="dxa"/>
            <w:noWrap/>
            <w:hideMark/>
          </w:tcPr>
          <w:p w14:paraId="4947DCF6" w14:textId="2A3B40D5" w:rsidR="00566320" w:rsidRPr="00923467" w:rsidRDefault="00566320" w:rsidP="00923467">
            <w:r w:rsidRPr="00923467">
              <w:t xml:space="preserve">Open Society Initiative for West Africa </w:t>
            </w:r>
          </w:p>
        </w:tc>
      </w:tr>
      <w:tr w:rsidR="00566320" w:rsidRPr="00923467" w14:paraId="6293CABB" w14:textId="77777777" w:rsidTr="00A819C4">
        <w:trPr>
          <w:trHeight w:val="300"/>
        </w:trPr>
        <w:tc>
          <w:tcPr>
            <w:tcW w:w="1600" w:type="dxa"/>
            <w:noWrap/>
            <w:hideMark/>
          </w:tcPr>
          <w:p w14:paraId="188A9567" w14:textId="43904738" w:rsidR="00566320" w:rsidRPr="00923467" w:rsidRDefault="00566320" w:rsidP="00923467">
            <w:r w:rsidRPr="00923467">
              <w:t>PATE</w:t>
            </w:r>
          </w:p>
        </w:tc>
        <w:tc>
          <w:tcPr>
            <w:tcW w:w="7614" w:type="dxa"/>
            <w:noWrap/>
            <w:hideMark/>
          </w:tcPr>
          <w:p w14:paraId="17924CAA" w14:textId="212E1335" w:rsidR="00566320" w:rsidRPr="00923467" w:rsidRDefault="00566320" w:rsidP="00923467">
            <w:r w:rsidRPr="00923467">
              <w:t xml:space="preserve">Public Affairs and Tax Education </w:t>
            </w:r>
          </w:p>
        </w:tc>
      </w:tr>
      <w:tr w:rsidR="00566320" w:rsidRPr="00923467" w14:paraId="26B14DD4" w14:textId="77777777" w:rsidTr="00A819C4">
        <w:trPr>
          <w:trHeight w:val="300"/>
        </w:trPr>
        <w:tc>
          <w:tcPr>
            <w:tcW w:w="1600" w:type="dxa"/>
            <w:noWrap/>
            <w:hideMark/>
          </w:tcPr>
          <w:p w14:paraId="5AD551E2" w14:textId="4305D625" w:rsidR="00566320" w:rsidRPr="00923467" w:rsidRDefault="00566320" w:rsidP="00923467">
            <w:r w:rsidRPr="00923467">
              <w:t>PAYE</w:t>
            </w:r>
          </w:p>
        </w:tc>
        <w:tc>
          <w:tcPr>
            <w:tcW w:w="7614" w:type="dxa"/>
            <w:noWrap/>
            <w:hideMark/>
          </w:tcPr>
          <w:p w14:paraId="44B31ECC" w14:textId="447F9105" w:rsidR="00566320" w:rsidRPr="00923467" w:rsidRDefault="00566320" w:rsidP="00923467">
            <w:r w:rsidRPr="00923467">
              <w:t>Pay as You Earn</w:t>
            </w:r>
          </w:p>
        </w:tc>
      </w:tr>
      <w:tr w:rsidR="00566320" w:rsidRPr="00923467" w14:paraId="598D7258" w14:textId="77777777" w:rsidTr="00A819C4">
        <w:trPr>
          <w:trHeight w:val="300"/>
        </w:trPr>
        <w:tc>
          <w:tcPr>
            <w:tcW w:w="1600" w:type="dxa"/>
            <w:noWrap/>
            <w:hideMark/>
          </w:tcPr>
          <w:p w14:paraId="7B03900F" w14:textId="160B8ED9" w:rsidR="00566320" w:rsidRPr="00923467" w:rsidRDefault="00566320" w:rsidP="00923467">
            <w:r w:rsidRPr="00923467">
              <w:t>PCA</w:t>
            </w:r>
          </w:p>
        </w:tc>
        <w:tc>
          <w:tcPr>
            <w:tcW w:w="7614" w:type="dxa"/>
            <w:noWrap/>
            <w:hideMark/>
          </w:tcPr>
          <w:p w14:paraId="52BA8BAE" w14:textId="7BC3E717" w:rsidR="00566320" w:rsidRPr="00923467" w:rsidRDefault="00566320" w:rsidP="00923467">
            <w:r w:rsidRPr="00923467">
              <w:t>Post Clearance Audit</w:t>
            </w:r>
          </w:p>
        </w:tc>
      </w:tr>
      <w:tr w:rsidR="00EF582B" w:rsidRPr="00923467" w14:paraId="521BD0E3" w14:textId="77777777" w:rsidTr="00A819C4">
        <w:trPr>
          <w:trHeight w:val="300"/>
        </w:trPr>
        <w:tc>
          <w:tcPr>
            <w:tcW w:w="1600" w:type="dxa"/>
            <w:noWrap/>
            <w:hideMark/>
          </w:tcPr>
          <w:p w14:paraId="22687589" w14:textId="149FC3FF" w:rsidR="00EF582B" w:rsidRPr="00923467" w:rsidRDefault="00EF582B" w:rsidP="00923467">
            <w:r w:rsidRPr="00923467">
              <w:t>PIT</w:t>
            </w:r>
          </w:p>
        </w:tc>
        <w:tc>
          <w:tcPr>
            <w:tcW w:w="7614" w:type="dxa"/>
            <w:noWrap/>
            <w:hideMark/>
          </w:tcPr>
          <w:p w14:paraId="1C71BAE6" w14:textId="2CECC49F" w:rsidR="00EF582B" w:rsidRPr="00923467" w:rsidRDefault="00EF582B" w:rsidP="00923467">
            <w:r w:rsidRPr="00923467">
              <w:t>Property Income Tax</w:t>
            </w:r>
          </w:p>
        </w:tc>
      </w:tr>
      <w:tr w:rsidR="00801B9E" w:rsidRPr="00923467" w14:paraId="33FD327E" w14:textId="77777777" w:rsidTr="00A819C4">
        <w:trPr>
          <w:trHeight w:val="300"/>
        </w:trPr>
        <w:tc>
          <w:tcPr>
            <w:tcW w:w="1600" w:type="dxa"/>
            <w:noWrap/>
            <w:hideMark/>
          </w:tcPr>
          <w:p w14:paraId="10296B4F" w14:textId="068427C2" w:rsidR="00801B9E" w:rsidRPr="00923467" w:rsidRDefault="00801B9E" w:rsidP="00923467">
            <w:r w:rsidRPr="00923467">
              <w:t>RAD</w:t>
            </w:r>
          </w:p>
        </w:tc>
        <w:tc>
          <w:tcPr>
            <w:tcW w:w="7614" w:type="dxa"/>
            <w:noWrap/>
            <w:hideMark/>
          </w:tcPr>
          <w:p w14:paraId="20067D2F" w14:textId="759F417F" w:rsidR="00801B9E" w:rsidRPr="00923467" w:rsidRDefault="00801B9E" w:rsidP="00923467">
            <w:r w:rsidRPr="00923467">
              <w:t xml:space="preserve">Revised Arusha Declaration </w:t>
            </w:r>
          </w:p>
        </w:tc>
      </w:tr>
      <w:tr w:rsidR="00801B9E" w:rsidRPr="00923467" w14:paraId="37C1E6F5" w14:textId="77777777" w:rsidTr="00A819C4">
        <w:trPr>
          <w:trHeight w:val="300"/>
        </w:trPr>
        <w:tc>
          <w:tcPr>
            <w:tcW w:w="1600" w:type="dxa"/>
            <w:noWrap/>
            <w:hideMark/>
          </w:tcPr>
          <w:p w14:paraId="1386CB04" w14:textId="23164ACD" w:rsidR="00801B9E" w:rsidRPr="00923467" w:rsidRDefault="00801B9E" w:rsidP="00923467">
            <w:r w:rsidRPr="00923467">
              <w:t>RIID</w:t>
            </w:r>
          </w:p>
        </w:tc>
        <w:tc>
          <w:tcPr>
            <w:tcW w:w="7614" w:type="dxa"/>
            <w:noWrap/>
            <w:hideMark/>
          </w:tcPr>
          <w:p w14:paraId="3527179E" w14:textId="280E7A7F" w:rsidR="00801B9E" w:rsidRPr="00923467" w:rsidRDefault="00801B9E" w:rsidP="00923467">
            <w:r w:rsidRPr="00923467">
              <w:t>Revenue Intelligence and Investigations Department</w:t>
            </w:r>
          </w:p>
        </w:tc>
      </w:tr>
      <w:tr w:rsidR="00801B9E" w:rsidRPr="00923467" w14:paraId="09C50B92" w14:textId="77777777" w:rsidTr="00A819C4">
        <w:trPr>
          <w:trHeight w:val="300"/>
        </w:trPr>
        <w:tc>
          <w:tcPr>
            <w:tcW w:w="1600" w:type="dxa"/>
            <w:noWrap/>
            <w:hideMark/>
          </w:tcPr>
          <w:p w14:paraId="24C627B0" w14:textId="575B34FF" w:rsidR="00801B9E" w:rsidRPr="00923467" w:rsidRDefault="00801B9E" w:rsidP="00923467">
            <w:r w:rsidRPr="00923467">
              <w:t>RIIU</w:t>
            </w:r>
          </w:p>
        </w:tc>
        <w:tc>
          <w:tcPr>
            <w:tcW w:w="7614" w:type="dxa"/>
            <w:noWrap/>
            <w:hideMark/>
          </w:tcPr>
          <w:p w14:paraId="60ED46E1" w14:textId="49DAB4AE" w:rsidR="00801B9E" w:rsidRPr="00923467" w:rsidRDefault="00801B9E" w:rsidP="00923467">
            <w:r w:rsidRPr="00923467">
              <w:t>Revenue Intelligence and Investigations Unit</w:t>
            </w:r>
          </w:p>
        </w:tc>
      </w:tr>
      <w:tr w:rsidR="00801B9E" w:rsidRPr="00923467" w14:paraId="155FF9F0" w14:textId="77777777" w:rsidTr="00A819C4">
        <w:trPr>
          <w:trHeight w:val="300"/>
        </w:trPr>
        <w:tc>
          <w:tcPr>
            <w:tcW w:w="1600" w:type="dxa"/>
            <w:noWrap/>
            <w:hideMark/>
          </w:tcPr>
          <w:p w14:paraId="67598DBE" w14:textId="0071E096" w:rsidR="00801B9E" w:rsidRPr="00923467" w:rsidRDefault="00801B9E" w:rsidP="00923467">
            <w:r w:rsidRPr="00923467">
              <w:t>RMC</w:t>
            </w:r>
          </w:p>
        </w:tc>
        <w:tc>
          <w:tcPr>
            <w:tcW w:w="7614" w:type="dxa"/>
            <w:noWrap/>
            <w:hideMark/>
          </w:tcPr>
          <w:p w14:paraId="719FAA95" w14:textId="3B92B337" w:rsidR="00801B9E" w:rsidRPr="00923467" w:rsidRDefault="00801B9E" w:rsidP="00923467">
            <w:r w:rsidRPr="00923467">
              <w:t xml:space="preserve">Risk Management Committee </w:t>
            </w:r>
          </w:p>
        </w:tc>
      </w:tr>
      <w:tr w:rsidR="00801B9E" w:rsidRPr="00923467" w14:paraId="54945669" w14:textId="77777777" w:rsidTr="00A819C4">
        <w:trPr>
          <w:trHeight w:val="300"/>
        </w:trPr>
        <w:tc>
          <w:tcPr>
            <w:tcW w:w="1600" w:type="dxa"/>
            <w:noWrap/>
            <w:hideMark/>
          </w:tcPr>
          <w:p w14:paraId="1E041D91" w14:textId="3493C010" w:rsidR="00801B9E" w:rsidRPr="00923467" w:rsidRDefault="00801B9E" w:rsidP="00923467">
            <w:r w:rsidRPr="00923467">
              <w:t>RMU</w:t>
            </w:r>
          </w:p>
        </w:tc>
        <w:tc>
          <w:tcPr>
            <w:tcW w:w="7614" w:type="dxa"/>
            <w:noWrap/>
            <w:hideMark/>
          </w:tcPr>
          <w:p w14:paraId="1EEF120E" w14:textId="508EF28C" w:rsidR="00801B9E" w:rsidRPr="00923467" w:rsidRDefault="00801B9E" w:rsidP="00923467">
            <w:r w:rsidRPr="00923467">
              <w:t>Risk Management Unit</w:t>
            </w:r>
          </w:p>
        </w:tc>
      </w:tr>
      <w:tr w:rsidR="00801B9E" w:rsidRPr="00923467" w14:paraId="72CACC01" w14:textId="77777777" w:rsidTr="00A819C4">
        <w:trPr>
          <w:trHeight w:val="300"/>
        </w:trPr>
        <w:tc>
          <w:tcPr>
            <w:tcW w:w="1600" w:type="dxa"/>
            <w:noWrap/>
            <w:hideMark/>
          </w:tcPr>
          <w:p w14:paraId="59C3E43E" w14:textId="50FDFFA6" w:rsidR="00801B9E" w:rsidRPr="00923467" w:rsidRDefault="00801B9E" w:rsidP="00923467">
            <w:r w:rsidRPr="00923467">
              <w:t>RUC</w:t>
            </w:r>
          </w:p>
        </w:tc>
        <w:tc>
          <w:tcPr>
            <w:tcW w:w="7614" w:type="dxa"/>
            <w:noWrap/>
            <w:hideMark/>
          </w:tcPr>
          <w:p w14:paraId="4B180028" w14:textId="71520C3F" w:rsidR="00801B9E" w:rsidRPr="00923467" w:rsidRDefault="00801B9E" w:rsidP="00923467">
            <w:r w:rsidRPr="00923467">
              <w:t>Road User Charges</w:t>
            </w:r>
          </w:p>
        </w:tc>
      </w:tr>
      <w:tr w:rsidR="00801B9E" w:rsidRPr="00923467" w14:paraId="374DDBDF" w14:textId="77777777" w:rsidTr="00A819C4">
        <w:trPr>
          <w:trHeight w:val="300"/>
        </w:trPr>
        <w:tc>
          <w:tcPr>
            <w:tcW w:w="1600" w:type="dxa"/>
            <w:noWrap/>
            <w:hideMark/>
          </w:tcPr>
          <w:p w14:paraId="69013B85" w14:textId="446A9DF3" w:rsidR="00801B9E" w:rsidRPr="00923467" w:rsidRDefault="00801B9E" w:rsidP="00923467">
            <w:r w:rsidRPr="00923467">
              <w:t>SCD</w:t>
            </w:r>
          </w:p>
        </w:tc>
        <w:tc>
          <w:tcPr>
            <w:tcW w:w="7614" w:type="dxa"/>
            <w:noWrap/>
            <w:hideMark/>
          </w:tcPr>
          <w:p w14:paraId="6F555294" w14:textId="5F4DEB4E" w:rsidR="00801B9E" w:rsidRPr="00923467" w:rsidRDefault="00801B9E" w:rsidP="00923467">
            <w:r w:rsidRPr="00923467">
              <w:t>Single Customs Declaration</w:t>
            </w:r>
          </w:p>
        </w:tc>
      </w:tr>
      <w:tr w:rsidR="00801B9E" w:rsidRPr="00923467" w14:paraId="010B5769" w14:textId="77777777" w:rsidTr="00A819C4">
        <w:trPr>
          <w:trHeight w:val="300"/>
        </w:trPr>
        <w:tc>
          <w:tcPr>
            <w:tcW w:w="1600" w:type="dxa"/>
            <w:noWrap/>
            <w:hideMark/>
          </w:tcPr>
          <w:p w14:paraId="40F8C743" w14:textId="4C0B7CA2" w:rsidR="00801B9E" w:rsidRPr="00923467" w:rsidRDefault="00801B9E" w:rsidP="00923467">
            <w:r w:rsidRPr="00923467">
              <w:t>SICPA</w:t>
            </w:r>
          </w:p>
        </w:tc>
        <w:tc>
          <w:tcPr>
            <w:tcW w:w="7614" w:type="dxa"/>
            <w:noWrap/>
            <w:hideMark/>
          </w:tcPr>
          <w:p w14:paraId="23013999" w14:textId="2ED489E3" w:rsidR="00801B9E" w:rsidRPr="00923467" w:rsidRDefault="00801B9E" w:rsidP="00923467">
            <w:r w:rsidRPr="00923467">
              <w:t xml:space="preserve">Société Industrielle et Commerciale de </w:t>
            </w:r>
            <w:proofErr w:type="spellStart"/>
            <w:r w:rsidRPr="00923467">
              <w:t>Produits</w:t>
            </w:r>
            <w:proofErr w:type="spellEnd"/>
            <w:r w:rsidRPr="00923467">
              <w:t xml:space="preserve"> </w:t>
            </w:r>
            <w:proofErr w:type="spellStart"/>
            <w:r w:rsidRPr="00923467">
              <w:t>Alimentaires</w:t>
            </w:r>
            <w:proofErr w:type="spellEnd"/>
            <w:r w:rsidRPr="00923467">
              <w:t xml:space="preserve"> </w:t>
            </w:r>
          </w:p>
        </w:tc>
      </w:tr>
      <w:tr w:rsidR="00801B9E" w:rsidRPr="00923467" w14:paraId="145C510C" w14:textId="77777777" w:rsidTr="00A819C4">
        <w:trPr>
          <w:trHeight w:val="300"/>
        </w:trPr>
        <w:tc>
          <w:tcPr>
            <w:tcW w:w="1600" w:type="dxa"/>
            <w:noWrap/>
            <w:hideMark/>
          </w:tcPr>
          <w:p w14:paraId="2B250CCB" w14:textId="52D8D2DF" w:rsidR="00801B9E" w:rsidRPr="00923467" w:rsidRDefault="00801B9E" w:rsidP="00923467">
            <w:r w:rsidRPr="00923467">
              <w:t>SLBC</w:t>
            </w:r>
          </w:p>
        </w:tc>
        <w:tc>
          <w:tcPr>
            <w:tcW w:w="7614" w:type="dxa"/>
            <w:noWrap/>
            <w:hideMark/>
          </w:tcPr>
          <w:p w14:paraId="4768A3AF" w14:textId="2912B392" w:rsidR="00801B9E" w:rsidRPr="00923467" w:rsidRDefault="00801B9E" w:rsidP="00923467">
            <w:r w:rsidRPr="00923467">
              <w:t>Sierra Leone Broadcasting Corporation</w:t>
            </w:r>
          </w:p>
        </w:tc>
      </w:tr>
      <w:tr w:rsidR="00801B9E" w:rsidRPr="00923467" w14:paraId="503A04AB" w14:textId="77777777" w:rsidTr="00A819C4">
        <w:trPr>
          <w:trHeight w:val="300"/>
        </w:trPr>
        <w:tc>
          <w:tcPr>
            <w:tcW w:w="1600" w:type="dxa"/>
            <w:noWrap/>
            <w:hideMark/>
          </w:tcPr>
          <w:p w14:paraId="349DFAB3" w14:textId="393226EE" w:rsidR="00801B9E" w:rsidRPr="00923467" w:rsidRDefault="00801B9E" w:rsidP="00923467">
            <w:r w:rsidRPr="00923467">
              <w:t>SLRSA</w:t>
            </w:r>
          </w:p>
        </w:tc>
        <w:tc>
          <w:tcPr>
            <w:tcW w:w="7614" w:type="dxa"/>
            <w:noWrap/>
            <w:hideMark/>
          </w:tcPr>
          <w:p w14:paraId="2BA7677E" w14:textId="74658C2E" w:rsidR="00801B9E" w:rsidRPr="00923467" w:rsidRDefault="00801B9E" w:rsidP="00923467">
            <w:r w:rsidRPr="00923467">
              <w:t>Sierra Leone Road Safety Authority</w:t>
            </w:r>
          </w:p>
        </w:tc>
      </w:tr>
      <w:tr w:rsidR="00801B9E" w:rsidRPr="00923467" w14:paraId="2ED7B8D1" w14:textId="77777777" w:rsidTr="00A819C4">
        <w:trPr>
          <w:trHeight w:val="300"/>
        </w:trPr>
        <w:tc>
          <w:tcPr>
            <w:tcW w:w="1600" w:type="dxa"/>
            <w:noWrap/>
            <w:hideMark/>
          </w:tcPr>
          <w:p w14:paraId="5CD2014A" w14:textId="3558A2C1" w:rsidR="00801B9E" w:rsidRPr="00923467" w:rsidRDefault="00801B9E" w:rsidP="00923467">
            <w:r w:rsidRPr="00923467">
              <w:t>SMT</w:t>
            </w:r>
          </w:p>
        </w:tc>
        <w:tc>
          <w:tcPr>
            <w:tcW w:w="7614" w:type="dxa"/>
            <w:noWrap/>
            <w:hideMark/>
          </w:tcPr>
          <w:p w14:paraId="7F8866AB" w14:textId="5DCA19EE" w:rsidR="00801B9E" w:rsidRPr="00923467" w:rsidRDefault="00801B9E" w:rsidP="00923467">
            <w:r w:rsidRPr="00923467">
              <w:t xml:space="preserve">Senior Management Team </w:t>
            </w:r>
          </w:p>
        </w:tc>
      </w:tr>
      <w:tr w:rsidR="00801B9E" w:rsidRPr="00923467" w14:paraId="0EFFC181" w14:textId="77777777" w:rsidTr="00A819C4">
        <w:trPr>
          <w:trHeight w:val="300"/>
        </w:trPr>
        <w:tc>
          <w:tcPr>
            <w:tcW w:w="1600" w:type="dxa"/>
            <w:noWrap/>
            <w:hideMark/>
          </w:tcPr>
          <w:p w14:paraId="24D9E5CC" w14:textId="31868D36" w:rsidR="00801B9E" w:rsidRPr="00923467" w:rsidRDefault="00801B9E" w:rsidP="00923467">
            <w:r w:rsidRPr="00923467">
              <w:t>SMTO</w:t>
            </w:r>
          </w:p>
        </w:tc>
        <w:tc>
          <w:tcPr>
            <w:tcW w:w="7614" w:type="dxa"/>
            <w:noWrap/>
            <w:hideMark/>
          </w:tcPr>
          <w:p w14:paraId="56517B9B" w14:textId="76AE39A9" w:rsidR="00801B9E" w:rsidRPr="00923467" w:rsidRDefault="00801B9E" w:rsidP="00923467">
            <w:r w:rsidRPr="00923467">
              <w:t>Small and Medium Taxpayers Office</w:t>
            </w:r>
          </w:p>
        </w:tc>
      </w:tr>
      <w:tr w:rsidR="00801B9E" w:rsidRPr="00923467" w14:paraId="4964D6E2" w14:textId="77777777" w:rsidTr="00A819C4">
        <w:trPr>
          <w:trHeight w:val="300"/>
        </w:trPr>
        <w:tc>
          <w:tcPr>
            <w:tcW w:w="1600" w:type="dxa"/>
            <w:noWrap/>
            <w:hideMark/>
          </w:tcPr>
          <w:p w14:paraId="04AF1D53" w14:textId="7B4509BA" w:rsidR="00801B9E" w:rsidRPr="00923467" w:rsidRDefault="00801B9E" w:rsidP="00923467">
            <w:r w:rsidRPr="00923467">
              <w:t>SOPs</w:t>
            </w:r>
          </w:p>
        </w:tc>
        <w:tc>
          <w:tcPr>
            <w:tcW w:w="7614" w:type="dxa"/>
            <w:noWrap/>
            <w:hideMark/>
          </w:tcPr>
          <w:p w14:paraId="4D04BA1D" w14:textId="007E028C" w:rsidR="00801B9E" w:rsidRPr="00923467" w:rsidRDefault="00801B9E" w:rsidP="00923467">
            <w:r w:rsidRPr="00923467">
              <w:t>Standard Operating Procedures</w:t>
            </w:r>
          </w:p>
        </w:tc>
      </w:tr>
      <w:tr w:rsidR="00801B9E" w:rsidRPr="00923467" w14:paraId="08517390" w14:textId="77777777" w:rsidTr="00A819C4">
        <w:trPr>
          <w:trHeight w:val="300"/>
        </w:trPr>
        <w:tc>
          <w:tcPr>
            <w:tcW w:w="1600" w:type="dxa"/>
            <w:noWrap/>
            <w:hideMark/>
          </w:tcPr>
          <w:p w14:paraId="3C94689B" w14:textId="5EEC98E8" w:rsidR="00801B9E" w:rsidRPr="00923467" w:rsidRDefault="00801B9E" w:rsidP="00923467">
            <w:r w:rsidRPr="00923467">
              <w:t>STA</w:t>
            </w:r>
          </w:p>
        </w:tc>
        <w:tc>
          <w:tcPr>
            <w:tcW w:w="7614" w:type="dxa"/>
            <w:noWrap/>
            <w:hideMark/>
          </w:tcPr>
          <w:p w14:paraId="247DC73F" w14:textId="2893B786" w:rsidR="00801B9E" w:rsidRPr="00923467" w:rsidRDefault="00801B9E" w:rsidP="00923467">
            <w:r w:rsidRPr="00923467">
              <w:t>Swedish Tax Agency</w:t>
            </w:r>
          </w:p>
        </w:tc>
      </w:tr>
      <w:tr w:rsidR="00801B9E" w:rsidRPr="00923467" w14:paraId="7D1D9BC5" w14:textId="77777777" w:rsidTr="00A819C4">
        <w:trPr>
          <w:trHeight w:val="300"/>
        </w:trPr>
        <w:tc>
          <w:tcPr>
            <w:tcW w:w="1600" w:type="dxa"/>
            <w:noWrap/>
            <w:hideMark/>
          </w:tcPr>
          <w:p w14:paraId="37CB0D37" w14:textId="478A5E26" w:rsidR="00801B9E" w:rsidRPr="00923467" w:rsidRDefault="00801B9E" w:rsidP="00923467">
            <w:r w:rsidRPr="00923467">
              <w:t>TIN</w:t>
            </w:r>
          </w:p>
        </w:tc>
        <w:tc>
          <w:tcPr>
            <w:tcW w:w="7614" w:type="dxa"/>
            <w:noWrap/>
            <w:hideMark/>
          </w:tcPr>
          <w:p w14:paraId="03C6CFC6" w14:textId="293FB994" w:rsidR="00801B9E" w:rsidRPr="00923467" w:rsidRDefault="00801B9E" w:rsidP="00923467">
            <w:r w:rsidRPr="00923467">
              <w:t xml:space="preserve">Taxpayer Identification Number </w:t>
            </w:r>
          </w:p>
        </w:tc>
      </w:tr>
      <w:tr w:rsidR="00951688" w:rsidRPr="00923467" w14:paraId="0A2060ED" w14:textId="77777777" w:rsidTr="00A819C4">
        <w:trPr>
          <w:trHeight w:val="300"/>
        </w:trPr>
        <w:tc>
          <w:tcPr>
            <w:tcW w:w="1600" w:type="dxa"/>
            <w:noWrap/>
            <w:hideMark/>
          </w:tcPr>
          <w:p w14:paraId="73EDC149" w14:textId="4D3F0F99" w:rsidR="00951688" w:rsidRPr="00923467" w:rsidRDefault="00951688" w:rsidP="00923467">
            <w:r w:rsidRPr="00923467">
              <w:t>TSA</w:t>
            </w:r>
          </w:p>
        </w:tc>
        <w:tc>
          <w:tcPr>
            <w:tcW w:w="7614" w:type="dxa"/>
            <w:noWrap/>
            <w:hideMark/>
          </w:tcPr>
          <w:p w14:paraId="031CFCF1" w14:textId="2DE29FE6" w:rsidR="00951688" w:rsidRPr="00923467" w:rsidRDefault="00951688" w:rsidP="00923467">
            <w:r w:rsidRPr="00923467">
              <w:t>Treasury Single Account</w:t>
            </w:r>
          </w:p>
        </w:tc>
      </w:tr>
      <w:tr w:rsidR="00951688" w:rsidRPr="00923467" w14:paraId="0133EB9B" w14:textId="77777777" w:rsidTr="00A819C4">
        <w:trPr>
          <w:trHeight w:val="300"/>
        </w:trPr>
        <w:tc>
          <w:tcPr>
            <w:tcW w:w="1600" w:type="dxa"/>
            <w:noWrap/>
            <w:hideMark/>
          </w:tcPr>
          <w:p w14:paraId="1733207F" w14:textId="7406CD83" w:rsidR="00951688" w:rsidRPr="00923467" w:rsidRDefault="00951688" w:rsidP="00923467">
            <w:r w:rsidRPr="00923467">
              <w:t>TSC</w:t>
            </w:r>
          </w:p>
        </w:tc>
        <w:tc>
          <w:tcPr>
            <w:tcW w:w="7614" w:type="dxa"/>
            <w:noWrap/>
            <w:hideMark/>
          </w:tcPr>
          <w:p w14:paraId="1F725BAE" w14:textId="6067C662" w:rsidR="00951688" w:rsidRPr="00923467" w:rsidRDefault="00951688" w:rsidP="00923467">
            <w:r w:rsidRPr="00923467">
              <w:t xml:space="preserve">Tariff Specification Code </w:t>
            </w:r>
          </w:p>
        </w:tc>
      </w:tr>
      <w:tr w:rsidR="00951688" w:rsidRPr="00923467" w14:paraId="3FE396D9" w14:textId="77777777" w:rsidTr="00A819C4">
        <w:trPr>
          <w:trHeight w:val="300"/>
        </w:trPr>
        <w:tc>
          <w:tcPr>
            <w:tcW w:w="1600" w:type="dxa"/>
            <w:noWrap/>
            <w:hideMark/>
          </w:tcPr>
          <w:p w14:paraId="3FE25CC8" w14:textId="17476BBF" w:rsidR="00951688" w:rsidRPr="00923467" w:rsidRDefault="00951688" w:rsidP="00923467">
            <w:r w:rsidRPr="00923467">
              <w:t>VIPS</w:t>
            </w:r>
          </w:p>
        </w:tc>
        <w:tc>
          <w:tcPr>
            <w:tcW w:w="7614" w:type="dxa"/>
            <w:noWrap/>
            <w:hideMark/>
          </w:tcPr>
          <w:p w14:paraId="6A0E4114" w14:textId="72351408" w:rsidR="00951688" w:rsidRPr="00923467" w:rsidRDefault="00951688" w:rsidP="00923467">
            <w:r w:rsidRPr="00923467">
              <w:t>VAT Integrated Processing System</w:t>
            </w:r>
          </w:p>
        </w:tc>
      </w:tr>
      <w:tr w:rsidR="00951688" w:rsidRPr="00923467" w14:paraId="07698ABD" w14:textId="77777777" w:rsidTr="00A819C4">
        <w:trPr>
          <w:trHeight w:val="300"/>
        </w:trPr>
        <w:tc>
          <w:tcPr>
            <w:tcW w:w="1600" w:type="dxa"/>
            <w:noWrap/>
            <w:hideMark/>
          </w:tcPr>
          <w:p w14:paraId="191EE2F8" w14:textId="4FCC7B0F" w:rsidR="00951688" w:rsidRPr="00923467" w:rsidRDefault="00951688" w:rsidP="00923467">
            <w:r w:rsidRPr="00923467">
              <w:t>WAN</w:t>
            </w:r>
          </w:p>
        </w:tc>
        <w:tc>
          <w:tcPr>
            <w:tcW w:w="7614" w:type="dxa"/>
            <w:noWrap/>
            <w:hideMark/>
          </w:tcPr>
          <w:p w14:paraId="50F5F94B" w14:textId="0EB726CD" w:rsidR="00951688" w:rsidRPr="00923467" w:rsidRDefault="00951688" w:rsidP="00923467">
            <w:r w:rsidRPr="00923467">
              <w:t>Wide Area Network</w:t>
            </w:r>
          </w:p>
        </w:tc>
      </w:tr>
      <w:tr w:rsidR="00951688" w:rsidRPr="00923467" w14:paraId="33728475" w14:textId="77777777" w:rsidTr="00A819C4">
        <w:trPr>
          <w:trHeight w:val="300"/>
        </w:trPr>
        <w:tc>
          <w:tcPr>
            <w:tcW w:w="1600" w:type="dxa"/>
            <w:noWrap/>
            <w:hideMark/>
          </w:tcPr>
          <w:p w14:paraId="76FC3BFD" w14:textId="0D65D1EA" w:rsidR="00951688" w:rsidRPr="00923467" w:rsidRDefault="00951688" w:rsidP="00923467">
            <w:r w:rsidRPr="00923467">
              <w:t>WCO</w:t>
            </w:r>
          </w:p>
        </w:tc>
        <w:tc>
          <w:tcPr>
            <w:tcW w:w="7614" w:type="dxa"/>
            <w:noWrap/>
            <w:hideMark/>
          </w:tcPr>
          <w:p w14:paraId="4596561E" w14:textId="33006603" w:rsidR="00951688" w:rsidRPr="00923467" w:rsidRDefault="00951688" w:rsidP="00923467">
            <w:r w:rsidRPr="00923467">
              <w:t xml:space="preserve">World Customs Organisation </w:t>
            </w:r>
          </w:p>
        </w:tc>
      </w:tr>
      <w:tr w:rsidR="00951688" w:rsidRPr="00923467" w14:paraId="523863D1" w14:textId="77777777" w:rsidTr="00A819C4">
        <w:trPr>
          <w:trHeight w:val="300"/>
        </w:trPr>
        <w:tc>
          <w:tcPr>
            <w:tcW w:w="1600" w:type="dxa"/>
            <w:noWrap/>
            <w:hideMark/>
          </w:tcPr>
          <w:p w14:paraId="4B5041E3" w14:textId="56A0C884" w:rsidR="00951688" w:rsidRPr="00923467" w:rsidRDefault="00951688" w:rsidP="00923467">
            <w:r w:rsidRPr="00923467">
              <w:t>WIT</w:t>
            </w:r>
          </w:p>
        </w:tc>
        <w:tc>
          <w:tcPr>
            <w:tcW w:w="7614" w:type="dxa"/>
            <w:noWrap/>
            <w:hideMark/>
          </w:tcPr>
          <w:p w14:paraId="60FC82F2" w14:textId="3D4108E2" w:rsidR="00951688" w:rsidRPr="00923467" w:rsidRDefault="00951688" w:rsidP="00923467">
            <w:r w:rsidRPr="00923467">
              <w:t xml:space="preserve">Withholding Income Tax </w:t>
            </w:r>
          </w:p>
        </w:tc>
      </w:tr>
    </w:tbl>
    <w:p w14:paraId="323FBDB8" w14:textId="77777777" w:rsidR="009E4AA0" w:rsidRPr="00923467" w:rsidRDefault="009E4AA0" w:rsidP="00923467"/>
    <w:p w14:paraId="7BB26BED" w14:textId="77777777" w:rsidR="009E4AA0" w:rsidRPr="00923467" w:rsidRDefault="009E4AA0" w:rsidP="00923467"/>
    <w:p w14:paraId="5E289E57" w14:textId="03591CD8" w:rsidR="0059271D" w:rsidRPr="00923467" w:rsidRDefault="0059271D" w:rsidP="00923467">
      <w:r w:rsidRPr="00923467">
        <w:br w:type="page"/>
      </w:r>
    </w:p>
    <w:p w14:paraId="784C323C" w14:textId="5DB1D226" w:rsidR="00BF069E" w:rsidRPr="00923467" w:rsidRDefault="00271E4D" w:rsidP="00FF1853">
      <w:pPr>
        <w:pStyle w:val="Heading1"/>
      </w:pPr>
      <w:bookmarkStart w:id="0" w:name="_Toc137831054"/>
      <w:r w:rsidRPr="00923467">
        <w:t>FOREWORD BY THE COMMISSIONER GENERAL</w:t>
      </w:r>
      <w:bookmarkEnd w:id="0"/>
    </w:p>
    <w:p w14:paraId="01BFE58C" w14:textId="0FE885EC" w:rsidR="00A52B2E" w:rsidRDefault="00A52B2E" w:rsidP="00A52B2E">
      <w:r>
        <w:t xml:space="preserve">It is with great pleasure that I present the Annual Report of the National Revenue Authority for 2022. </w:t>
      </w:r>
      <w:r w:rsidR="008A01A4">
        <w:t>The</w:t>
      </w:r>
      <w:r>
        <w:t xml:space="preserve"> </w:t>
      </w:r>
      <w:r w:rsidR="008A01A4">
        <w:t>A</w:t>
      </w:r>
      <w:r>
        <w:t xml:space="preserve">nnual </w:t>
      </w:r>
      <w:r w:rsidR="008A01A4">
        <w:t>R</w:t>
      </w:r>
      <w:r>
        <w:t xml:space="preserve">eport </w:t>
      </w:r>
      <w:r w:rsidR="008A01A4">
        <w:t xml:space="preserve">draws on information provided by all operational and support departments within the Authority, and </w:t>
      </w:r>
      <w:r>
        <w:t xml:space="preserve">serves as a comprehensive account of our progress, providing detailed insights into the strategies, initiatives, and outcomes of our efforts. It also underscores our commitment to transparency, ensuring that all stakeholders can review our performance, the challenges faced, and the measures we have taken to address them. The Annual Report provides an opportunity for us at the Authority to look back on the year that has </w:t>
      </w:r>
      <w:proofErr w:type="gramStart"/>
      <w:r>
        <w:t xml:space="preserve">come to a </w:t>
      </w:r>
      <w:r w:rsidR="00DF0A66">
        <w:t>close</w:t>
      </w:r>
      <w:proofErr w:type="gramEnd"/>
      <w:r w:rsidR="00DF0A66">
        <w:t xml:space="preserve"> and</w:t>
      </w:r>
      <w:r>
        <w:t xml:space="preserve"> take stock of what has been </w:t>
      </w:r>
      <w:proofErr w:type="gramStart"/>
      <w:r>
        <w:t>achieved</w:t>
      </w:r>
      <w:proofErr w:type="gramEnd"/>
      <w:r>
        <w:t xml:space="preserve"> and which objectives remain to be completed. </w:t>
      </w:r>
    </w:p>
    <w:p w14:paraId="39D5DB11" w14:textId="77777777" w:rsidR="00A52B2E" w:rsidRDefault="00A52B2E" w:rsidP="00A52B2E"/>
    <w:p w14:paraId="5C41DF49" w14:textId="0B0CFF7E" w:rsidR="00A52B2E" w:rsidRDefault="008A01A4" w:rsidP="00A52B2E">
      <w:r>
        <w:t>T</w:t>
      </w:r>
      <w:r w:rsidR="00A52B2E">
        <w:t>he NRA is mandated to assess and collect government revenue and help facilitate trade through Customs. In recent years, the NRA has made significant strides in increasing revenue collection and improving the fiscal space for Government in support of public spending and providing essential services to all Sierra Leoneans. It has also streamlined processes and reduced wait times at customs ports, fulfilling its second mandate of facilitating international trade. Following our Strategic Plan (2018-2022), we have invested in cutting-edge technology, streamlin</w:t>
      </w:r>
      <w:r w:rsidR="006F7319">
        <w:t>ed</w:t>
      </w:r>
      <w:r w:rsidR="00A52B2E">
        <w:t xml:space="preserve"> our processes, and leveraged new and old sources of data to enhance our operational efficiency. We have collaborated with stakeholders, both within and outside the organization, to foster a culture of integrity and cooperation and exchange of best practices. These efforts have laid the foundation for a more robust and responsive revenue collection framework.</w:t>
      </w:r>
    </w:p>
    <w:p w14:paraId="4F2C464F" w14:textId="77777777" w:rsidR="00A52B2E" w:rsidRDefault="00A52B2E" w:rsidP="00A52B2E"/>
    <w:p w14:paraId="70922847" w14:textId="03FD1ED3" w:rsidR="00A52B2E" w:rsidRDefault="00A52B2E" w:rsidP="00A52B2E">
      <w:r>
        <w:t>Th</w:t>
      </w:r>
      <w:r w:rsidR="006F7319">
        <w:t>e past year</w:t>
      </w:r>
      <w:r>
        <w:t xml:space="preserve"> was a transformative period for the NRA. Like many revenue authorities across the globe, we confronted unprecedented challenges that tested our resilience and determination. The twin shocks </w:t>
      </w:r>
      <w:r w:rsidR="006F7319">
        <w:t xml:space="preserve">of </w:t>
      </w:r>
      <w:r>
        <w:t>global inflation following the COVID-19 Pandemic and the War in Ukraine have significantly affected Sierra Leoneans,</w:t>
      </w:r>
      <w:r w:rsidR="006F7319">
        <w:t xml:space="preserve"> with direct impacts on</w:t>
      </w:r>
      <w:r>
        <w:t xml:space="preserve"> the NRA’s ability to raise revenue. Furthermore, </w:t>
      </w:r>
      <w:r w:rsidR="006F7319">
        <w:t xml:space="preserve">inflation and </w:t>
      </w:r>
      <w:r>
        <w:t xml:space="preserve">the depreciation </w:t>
      </w:r>
      <w:r w:rsidR="006F7319">
        <w:t xml:space="preserve">in the value </w:t>
      </w:r>
      <w:r>
        <w:t xml:space="preserve">of the Leone </w:t>
      </w:r>
      <w:r w:rsidR="006F7319">
        <w:t xml:space="preserve">has </w:t>
      </w:r>
      <w:r>
        <w:t xml:space="preserve">put significant pressure on Government </w:t>
      </w:r>
      <w:r w:rsidR="00DF0A66">
        <w:t>expenditures and</w:t>
      </w:r>
      <w:r>
        <w:t xml:space="preserve"> necessitated a range of administrative and tax policy measures to increase revenue collection in </w:t>
      </w:r>
      <w:r w:rsidR="009C1DE7">
        <w:t>the coming</w:t>
      </w:r>
      <w:r>
        <w:t xml:space="preserve"> years. However, in the face of adversity, our </w:t>
      </w:r>
      <w:r w:rsidR="009C1DE7">
        <w:t>staff</w:t>
      </w:r>
      <w:r>
        <w:t xml:space="preserve"> demonstrated unwavering dedication and commitment to achieving our goals. Moving into the new year, the NRA will continue to consolidate the gains that it has made in 2022 and build upon them to </w:t>
      </w:r>
      <w:r w:rsidR="006F7319">
        <w:t xml:space="preserve">continue to </w:t>
      </w:r>
      <w:r>
        <w:t xml:space="preserve">deliver on our revenue collection mandate. </w:t>
      </w:r>
    </w:p>
    <w:p w14:paraId="322014FE" w14:textId="77777777" w:rsidR="00A52B2E" w:rsidRDefault="00A52B2E" w:rsidP="00A52B2E"/>
    <w:p w14:paraId="13D22F04" w14:textId="77777777" w:rsidR="00A52B2E" w:rsidRDefault="00A52B2E" w:rsidP="00A52B2E">
      <w:r>
        <w:t>I extend my gratitude to our dedicated staff at the NRA, our partners, and all stakeholders for their unwavering support throughout this journey. It is through our collective efforts that we have overcome challenges, made significant progress, and are poised to achieve even greater success in the future. Together, let us continue to build a robust revenue collection ecosystem that empowers our nation and paves the way for a prosperous future.</w:t>
      </w:r>
    </w:p>
    <w:p w14:paraId="01625EA9" w14:textId="77777777" w:rsidR="00A52B2E" w:rsidRDefault="00A52B2E" w:rsidP="00A52B2E"/>
    <w:p w14:paraId="1CF558DE" w14:textId="35D62155" w:rsidR="00271E4D" w:rsidRPr="00923467" w:rsidRDefault="00A52B2E" w:rsidP="00A52B2E">
      <w:r>
        <w:t>Sincerely,</w:t>
      </w:r>
    </w:p>
    <w:p w14:paraId="7278D5ED" w14:textId="77777777" w:rsidR="008A01A4" w:rsidRDefault="008A01A4">
      <w:pPr>
        <w:spacing w:after="160" w:line="259" w:lineRule="auto"/>
        <w:jc w:val="left"/>
      </w:pPr>
    </w:p>
    <w:p w14:paraId="3923C344" w14:textId="5AEAB029" w:rsidR="00A52B2E" w:rsidRDefault="008A01A4">
      <w:pPr>
        <w:spacing w:after="160" w:line="259" w:lineRule="auto"/>
        <w:jc w:val="left"/>
        <w:rPr>
          <w:b/>
          <w:bCs/>
          <w:sz w:val="36"/>
          <w:szCs w:val="36"/>
        </w:rPr>
      </w:pPr>
      <w:r>
        <w:t>Samuel S. Jibao</w:t>
      </w:r>
      <w:r w:rsidR="00A52B2E">
        <w:br w:type="page"/>
      </w:r>
    </w:p>
    <w:p w14:paraId="7F30310B" w14:textId="72C98C99" w:rsidR="00271E4D" w:rsidRPr="00923467" w:rsidRDefault="00271E4D" w:rsidP="00FF1853">
      <w:pPr>
        <w:pStyle w:val="Heading1"/>
      </w:pPr>
      <w:bookmarkStart w:id="1" w:name="_Toc137831055"/>
      <w:r w:rsidRPr="00923467">
        <w:t>EXECUTIVE SUMMARY</w:t>
      </w:r>
      <w:bookmarkEnd w:id="1"/>
    </w:p>
    <w:p w14:paraId="50576719" w14:textId="74C88767" w:rsidR="00F47A5B" w:rsidRDefault="00F47A5B" w:rsidP="00F47A5B">
      <w:r>
        <w:t xml:space="preserve">This report showcases the Authority’s performance, achievements, challenges, and </w:t>
      </w:r>
      <w:proofErr w:type="gramStart"/>
      <w:r>
        <w:t>future prospects</w:t>
      </w:r>
      <w:proofErr w:type="gramEnd"/>
      <w:r>
        <w:t xml:space="preserve"> in revenue generation and tax administration, and serves as a valuable resource for stakeholders, including government officials, policymakers, taxpayers, and the </w:t>
      </w:r>
      <w:proofErr w:type="gramStart"/>
      <w:r>
        <w:t>general public</w:t>
      </w:r>
      <w:proofErr w:type="gramEnd"/>
      <w:r>
        <w:t xml:space="preserve">, to gain insights into the revenue landscape and the </w:t>
      </w:r>
      <w:r w:rsidR="006F7319">
        <w:t>A</w:t>
      </w:r>
      <w:r>
        <w:t>uthority’s efforts to enhance compliance and promote economic growth.</w:t>
      </w:r>
    </w:p>
    <w:p w14:paraId="441B135B" w14:textId="77777777" w:rsidR="00F47A5B" w:rsidRDefault="00F47A5B" w:rsidP="00F47A5B"/>
    <w:p w14:paraId="5DC26BC3" w14:textId="77FD6524" w:rsidR="00F47A5B" w:rsidRPr="00F47A5B" w:rsidRDefault="00F47A5B" w:rsidP="00F47A5B">
      <w:pPr>
        <w:rPr>
          <w:b/>
          <w:bCs/>
        </w:rPr>
      </w:pPr>
      <w:r w:rsidRPr="00F47A5B">
        <w:rPr>
          <w:b/>
          <w:bCs/>
        </w:rPr>
        <w:t>Revenue Performance:</w:t>
      </w:r>
    </w:p>
    <w:p w14:paraId="06AD12A7" w14:textId="130D41D9" w:rsidR="00F47A5B" w:rsidRDefault="00F47A5B" w:rsidP="00F47A5B">
      <w:r>
        <w:t xml:space="preserve">The NRA exhibited robust performance during the fiscal year 2022, despite the significant challenges posed by high global inflation and the effects of the War in Ukraine. Revenue collection has been increasing year-over-year, and the current fiscal year is no exception. Total revenue collections reached Le7.183 trillion for 2022, representing an increase of Le266bn compared to the previous year. However, due to persistently high inflation over this period, this represents a decrease in </w:t>
      </w:r>
      <w:r w:rsidR="00323FF3">
        <w:t>real terms</w:t>
      </w:r>
      <w:r>
        <w:t xml:space="preserve">. Furthermore, revenue collected as a share of the size of the economy, measured as the revenue/GDP ratio, declined to 13.2% from 15.7% in 2022. Despite these </w:t>
      </w:r>
      <w:r w:rsidR="006F7319">
        <w:t>setbacks</w:t>
      </w:r>
      <w:r>
        <w:t xml:space="preserve">, significant administrative and tax policy changes in 2023 mean that the NRA is poised to regain lost ground and continue to deliver the fiscal space needed to support Government spending. </w:t>
      </w:r>
    </w:p>
    <w:p w14:paraId="38B138FB" w14:textId="77777777" w:rsidR="00F47A5B" w:rsidRDefault="00F47A5B" w:rsidP="00F47A5B"/>
    <w:p w14:paraId="01E3C463" w14:textId="7EE6C51F" w:rsidR="00F47A5B" w:rsidRPr="00F47A5B" w:rsidRDefault="00F47A5B" w:rsidP="00F47A5B">
      <w:pPr>
        <w:rPr>
          <w:b/>
          <w:bCs/>
        </w:rPr>
      </w:pPr>
      <w:r w:rsidRPr="00F47A5B">
        <w:rPr>
          <w:b/>
          <w:bCs/>
        </w:rPr>
        <w:t>Tax Compliance:</w:t>
      </w:r>
    </w:p>
    <w:p w14:paraId="6EFA90ED" w14:textId="0B57F2C2" w:rsidR="00F47A5B" w:rsidRDefault="00F47A5B" w:rsidP="00F47A5B">
      <w:r>
        <w:t xml:space="preserve">Promoting tax compliance </w:t>
      </w:r>
      <w:r w:rsidR="006F7319">
        <w:t>is</w:t>
      </w:r>
      <w:r>
        <w:t xml:space="preserve"> a core focus for the </w:t>
      </w:r>
      <w:r w:rsidR="006F7319">
        <w:t xml:space="preserve">National </w:t>
      </w:r>
      <w:r>
        <w:t xml:space="preserve">Revenue Authority. </w:t>
      </w:r>
      <w:r w:rsidR="00323FF3">
        <w:t>C</w:t>
      </w:r>
      <w:r>
        <w:t>ompliance rate</w:t>
      </w:r>
      <w:r w:rsidR="00323FF3">
        <w:t>s remain high (</w:t>
      </w:r>
      <w:r>
        <w:t xml:space="preserve">69.9% </w:t>
      </w:r>
      <w:r w:rsidR="00323FF3">
        <w:t xml:space="preserve">for large taxpayers, </w:t>
      </w:r>
      <w:r>
        <w:t>67.3%</w:t>
      </w:r>
      <w:r w:rsidR="00323FF3">
        <w:t xml:space="preserve"> for taxpayers in extractive industries, and</w:t>
      </w:r>
      <w:r>
        <w:t xml:space="preserve"> 66.7%</w:t>
      </w:r>
      <w:r w:rsidR="00323FF3">
        <w:t xml:space="preserve"> for medium taxpayers), although there remains room for improvement</w:t>
      </w:r>
      <w:r>
        <w:t>. Noteworthy initiatives undertaken this year to improve compliance include the implementation of taxpayer education campaigns (</w:t>
      </w:r>
      <w:r w:rsidR="009C1DE7">
        <w:t xml:space="preserve">both </w:t>
      </w:r>
      <w:r>
        <w:t xml:space="preserve">targeted workshops and mass sensitization on the street and by radio/television), providing taxpayers with additional support in filing taxes </w:t>
      </w:r>
      <w:r w:rsidR="009C1DE7">
        <w:t>through</w:t>
      </w:r>
      <w:r>
        <w:t xml:space="preserve"> regional tax clinics, </w:t>
      </w:r>
      <w:r w:rsidR="006F7319">
        <w:t xml:space="preserve">continued </w:t>
      </w:r>
      <w:r>
        <w:t>audits</w:t>
      </w:r>
      <w:r w:rsidR="00323FF3">
        <w:t xml:space="preserve"> of taxpayers</w:t>
      </w:r>
      <w:r w:rsidR="006F7319">
        <w:t>, and the expansion of NRA’s analytics capabilities to better leverage data to identify leakages</w:t>
      </w:r>
      <w:r>
        <w:t xml:space="preserve">. </w:t>
      </w:r>
    </w:p>
    <w:p w14:paraId="7866B825" w14:textId="77777777" w:rsidR="00F47A5B" w:rsidRDefault="00F47A5B" w:rsidP="00F47A5B"/>
    <w:p w14:paraId="17B35E1A" w14:textId="4536ACBC" w:rsidR="00F47A5B" w:rsidRPr="00F47A5B" w:rsidRDefault="00F47A5B" w:rsidP="00F47A5B">
      <w:pPr>
        <w:rPr>
          <w:b/>
          <w:bCs/>
        </w:rPr>
      </w:pPr>
      <w:r w:rsidRPr="00F47A5B">
        <w:rPr>
          <w:b/>
          <w:bCs/>
        </w:rPr>
        <w:t>Capacity Development:</w:t>
      </w:r>
    </w:p>
    <w:p w14:paraId="572DCC42" w14:textId="33EF6F05" w:rsidR="00F47A5B" w:rsidRDefault="00F47A5B" w:rsidP="00F47A5B">
      <w:r>
        <w:t>Goal 2 of the NRA</w:t>
      </w:r>
      <w:r w:rsidR="00323FF3">
        <w:t>’s</w:t>
      </w:r>
      <w:r>
        <w:t xml:space="preserve"> 2018-2022 Strategic Plan is to “Develop Human Capital and Institutional Capacity.” In line with this goal, NRA undertook </w:t>
      </w:r>
      <w:proofErr w:type="gramStart"/>
      <w:r>
        <w:t>a number of</w:t>
      </w:r>
      <w:proofErr w:type="gramEnd"/>
      <w:r>
        <w:t xml:space="preserve"> training programmes, including 27 training programmes locally, and 18 externally. A total of 549 staff participated in </w:t>
      </w:r>
      <w:r w:rsidR="006F7319">
        <w:t xml:space="preserve">these </w:t>
      </w:r>
      <w:r>
        <w:t>trainings</w:t>
      </w:r>
      <w:r w:rsidR="006F7319">
        <w:t>,</w:t>
      </w:r>
      <w:r>
        <w:t xml:space="preserve"> with DTD staff </w:t>
      </w:r>
      <w:r w:rsidR="006F7319">
        <w:t>benefiting</w:t>
      </w:r>
      <w:r>
        <w:t xml:space="preserve"> the most (143), followed by NTR staff (78), Admin staff (70) and then CSD staff (60). </w:t>
      </w:r>
    </w:p>
    <w:p w14:paraId="1301DE64" w14:textId="77777777" w:rsidR="00F47A5B" w:rsidRDefault="00F47A5B" w:rsidP="00F47A5B"/>
    <w:p w14:paraId="49BD50B5" w14:textId="417C1C22" w:rsidR="00F47A5B" w:rsidRDefault="006F7319" w:rsidP="00F47A5B">
      <w:r>
        <w:t>The</w:t>
      </w:r>
      <w:r w:rsidR="00F47A5B">
        <w:t xml:space="preserve"> NRA has continued to make progress on the Data Warehouse and the roll-out of dashboards for the ECR</w:t>
      </w:r>
      <w:r w:rsidR="009C1DE7">
        <w:t>, ITAS, and ASYCUDA</w:t>
      </w:r>
      <w:r w:rsidR="00F47A5B">
        <w:t xml:space="preserve"> system</w:t>
      </w:r>
      <w:r w:rsidR="009C1DE7">
        <w:t>s</w:t>
      </w:r>
      <w:r w:rsidR="00F47A5B">
        <w:t>, which are on-track for completion by Q3 of 2023. Staff of the ICT Department and Data Analytics Project Team are being trained to independently manage th</w:t>
      </w:r>
      <w:r w:rsidR="00323FF3">
        <w:t>e system</w:t>
      </w:r>
      <w:r>
        <w:t>s</w:t>
      </w:r>
      <w:r w:rsidR="00323FF3">
        <w:t xml:space="preserve">, ensuring the NRA has the in-house capacity to </w:t>
      </w:r>
      <w:r>
        <w:t>maintain and further develop these systems in years to come</w:t>
      </w:r>
      <w:r w:rsidR="00F47A5B">
        <w:t xml:space="preserve">. </w:t>
      </w:r>
    </w:p>
    <w:p w14:paraId="43D3E10D" w14:textId="77777777" w:rsidR="00F47A5B" w:rsidRDefault="00F47A5B" w:rsidP="00F47A5B"/>
    <w:p w14:paraId="326D8AE9" w14:textId="2A3AB69E" w:rsidR="00F47A5B" w:rsidRPr="00F47A5B" w:rsidRDefault="00F47A5B" w:rsidP="00F47A5B">
      <w:pPr>
        <w:rPr>
          <w:b/>
          <w:bCs/>
        </w:rPr>
      </w:pPr>
      <w:r w:rsidRPr="00F47A5B">
        <w:rPr>
          <w:b/>
          <w:bCs/>
        </w:rPr>
        <w:t>Taxpayer Services:</w:t>
      </w:r>
    </w:p>
    <w:p w14:paraId="2F76E8A8" w14:textId="252C500C" w:rsidR="00F47A5B" w:rsidRDefault="00F47A5B" w:rsidP="00F47A5B">
      <w:r>
        <w:t xml:space="preserve">The Authority prioritized taxpayer services and focused on delivering an exceptional experience. Efforts to enhance customer service include the </w:t>
      </w:r>
      <w:r w:rsidR="009C1DE7">
        <w:t>expansion</w:t>
      </w:r>
      <w:r>
        <w:t xml:space="preserve"> of </w:t>
      </w:r>
      <w:r w:rsidR="009C1DE7">
        <w:t>the</w:t>
      </w:r>
      <w:r>
        <w:t xml:space="preserve"> call centre and additional taxpayer education programmes and services. The Authority has also continued the expansion </w:t>
      </w:r>
      <w:r w:rsidR="006F7319">
        <w:t>of recent</w:t>
      </w:r>
      <w:r>
        <w:t xml:space="preserve"> </w:t>
      </w:r>
      <w:r w:rsidR="006F7319">
        <w:t>initiatives such</w:t>
      </w:r>
      <w:r>
        <w:t xml:space="preserve"> as the Integrated Tax Administration System (ITAS), Electronic Single Window (ESW), and Customs Electronic Single Window (CESW). Furthermore, the NRA automated the payment of non-tax revenue </w:t>
      </w:r>
      <w:r w:rsidR="006F7319">
        <w:t>to</w:t>
      </w:r>
      <w:r>
        <w:t xml:space="preserve"> revenue-generating Ministries, Departments and Agencies (MDAs) through the creation </w:t>
      </w:r>
      <w:r w:rsidR="006F7319">
        <w:t xml:space="preserve">and </w:t>
      </w:r>
      <w:r w:rsidR="00825E34">
        <w:t xml:space="preserve">launch </w:t>
      </w:r>
      <w:r>
        <w:t xml:space="preserve">of </w:t>
      </w:r>
      <w:r w:rsidR="00825E34">
        <w:t>the</w:t>
      </w:r>
      <w:r>
        <w:t xml:space="preserve"> Mobile Payment App.</w:t>
      </w:r>
      <w:r w:rsidR="005771C8">
        <w:t xml:space="preserve"> </w:t>
      </w:r>
    </w:p>
    <w:p w14:paraId="42D70F10" w14:textId="77777777" w:rsidR="00F47A5B" w:rsidRDefault="00F47A5B" w:rsidP="00F47A5B"/>
    <w:p w14:paraId="4F69B1E7" w14:textId="0D8DB60D" w:rsidR="00F47A5B" w:rsidRPr="00F47A5B" w:rsidRDefault="00F47A5B" w:rsidP="00F47A5B">
      <w:pPr>
        <w:rPr>
          <w:b/>
          <w:bCs/>
        </w:rPr>
      </w:pPr>
      <w:r w:rsidRPr="00F47A5B">
        <w:rPr>
          <w:b/>
          <w:bCs/>
        </w:rPr>
        <w:t>Collaboration and Partnerships:</w:t>
      </w:r>
    </w:p>
    <w:p w14:paraId="24DAC3A3" w14:textId="6D8BFD20" w:rsidR="00F47A5B" w:rsidRDefault="00F47A5B" w:rsidP="00F47A5B">
      <w:r>
        <w:t xml:space="preserve">The </w:t>
      </w:r>
      <w:r w:rsidR="00825E34">
        <w:t xml:space="preserve">National </w:t>
      </w:r>
      <w:r>
        <w:t>Revenue Authority fostered collaboration with domestic and international stakeholders to strengthen tax administration and combat tax evasion. Partnerships with other government agencies, industry associations, and international tax authorities including HM Revenue and Customs (UK) and the Swedish Tax Agency facilitated knowledge sharing, capacity building, and the exchange of best practices, contributing to the overall effectiveness of revenue collection efforts.</w:t>
      </w:r>
    </w:p>
    <w:p w14:paraId="697A0ED5" w14:textId="77777777" w:rsidR="00F47A5B" w:rsidRDefault="00F47A5B" w:rsidP="00F47A5B"/>
    <w:p w14:paraId="6440A902" w14:textId="418BDF01" w:rsidR="00F47A5B" w:rsidRPr="00323FF3" w:rsidRDefault="00F47A5B" w:rsidP="00F47A5B">
      <w:pPr>
        <w:rPr>
          <w:b/>
          <w:bCs/>
        </w:rPr>
      </w:pPr>
      <w:r w:rsidRPr="00F47A5B">
        <w:rPr>
          <w:b/>
          <w:bCs/>
        </w:rPr>
        <w:t>Challenges:</w:t>
      </w:r>
    </w:p>
    <w:p w14:paraId="1FA09CE1" w14:textId="22E9B1BF" w:rsidR="00F47A5B" w:rsidRDefault="00F47A5B" w:rsidP="00F47A5B">
      <w:r>
        <w:t xml:space="preserve">The </w:t>
      </w:r>
      <w:r w:rsidR="009C1DE7">
        <w:t>heightened inflation and the effects</w:t>
      </w:r>
      <w:r>
        <w:t xml:space="preserve"> </w:t>
      </w:r>
      <w:r w:rsidR="00323FF3">
        <w:t xml:space="preserve">War in Ukraine, </w:t>
      </w:r>
      <w:r>
        <w:t>which started in early 2022</w:t>
      </w:r>
      <w:r w:rsidR="009C1DE7">
        <w:t>,</w:t>
      </w:r>
      <w:r>
        <w:t xml:space="preserve"> created challenging economic conditions that affected the tax base, and thereby restrained the capacity of NRA to increase revenue collection. </w:t>
      </w:r>
      <w:r w:rsidR="00323FF3">
        <w:t>T</w:t>
      </w:r>
      <w:r>
        <w:t>he prevalence of tax exemptions in both domestic taxes and import duties</w:t>
      </w:r>
      <w:r w:rsidR="00323FF3">
        <w:t xml:space="preserve"> has </w:t>
      </w:r>
      <w:r w:rsidR="009C1DE7">
        <w:t>further</w:t>
      </w:r>
      <w:r w:rsidR="00323FF3">
        <w:t xml:space="preserve"> restrained the ability of the NRA to collect revenue</w:t>
      </w:r>
      <w:r>
        <w:t xml:space="preserve">. </w:t>
      </w:r>
      <w:r w:rsidR="00323FF3">
        <w:t>Resistance from taxpayers to certain new reforms has also been a challenge –</w:t>
      </w:r>
      <w:r>
        <w:t xml:space="preserve"> especially </w:t>
      </w:r>
      <w:r w:rsidR="00323FF3">
        <w:t xml:space="preserve">for </w:t>
      </w:r>
      <w:r>
        <w:t>the ECR</w:t>
      </w:r>
      <w:r w:rsidR="00323FF3">
        <w:t xml:space="preserve"> programme</w:t>
      </w:r>
      <w:r>
        <w:t xml:space="preserve">. Furthermore, new policies </w:t>
      </w:r>
      <w:r w:rsidR="00323FF3">
        <w:t xml:space="preserve">that </w:t>
      </w:r>
      <w:r>
        <w:t xml:space="preserve">affect the tax base, such as the suspension of timber exports </w:t>
      </w:r>
      <w:r w:rsidR="00323FF3">
        <w:t xml:space="preserve">resulted in declining revenue from </w:t>
      </w:r>
      <w:r>
        <w:t xml:space="preserve">timber, and policy measures that were either delayed or not fully implemented </w:t>
      </w:r>
      <w:proofErr w:type="gramStart"/>
      <w:r>
        <w:t>in the course of</w:t>
      </w:r>
      <w:proofErr w:type="gramEnd"/>
      <w:r>
        <w:t xml:space="preserve"> the year </w:t>
      </w:r>
      <w:r w:rsidR="00825E34">
        <w:t>have lowered the total amount of revenue collected</w:t>
      </w:r>
      <w:r>
        <w:t xml:space="preserve">. </w:t>
      </w:r>
    </w:p>
    <w:p w14:paraId="2D1733C3" w14:textId="77777777" w:rsidR="00F47A5B" w:rsidRDefault="00F47A5B" w:rsidP="00F47A5B"/>
    <w:p w14:paraId="119E3CB1" w14:textId="77777777" w:rsidR="00DF0A66" w:rsidRDefault="00DF0A66" w:rsidP="00F47A5B"/>
    <w:p w14:paraId="372FCC0B" w14:textId="77777777" w:rsidR="00DF0A66" w:rsidRDefault="00DF0A66" w:rsidP="00F47A5B"/>
    <w:p w14:paraId="66014E59" w14:textId="77777777" w:rsidR="00DF0A66" w:rsidRDefault="00DF0A66" w:rsidP="00F47A5B"/>
    <w:p w14:paraId="6E2998C7" w14:textId="5B278D83" w:rsidR="00F47A5B" w:rsidRPr="00F47A5B" w:rsidRDefault="00F47A5B" w:rsidP="00F47A5B">
      <w:pPr>
        <w:rPr>
          <w:b/>
          <w:bCs/>
        </w:rPr>
      </w:pPr>
      <w:r w:rsidRPr="00F47A5B">
        <w:rPr>
          <w:b/>
          <w:bCs/>
        </w:rPr>
        <w:t>Outlook:</w:t>
      </w:r>
    </w:p>
    <w:p w14:paraId="4CD6FB6F" w14:textId="50011E36" w:rsidR="00F47A5B" w:rsidRDefault="00F47A5B" w:rsidP="00F47A5B">
      <w:r>
        <w:t xml:space="preserve">Looking ahead, the </w:t>
      </w:r>
      <w:r w:rsidR="009C1DE7">
        <w:t xml:space="preserve">National </w:t>
      </w:r>
      <w:r>
        <w:t>Revenue Authority aims to further strengthen revenue generation and tax administration. Key focus areas include continued investment in digital infrastructure, leveraging data analytics for improved compliance, expanding taxpayer education initiatives, and exploring opportunities for international cooperation. These strategic initiatives will support sustainable revenue growth, foster economic development, and ensure a fair and efficient tax system.</w:t>
      </w:r>
    </w:p>
    <w:p w14:paraId="6E78B5CD" w14:textId="77777777" w:rsidR="00F47A5B" w:rsidRDefault="00F47A5B" w:rsidP="00F47A5B"/>
    <w:p w14:paraId="6A0A5F9A" w14:textId="66F4E5DE" w:rsidR="00F47A5B" w:rsidRDefault="00F47A5B" w:rsidP="00F47A5B">
      <w:r>
        <w:t xml:space="preserve">In the medium term, the NRA will implement </w:t>
      </w:r>
      <w:r w:rsidR="005771C8">
        <w:t>an</w:t>
      </w:r>
      <w:r>
        <w:t xml:space="preserve"> ambitious 5-year Medium Term Revenue Strategy (MTRS) that will bring in estimated additional revenues of 6% of GDP on to 2027. NRA will continue to invest in digital services, including the expansion of</w:t>
      </w:r>
      <w:r w:rsidR="00777932">
        <w:t xml:space="preserve"> the</w:t>
      </w:r>
      <w:r>
        <w:t xml:space="preserve"> Mobile Payment App </w:t>
      </w:r>
      <w:r w:rsidR="00323FF3">
        <w:t>to SMEs</w:t>
      </w:r>
      <w:r>
        <w:t>. Further, the Authority will develop and operationalize an e-portal platform as a centralised online source for communicating with taxpayers</w:t>
      </w:r>
      <w:r w:rsidR="00825E34">
        <w:t xml:space="preserve">. NRA will </w:t>
      </w:r>
      <w:r w:rsidR="00777932">
        <w:t>additionally</w:t>
      </w:r>
      <w:r w:rsidR="00825E34">
        <w:t xml:space="preserve"> establish regional taxpayer service centres to help complete the registration of new taxpayers into the ITAS and serve as centres for taxpayer services, including filing of tax returns, handling complaints, tax education and other taxpayer services. </w:t>
      </w:r>
      <w:r>
        <w:t xml:space="preserve">NRA </w:t>
      </w:r>
      <w:r w:rsidR="00825E34">
        <w:t>is also in the process of completing</w:t>
      </w:r>
      <w:r>
        <w:t xml:space="preserve"> initiatives to reduce tax evasion, including the rollout of excise stamps and fuel marking scheme to control technical and physical smuggling. </w:t>
      </w:r>
    </w:p>
    <w:p w14:paraId="62114E10" w14:textId="77777777" w:rsidR="00F47A5B" w:rsidRDefault="00F47A5B" w:rsidP="00F47A5B"/>
    <w:p w14:paraId="185A18EF" w14:textId="5B4AD51F" w:rsidR="00F47A5B" w:rsidRPr="00F47A5B" w:rsidRDefault="00F47A5B" w:rsidP="00F47A5B">
      <w:pPr>
        <w:rPr>
          <w:b/>
          <w:bCs/>
        </w:rPr>
      </w:pPr>
      <w:r>
        <w:rPr>
          <w:b/>
          <w:bCs/>
        </w:rPr>
        <w:t>Conclusion:</w:t>
      </w:r>
    </w:p>
    <w:p w14:paraId="2106808E" w14:textId="5F9E6401" w:rsidR="00271E4D" w:rsidRDefault="00F47A5B" w:rsidP="00F47A5B">
      <w:r>
        <w:t>By embracing digital transformation, fostering compliance, and building strategic partnerships, the</w:t>
      </w:r>
      <w:r w:rsidR="00777932">
        <w:t xml:space="preserve"> National</w:t>
      </w:r>
      <w:r>
        <w:t xml:space="preserve"> Revenue Authority remains committed to its mission of facilitating economic growth, ensuring fairness in taxation, and providing excellent taxpayer services</w:t>
      </w:r>
      <w:r w:rsidR="00323FF3">
        <w:t>.</w:t>
      </w:r>
    </w:p>
    <w:p w14:paraId="63255918" w14:textId="77777777" w:rsidR="00770430" w:rsidRDefault="00770430" w:rsidP="00923467"/>
    <w:p w14:paraId="36A1A17F" w14:textId="77777777" w:rsidR="00770430" w:rsidRDefault="00770430" w:rsidP="00923467"/>
    <w:p w14:paraId="5EE5D4A3" w14:textId="77777777" w:rsidR="00770430" w:rsidRDefault="00770430" w:rsidP="00923467"/>
    <w:p w14:paraId="5864ACAE" w14:textId="77777777" w:rsidR="00770430" w:rsidRPr="00923467" w:rsidRDefault="00770430" w:rsidP="00923467"/>
    <w:p w14:paraId="2DE7DA4E" w14:textId="77777777" w:rsidR="00F47A5B" w:rsidRDefault="00F47A5B">
      <w:pPr>
        <w:spacing w:after="160" w:line="259" w:lineRule="auto"/>
        <w:jc w:val="left"/>
        <w:rPr>
          <w:b/>
          <w:bCs/>
          <w:sz w:val="36"/>
          <w:szCs w:val="36"/>
        </w:rPr>
      </w:pPr>
      <w:r>
        <w:br w:type="page"/>
      </w:r>
    </w:p>
    <w:p w14:paraId="4B2B3F0A" w14:textId="4CECA7A2" w:rsidR="00834590" w:rsidRPr="00A819C4" w:rsidRDefault="0059271D" w:rsidP="00FF1853">
      <w:pPr>
        <w:pStyle w:val="Heading1"/>
      </w:pPr>
      <w:bookmarkStart w:id="2" w:name="_Toc137831056"/>
      <w:r w:rsidRPr="00A819C4">
        <w:t>CHAPTER ONE: INTRODUCTION</w:t>
      </w:r>
      <w:bookmarkEnd w:id="2"/>
    </w:p>
    <w:p w14:paraId="070EF4D9" w14:textId="26AFC424" w:rsidR="00AD4555" w:rsidRDefault="00AF2F5E" w:rsidP="00923467">
      <w:r w:rsidRPr="00923467">
        <w:t xml:space="preserve">The National Revenue Authority (NRA) was established in </w:t>
      </w:r>
      <w:r w:rsidR="00363EDF" w:rsidRPr="00923467">
        <w:t xml:space="preserve">2002 </w:t>
      </w:r>
      <w:r w:rsidRPr="00923467">
        <w:t>under the National Revenue Act (amended in 2022)</w:t>
      </w:r>
      <w:r w:rsidR="00DC2108" w:rsidRPr="00923467">
        <w:t xml:space="preserve"> as part of the Government’s reforms to enhanc</w:t>
      </w:r>
      <w:r w:rsidR="00CD533C" w:rsidRPr="00923467">
        <w:t>e</w:t>
      </w:r>
      <w:r w:rsidR="00DC2108" w:rsidRPr="00923467">
        <w:t xml:space="preserve"> revenue </w:t>
      </w:r>
      <w:r w:rsidR="00CD6209" w:rsidRPr="00923467">
        <w:t xml:space="preserve">administration and </w:t>
      </w:r>
      <w:r w:rsidR="00DC2108" w:rsidRPr="00923467">
        <w:t xml:space="preserve">collection. </w:t>
      </w:r>
      <w:r w:rsidRPr="00923467">
        <w:t xml:space="preserve">Pursuant to the NRA Act of 2002, the Authority is charged with the responsibility of assessing and collecting tax and non-tax revenues as specified by law on behalf of the Government </w:t>
      </w:r>
      <w:r w:rsidR="00C62FAE" w:rsidRPr="00923467">
        <w:t xml:space="preserve">of Sierra Leone </w:t>
      </w:r>
      <w:r w:rsidRPr="00923467">
        <w:t>and to administer and enforce the revenue laws</w:t>
      </w:r>
      <w:r w:rsidR="00C62FAE" w:rsidRPr="00923467">
        <w:t xml:space="preserve">. </w:t>
      </w:r>
      <w:r w:rsidR="00AD4555" w:rsidRPr="00923467">
        <w:t xml:space="preserve">Specifically, the NRA has the following core mandates:  </w:t>
      </w:r>
    </w:p>
    <w:p w14:paraId="6F5B49F6" w14:textId="77777777" w:rsidR="00923467" w:rsidRPr="00923467" w:rsidRDefault="00923467" w:rsidP="00923467"/>
    <w:p w14:paraId="63D3D497" w14:textId="67F73E48" w:rsidR="00AD4555" w:rsidRPr="00923467" w:rsidRDefault="00AD4555" w:rsidP="00923467">
      <w:pPr>
        <w:pStyle w:val="ListParagraph"/>
        <w:numPr>
          <w:ilvl w:val="0"/>
          <w:numId w:val="2"/>
        </w:numPr>
      </w:pPr>
      <w:r w:rsidRPr="00923467">
        <w:t xml:space="preserve">To assess and collect revenues on behalf of </w:t>
      </w:r>
      <w:r w:rsidR="00A65C88" w:rsidRPr="00923467">
        <w:t>Government.</w:t>
      </w:r>
    </w:p>
    <w:p w14:paraId="508F81B1" w14:textId="46D5DC8A" w:rsidR="00AD4555" w:rsidRPr="00923467" w:rsidRDefault="00AD4555" w:rsidP="00923467">
      <w:pPr>
        <w:pStyle w:val="ListParagraph"/>
        <w:numPr>
          <w:ilvl w:val="0"/>
          <w:numId w:val="2"/>
        </w:numPr>
      </w:pPr>
      <w:r w:rsidRPr="00923467">
        <w:t>To improve compliance (filing of returns and making payment on time)</w:t>
      </w:r>
      <w:r w:rsidR="00295A2B" w:rsidRPr="00923467">
        <w:t>; and</w:t>
      </w:r>
    </w:p>
    <w:p w14:paraId="6F440943" w14:textId="6D2E633A" w:rsidR="00AD4555" w:rsidRDefault="00AD4555" w:rsidP="00923467">
      <w:pPr>
        <w:pStyle w:val="ListParagraph"/>
        <w:numPr>
          <w:ilvl w:val="0"/>
          <w:numId w:val="2"/>
        </w:numPr>
      </w:pPr>
      <w:r w:rsidRPr="00923467">
        <w:t>To improve trade facilitation and border security</w:t>
      </w:r>
      <w:r w:rsidR="00295A2B" w:rsidRPr="00923467">
        <w:t xml:space="preserve">. </w:t>
      </w:r>
    </w:p>
    <w:p w14:paraId="08F51D21" w14:textId="77777777" w:rsidR="00923467" w:rsidRPr="00923467" w:rsidRDefault="00923467" w:rsidP="00923467"/>
    <w:p w14:paraId="650792DC" w14:textId="77777777" w:rsidR="00825E34" w:rsidRDefault="003765A6" w:rsidP="00923467">
      <w:r w:rsidRPr="00923467">
        <w:t xml:space="preserve">With support from Government and development partners, the NRA has implemented several reform measures geared towards meeting its mandate, </w:t>
      </w:r>
      <w:r w:rsidR="00CF35AA" w:rsidRPr="00923467">
        <w:t>mission,</w:t>
      </w:r>
      <w:r w:rsidRPr="00923467">
        <w:t xml:space="preserve"> and vision. </w:t>
      </w:r>
      <w:r w:rsidR="009140F6" w:rsidRPr="00923467">
        <w:t xml:space="preserve">In the year under review, the Authority </w:t>
      </w:r>
      <w:r w:rsidR="001D2FFF" w:rsidRPr="00923467">
        <w:t>continue</w:t>
      </w:r>
      <w:r w:rsidR="0059553F" w:rsidRPr="00923467">
        <w:t>d</w:t>
      </w:r>
      <w:r w:rsidR="001D2FFF" w:rsidRPr="00923467">
        <w:t xml:space="preserve"> the expansion and enforcement of recently implemented reforms </w:t>
      </w:r>
      <w:r w:rsidR="008C1207" w:rsidRPr="00923467">
        <w:t>such as</w:t>
      </w:r>
      <w:r w:rsidR="001D2FFF" w:rsidRPr="00923467">
        <w:t xml:space="preserve"> the Integrated Tax Administration System</w:t>
      </w:r>
      <w:r w:rsidR="008C1207" w:rsidRPr="00923467">
        <w:t xml:space="preserve"> (ITAS)</w:t>
      </w:r>
      <w:r w:rsidR="001D2FFF" w:rsidRPr="00923467">
        <w:t>, Electronic Single Window</w:t>
      </w:r>
      <w:r w:rsidR="008C1207" w:rsidRPr="00923467">
        <w:t xml:space="preserve"> (ESW)</w:t>
      </w:r>
      <w:r w:rsidR="001D2FFF" w:rsidRPr="00923467">
        <w:t>, and Customs Electronic Single Window</w:t>
      </w:r>
      <w:r w:rsidR="008C1207" w:rsidRPr="00923467">
        <w:t xml:space="preserve"> (CESW)</w:t>
      </w:r>
      <w:r w:rsidR="001D2FFF" w:rsidRPr="00923467">
        <w:t xml:space="preserve">. </w:t>
      </w:r>
      <w:r w:rsidR="008C1207" w:rsidRPr="00923467">
        <w:t>Furthermore, the NRA automated the payment of non-tax revenue (NTR) collections at revenue</w:t>
      </w:r>
      <w:r w:rsidR="00D96F18" w:rsidRPr="00923467">
        <w:t>-</w:t>
      </w:r>
      <w:r w:rsidR="0034546E" w:rsidRPr="00923467">
        <w:t>generat</w:t>
      </w:r>
      <w:r w:rsidR="008C1207" w:rsidRPr="00923467">
        <w:t xml:space="preserve">ing Ministries, Departments and Agencies (MDAs) through the creation and use of a </w:t>
      </w:r>
      <w:r w:rsidR="003A473C" w:rsidRPr="00923467">
        <w:t>M</w:t>
      </w:r>
      <w:r w:rsidR="008C1207" w:rsidRPr="00923467">
        <w:t xml:space="preserve">obile </w:t>
      </w:r>
      <w:r w:rsidR="003A473C" w:rsidRPr="00923467">
        <w:t>P</w:t>
      </w:r>
      <w:r w:rsidR="008C1207" w:rsidRPr="00923467">
        <w:t xml:space="preserve">ayment </w:t>
      </w:r>
      <w:r w:rsidR="003A473C" w:rsidRPr="00923467">
        <w:t>A</w:t>
      </w:r>
      <w:r w:rsidR="008C1207" w:rsidRPr="00923467">
        <w:t xml:space="preserve">pp. </w:t>
      </w:r>
    </w:p>
    <w:p w14:paraId="20906E01" w14:textId="77777777" w:rsidR="00825E34" w:rsidRDefault="00825E34" w:rsidP="00923467"/>
    <w:p w14:paraId="6266A50C" w14:textId="5FD8E052" w:rsidR="00AD4555" w:rsidRPr="00923467" w:rsidRDefault="00355E40" w:rsidP="00923467">
      <w:r w:rsidRPr="00923467">
        <w:t xml:space="preserve">This report provides </w:t>
      </w:r>
      <w:r w:rsidR="00B0235E" w:rsidRPr="00923467">
        <w:t>an</w:t>
      </w:r>
      <w:r w:rsidRPr="00923467">
        <w:t xml:space="preserve"> update on the Authority’s performance for the fiscal year 2022 as required by the NRA Act of 2002. </w:t>
      </w:r>
      <w:r w:rsidR="001F69AC" w:rsidRPr="00923467">
        <w:t xml:space="preserve">The </w:t>
      </w:r>
      <w:r w:rsidR="001F69AC" w:rsidRPr="00FF1853">
        <w:t xml:space="preserve">report is organised into five </w:t>
      </w:r>
      <w:r w:rsidR="00E76327" w:rsidRPr="00FF1853">
        <w:t>chapters</w:t>
      </w:r>
      <w:r w:rsidR="00D07C0B" w:rsidRPr="00FF1853">
        <w:t xml:space="preserve"> as follows:</w:t>
      </w:r>
      <w:r w:rsidR="001F69AC" w:rsidRPr="00FF1853">
        <w:t xml:space="preserve"> </w:t>
      </w:r>
      <w:r w:rsidR="00E76327" w:rsidRPr="00FF1853">
        <w:t>Chapter</w:t>
      </w:r>
      <w:r w:rsidR="001F69AC" w:rsidRPr="00FF1853">
        <w:t xml:space="preserve"> 1 provides information on the background of the Authority which includes the corporate statement, strategic </w:t>
      </w:r>
      <w:r w:rsidR="00D079C5" w:rsidRPr="00FF1853">
        <w:t>planning,</w:t>
      </w:r>
      <w:r w:rsidR="001F69AC" w:rsidRPr="00FF1853">
        <w:t xml:space="preserve"> and governance structure. </w:t>
      </w:r>
      <w:r w:rsidR="00E76327" w:rsidRPr="00FF1853">
        <w:t>Chapter</w:t>
      </w:r>
      <w:r w:rsidR="001F69AC" w:rsidRPr="00FF1853">
        <w:t xml:space="preserve"> 2 </w:t>
      </w:r>
      <w:r w:rsidR="00375CBB" w:rsidRPr="00FF1853">
        <w:t xml:space="preserve">and 3 </w:t>
      </w:r>
      <w:r w:rsidR="001F69AC" w:rsidRPr="00FF1853">
        <w:t>provides analysis on revenue</w:t>
      </w:r>
      <w:r w:rsidR="00375CBB" w:rsidRPr="00FF1853">
        <w:t xml:space="preserve"> and non-revenue performance</w:t>
      </w:r>
      <w:r w:rsidR="001F69AC" w:rsidRPr="00FF1853">
        <w:t xml:space="preserve"> </w:t>
      </w:r>
      <w:r w:rsidR="00375CBB" w:rsidRPr="00FF1853">
        <w:t xml:space="preserve">respectively. Other relevant statistics are analysed in </w:t>
      </w:r>
      <w:r w:rsidR="00E76327" w:rsidRPr="00FF1853">
        <w:t>Chapter</w:t>
      </w:r>
      <w:r w:rsidR="00375CBB" w:rsidRPr="00FF1853">
        <w:t xml:space="preserve"> 4</w:t>
      </w:r>
      <w:r w:rsidR="008B0518" w:rsidRPr="00FF1853">
        <w:t xml:space="preserve">, while </w:t>
      </w:r>
      <w:r w:rsidR="00E76327" w:rsidRPr="00FF1853">
        <w:t>Chapter</w:t>
      </w:r>
      <w:r w:rsidR="008B0518" w:rsidRPr="00FF1853">
        <w:t xml:space="preserve"> </w:t>
      </w:r>
      <w:r w:rsidR="00375CBB" w:rsidRPr="00FF1853">
        <w:t>5</w:t>
      </w:r>
      <w:r w:rsidR="001F69AC" w:rsidRPr="00FF1853">
        <w:t xml:space="preserve"> outline</w:t>
      </w:r>
      <w:r w:rsidR="008B0518" w:rsidRPr="00FF1853">
        <w:t>s</w:t>
      </w:r>
      <w:r w:rsidR="001F69AC" w:rsidRPr="00FF1853">
        <w:t xml:space="preserve"> the </w:t>
      </w:r>
      <w:r w:rsidR="008B0518" w:rsidRPr="00FF1853">
        <w:t>next steps and prospects for meeting 2023 revenue targets.</w:t>
      </w:r>
      <w:r w:rsidR="008B0518" w:rsidRPr="00923467">
        <w:t xml:space="preserve"> </w:t>
      </w:r>
    </w:p>
    <w:p w14:paraId="161660BF" w14:textId="77777777" w:rsidR="00D07C0B" w:rsidRDefault="00D07C0B" w:rsidP="00923467"/>
    <w:p w14:paraId="6CA3484E" w14:textId="77777777" w:rsidR="00FF1853" w:rsidRPr="00923467" w:rsidRDefault="00FF1853" w:rsidP="00923467"/>
    <w:p w14:paraId="4052BB05" w14:textId="7624CAB1" w:rsidR="00462FE6" w:rsidRPr="00923467" w:rsidRDefault="004B0D8F" w:rsidP="00923467">
      <w:pPr>
        <w:pStyle w:val="Heading2"/>
      </w:pPr>
      <w:bookmarkStart w:id="3" w:name="_Toc137831057"/>
      <w:r w:rsidRPr="00923467">
        <w:t>CORPORATE STATEMENT</w:t>
      </w:r>
      <w:bookmarkEnd w:id="3"/>
    </w:p>
    <w:p w14:paraId="58E3A580" w14:textId="0BD62C16" w:rsidR="00FF1853" w:rsidRPr="00C51357" w:rsidRDefault="00FF1853" w:rsidP="00FF1853">
      <w:r w:rsidRPr="00C51357">
        <w:t xml:space="preserve">The corporate statement includes the mandate, the vision, mission, and core values of the NRA. </w:t>
      </w:r>
      <w:r>
        <w:t>Whil</w:t>
      </w:r>
      <w:r w:rsidRPr="00C51357">
        <w:t>e</w:t>
      </w:r>
      <w:r>
        <w:t xml:space="preserve"> the</w:t>
      </w:r>
      <w:r w:rsidRPr="00C51357">
        <w:t xml:space="preserve"> mandate has not changed since NRA was formed in 2002, the vision, mission and core values </w:t>
      </w:r>
      <w:r>
        <w:t>are</w:t>
      </w:r>
      <w:r w:rsidRPr="00C51357">
        <w:t xml:space="preserve"> </w:t>
      </w:r>
      <w:r>
        <w:t>updated</w:t>
      </w:r>
      <w:r w:rsidRPr="00C51357">
        <w:t xml:space="preserve"> each time a new strategic plan is developed to reflect the prevailing environment</w:t>
      </w:r>
      <w:r>
        <w:t xml:space="preserve"> in which the NRA operates</w:t>
      </w:r>
      <w:r w:rsidRPr="00C51357">
        <w:t>.</w:t>
      </w:r>
    </w:p>
    <w:p w14:paraId="3051167D" w14:textId="77777777" w:rsidR="00FF1853" w:rsidRPr="00C51357" w:rsidRDefault="00FF1853" w:rsidP="00FF1853"/>
    <w:p w14:paraId="1444803B" w14:textId="0E29688D" w:rsidR="00FF1853" w:rsidRDefault="00FF1853" w:rsidP="00FF1853">
      <w:pPr>
        <w:keepNext/>
        <w:jc w:val="center"/>
      </w:pPr>
    </w:p>
    <w:p w14:paraId="056A1A25" w14:textId="3D662C53" w:rsidR="00FF1853" w:rsidRDefault="00FF1853" w:rsidP="00FF1853">
      <w:pPr>
        <w:pStyle w:val="Caption"/>
        <w:jc w:val="center"/>
        <w:rPr>
          <w:b/>
          <w:bCs/>
        </w:rPr>
      </w:pPr>
      <w:bookmarkStart w:id="4" w:name="_Toc137831164"/>
      <w:r>
        <w:t xml:space="preserve">Figure </w:t>
      </w:r>
      <w:r>
        <w:fldChar w:fldCharType="begin"/>
      </w:r>
      <w:r>
        <w:instrText xml:space="preserve"> SEQ Figure \* ARABIC </w:instrText>
      </w:r>
      <w:r>
        <w:fldChar w:fldCharType="separate"/>
      </w:r>
      <w:r w:rsidR="00E12E6B">
        <w:rPr>
          <w:noProof/>
        </w:rPr>
        <w:t>1</w:t>
      </w:r>
      <w:r>
        <w:fldChar w:fldCharType="end"/>
      </w:r>
      <w:r>
        <w:t>: Vision, Mission &amp; Mandate</w:t>
      </w:r>
      <w:bookmarkEnd w:id="4"/>
    </w:p>
    <w:p w14:paraId="2045E766" w14:textId="77777777" w:rsidR="00FF1853" w:rsidRDefault="00FF1853" w:rsidP="00FF1853">
      <w:pPr>
        <w:rPr>
          <w:b/>
          <w:bCs/>
        </w:rPr>
      </w:pPr>
    </w:p>
    <w:p w14:paraId="31D87DF9" w14:textId="5279A899" w:rsidR="00FF1853" w:rsidRPr="00C51357" w:rsidRDefault="00FF1853" w:rsidP="00FF1853">
      <w:pPr>
        <w:rPr>
          <w:b/>
          <w:bCs/>
        </w:rPr>
      </w:pPr>
      <w:r w:rsidRPr="00C51357">
        <w:rPr>
          <w:b/>
          <w:bCs/>
        </w:rPr>
        <w:t>Mandate</w:t>
      </w:r>
    </w:p>
    <w:p w14:paraId="2438F12D" w14:textId="22E17F19" w:rsidR="00FF1853" w:rsidRPr="00C51357" w:rsidRDefault="00FF1853" w:rsidP="00FF1853">
      <w:r>
        <w:t>As set out when it was founded, t</w:t>
      </w:r>
      <w:r w:rsidRPr="00C51357">
        <w:t>he NRA is charged with the responsibility of assessing and collecting domestic taxes, customs duties, and other revenues specified by law, and of administering and enforcing laws related to these revenues.</w:t>
      </w:r>
      <w:r>
        <w:t xml:space="preserve"> </w:t>
      </w:r>
    </w:p>
    <w:p w14:paraId="5A0AE220" w14:textId="77777777" w:rsidR="00FF1853" w:rsidRDefault="00FF1853" w:rsidP="00FF1853">
      <w:pPr>
        <w:rPr>
          <w:b/>
          <w:bCs/>
        </w:rPr>
      </w:pPr>
    </w:p>
    <w:p w14:paraId="37892244" w14:textId="4572A403" w:rsidR="00FF1853" w:rsidRPr="00C51357" w:rsidRDefault="00FF1853" w:rsidP="00FF1853">
      <w:pPr>
        <w:rPr>
          <w:b/>
          <w:bCs/>
        </w:rPr>
      </w:pPr>
      <w:r w:rsidRPr="000E2F4E">
        <w:rPr>
          <w:b/>
          <w:bCs/>
        </w:rPr>
        <w:t>Mission</w:t>
      </w:r>
    </w:p>
    <w:p w14:paraId="130D0DD4" w14:textId="4A074E41" w:rsidR="00FF1853" w:rsidRPr="00C51357" w:rsidRDefault="00FF1853" w:rsidP="00FF1853">
      <w:r>
        <w:t xml:space="preserve">Our mission is to ensure the </w:t>
      </w:r>
      <w:r w:rsidRPr="00C51357">
        <w:t>effective administration of the Revenue System and facilitation of trade to enhance Government fiscal space for national development.</w:t>
      </w:r>
    </w:p>
    <w:p w14:paraId="6C677BFD" w14:textId="77777777" w:rsidR="00FF1853" w:rsidRDefault="00FF1853" w:rsidP="00FF1853">
      <w:pPr>
        <w:rPr>
          <w:b/>
          <w:bCs/>
        </w:rPr>
      </w:pPr>
    </w:p>
    <w:p w14:paraId="76D83DA0" w14:textId="6E91DA10" w:rsidR="00FF1853" w:rsidRPr="00C51357" w:rsidRDefault="00FF1853" w:rsidP="00FF1853">
      <w:pPr>
        <w:rPr>
          <w:b/>
          <w:bCs/>
        </w:rPr>
      </w:pPr>
      <w:r w:rsidRPr="000E2F4E">
        <w:rPr>
          <w:b/>
          <w:bCs/>
        </w:rPr>
        <w:t>Vision</w:t>
      </w:r>
    </w:p>
    <w:p w14:paraId="60C12B7E" w14:textId="1B95A194" w:rsidR="00FF1853" w:rsidRDefault="00FF1853" w:rsidP="00FF1853">
      <w:r>
        <w:t>Our vision is to</w:t>
      </w:r>
      <w:r w:rsidRPr="00C51357">
        <w:t xml:space="preserve"> be an Institution of excellence, a national and regional reference in public and revenue administration.</w:t>
      </w:r>
    </w:p>
    <w:p w14:paraId="25A55674" w14:textId="77777777" w:rsidR="00FF1853" w:rsidRPr="00C51357" w:rsidRDefault="00FF1853" w:rsidP="00FF1853"/>
    <w:p w14:paraId="583563E8" w14:textId="77777777" w:rsidR="00FF1853" w:rsidRDefault="00FF1853" w:rsidP="00FF1853">
      <w:pPr>
        <w:rPr>
          <w:b/>
          <w:bCs/>
        </w:rPr>
      </w:pPr>
      <w:r w:rsidRPr="000E2F4E">
        <w:rPr>
          <w:b/>
          <w:bCs/>
        </w:rPr>
        <w:t>Core Values</w:t>
      </w:r>
    </w:p>
    <w:p w14:paraId="65186FD4" w14:textId="071E03E1" w:rsidR="00FF1853" w:rsidRPr="00FF1853" w:rsidRDefault="00FF1853" w:rsidP="00FF1853">
      <w:r>
        <w:t>Correspondingly, the NRA has a set of five core values which is reflected in how we operate. Those are:</w:t>
      </w:r>
    </w:p>
    <w:p w14:paraId="1346B258" w14:textId="7D1B37B6" w:rsidR="00FF1853" w:rsidRPr="00C51357" w:rsidRDefault="00FF1853" w:rsidP="00FF1853">
      <w:pPr>
        <w:pStyle w:val="ListParagraph"/>
        <w:numPr>
          <w:ilvl w:val="0"/>
          <w:numId w:val="34"/>
        </w:numPr>
        <w:spacing w:line="240" w:lineRule="auto"/>
      </w:pPr>
      <w:r w:rsidRPr="00C51357">
        <w:rPr>
          <w:b/>
          <w:bCs/>
          <w:i/>
          <w:iCs/>
        </w:rPr>
        <w:t xml:space="preserve">Integrity: </w:t>
      </w:r>
      <w:r w:rsidRPr="00C51357">
        <w:t>We are committed to the highest standards of trust and honesty</w:t>
      </w:r>
      <w:r w:rsidR="00004B58">
        <w:t>.</w:t>
      </w:r>
    </w:p>
    <w:p w14:paraId="1A34A580" w14:textId="25A319A3" w:rsidR="00FF1853" w:rsidRPr="00C51357" w:rsidRDefault="00FF1853" w:rsidP="00FF1853">
      <w:pPr>
        <w:pStyle w:val="ListParagraph"/>
        <w:numPr>
          <w:ilvl w:val="0"/>
          <w:numId w:val="34"/>
        </w:numPr>
        <w:spacing w:line="240" w:lineRule="auto"/>
        <w:rPr>
          <w:i/>
          <w:iCs/>
        </w:rPr>
      </w:pPr>
      <w:r w:rsidRPr="00C51357">
        <w:rPr>
          <w:b/>
          <w:bCs/>
          <w:i/>
          <w:iCs/>
        </w:rPr>
        <w:t xml:space="preserve">Transparency: </w:t>
      </w:r>
      <w:r w:rsidRPr="00C51357">
        <w:t>We will ensure full disclosure of information as required by law</w:t>
      </w:r>
      <w:r w:rsidR="00004B58">
        <w:t>.</w:t>
      </w:r>
    </w:p>
    <w:p w14:paraId="70BDD692" w14:textId="67904B3C" w:rsidR="00FF1853" w:rsidRPr="00C51357" w:rsidRDefault="00FF1853" w:rsidP="00FF1853">
      <w:pPr>
        <w:pStyle w:val="ListParagraph"/>
        <w:numPr>
          <w:ilvl w:val="0"/>
          <w:numId w:val="34"/>
        </w:numPr>
        <w:spacing w:line="240" w:lineRule="auto"/>
      </w:pPr>
      <w:r w:rsidRPr="00C51357">
        <w:rPr>
          <w:b/>
          <w:bCs/>
          <w:i/>
          <w:iCs/>
        </w:rPr>
        <w:t xml:space="preserve">Accountability: </w:t>
      </w:r>
      <w:r w:rsidRPr="00C51357">
        <w:t>We will ensure that appropriate mechanisms exist for staff to be held accountable for their decisions and actions</w:t>
      </w:r>
      <w:r w:rsidR="00004B58">
        <w:t>.</w:t>
      </w:r>
    </w:p>
    <w:p w14:paraId="3DDD8C49" w14:textId="6FB400D1" w:rsidR="00FF1853" w:rsidRPr="00C51357" w:rsidRDefault="00FF1853" w:rsidP="00FF1853">
      <w:pPr>
        <w:pStyle w:val="ListParagraph"/>
        <w:numPr>
          <w:ilvl w:val="0"/>
          <w:numId w:val="34"/>
        </w:numPr>
        <w:spacing w:line="240" w:lineRule="auto"/>
      </w:pPr>
      <w:r w:rsidRPr="00C51357">
        <w:rPr>
          <w:b/>
          <w:bCs/>
          <w:i/>
          <w:iCs/>
        </w:rPr>
        <w:t xml:space="preserve">Equity: </w:t>
      </w:r>
      <w:r w:rsidRPr="00C51357">
        <w:t>We value individual differences and treat customers with fairness</w:t>
      </w:r>
      <w:r w:rsidR="00004B58">
        <w:t>.</w:t>
      </w:r>
    </w:p>
    <w:p w14:paraId="172BE85E" w14:textId="1F1864A8" w:rsidR="001C2DBE" w:rsidRPr="00217EAA" w:rsidRDefault="00FF1853" w:rsidP="004248EC">
      <w:pPr>
        <w:pStyle w:val="ListParagraph"/>
        <w:numPr>
          <w:ilvl w:val="0"/>
          <w:numId w:val="34"/>
        </w:numPr>
        <w:spacing w:line="240" w:lineRule="auto"/>
        <w:rPr>
          <w:i/>
          <w:iCs/>
        </w:rPr>
      </w:pPr>
      <w:r w:rsidRPr="00C51357">
        <w:rPr>
          <w:b/>
          <w:bCs/>
          <w:i/>
          <w:iCs/>
        </w:rPr>
        <w:t xml:space="preserve">Service Excellence: </w:t>
      </w:r>
      <w:r w:rsidRPr="00C51357">
        <w:t>We will provide outstanding service to our customers</w:t>
      </w:r>
      <w:r w:rsidR="00004B58">
        <w:t>.</w:t>
      </w:r>
    </w:p>
    <w:p w14:paraId="383B4B2C" w14:textId="13700C70" w:rsidR="00FF1853" w:rsidRDefault="004248EC" w:rsidP="004248EC">
      <w:pPr>
        <w:jc w:val="center"/>
      </w:pPr>
      <w:r>
        <w:rPr>
          <w:noProof/>
        </w:rPr>
        <w:drawing>
          <wp:inline distT="0" distB="0" distL="0" distR="0" wp14:anchorId="4C99F29D" wp14:editId="38D04100">
            <wp:extent cx="4252912" cy="3326765"/>
            <wp:effectExtent l="0" t="0" r="0" b="6985"/>
            <wp:docPr id="2994223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22346" name="Picture 2994223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94352" cy="3359181"/>
                    </a:xfrm>
                    <a:prstGeom prst="rect">
                      <a:avLst/>
                    </a:prstGeom>
                  </pic:spPr>
                </pic:pic>
              </a:graphicData>
            </a:graphic>
          </wp:inline>
        </w:drawing>
      </w:r>
    </w:p>
    <w:p w14:paraId="06135B83" w14:textId="0F714613" w:rsidR="001C2DBE" w:rsidRDefault="00FF1853" w:rsidP="00FF1853">
      <w:pPr>
        <w:pStyle w:val="Caption"/>
        <w:jc w:val="center"/>
      </w:pPr>
      <w:bookmarkStart w:id="5" w:name="_Toc137831165"/>
      <w:r>
        <w:t xml:space="preserve">Figure </w:t>
      </w:r>
      <w:r>
        <w:fldChar w:fldCharType="begin"/>
      </w:r>
      <w:r>
        <w:instrText xml:space="preserve"> SEQ Figure \* ARABIC </w:instrText>
      </w:r>
      <w:r>
        <w:fldChar w:fldCharType="separate"/>
      </w:r>
      <w:r w:rsidR="00E12E6B">
        <w:rPr>
          <w:noProof/>
        </w:rPr>
        <w:t>2</w:t>
      </w:r>
      <w:r>
        <w:fldChar w:fldCharType="end"/>
      </w:r>
      <w:r>
        <w:t>: Core Values</w:t>
      </w:r>
      <w:bookmarkEnd w:id="5"/>
    </w:p>
    <w:p w14:paraId="36328455" w14:textId="77777777" w:rsidR="001C2DBE" w:rsidRDefault="001C2DBE" w:rsidP="00923467">
      <w:pPr>
        <w:pStyle w:val="Heading2"/>
      </w:pPr>
    </w:p>
    <w:p w14:paraId="6D2CC7E2" w14:textId="2FAA6006" w:rsidR="00C92D65" w:rsidRPr="00923467" w:rsidRDefault="00C92D65" w:rsidP="00923467">
      <w:pPr>
        <w:pStyle w:val="Heading2"/>
      </w:pPr>
      <w:bookmarkStart w:id="6" w:name="_Toc137831058"/>
      <w:r w:rsidRPr="00923467">
        <w:t xml:space="preserve">NRA STRATEGIC PLAN </w:t>
      </w:r>
      <w:r w:rsidR="00462FE6" w:rsidRPr="00923467">
        <w:t>(</w:t>
      </w:r>
      <w:r w:rsidRPr="00923467">
        <w:t>2018-2022</w:t>
      </w:r>
      <w:r w:rsidR="00462FE6" w:rsidRPr="00923467">
        <w:t>)</w:t>
      </w:r>
      <w:bookmarkEnd w:id="6"/>
    </w:p>
    <w:p w14:paraId="5875EBC1" w14:textId="0834AD47" w:rsidR="009A27B6" w:rsidRDefault="00C92D65" w:rsidP="00923467">
      <w:r w:rsidRPr="00923467">
        <w:t xml:space="preserve">The year under review marks the end of the implementation of the </w:t>
      </w:r>
      <w:r w:rsidR="005F235A" w:rsidRPr="00923467">
        <w:t>five-year</w:t>
      </w:r>
      <w:r w:rsidRPr="00923467">
        <w:t xml:space="preserve"> strategic plan of the National Revenue Authority. </w:t>
      </w:r>
      <w:r w:rsidR="005F235A" w:rsidRPr="00923467">
        <w:t xml:space="preserve">The 2018-2022 </w:t>
      </w:r>
      <w:r w:rsidR="00D96F18" w:rsidRPr="00923467">
        <w:t>S</w:t>
      </w:r>
      <w:r w:rsidR="005F235A" w:rsidRPr="00923467">
        <w:t xml:space="preserve">trategic </w:t>
      </w:r>
      <w:r w:rsidR="00D96F18" w:rsidRPr="00923467">
        <w:t>P</w:t>
      </w:r>
      <w:r w:rsidR="005F235A" w:rsidRPr="00923467">
        <w:t xml:space="preserve">lan </w:t>
      </w:r>
      <w:r w:rsidR="00FF2CE1" w:rsidRPr="00923467">
        <w:t xml:space="preserve">was </w:t>
      </w:r>
      <w:r w:rsidR="008B7470" w:rsidRPr="00923467">
        <w:t>aimed at enhancing domestic revenue collection through improved voluntary tax compliance, trade facilitation, and effective debt management. The Plan</w:t>
      </w:r>
      <w:r w:rsidRPr="00923467">
        <w:t xml:space="preserve"> focuse</w:t>
      </w:r>
      <w:r w:rsidR="000E371B" w:rsidRPr="00923467">
        <w:t>d</w:t>
      </w:r>
      <w:r w:rsidRPr="00923467">
        <w:t xml:space="preserve"> on the automation of business processes and procedures</w:t>
      </w:r>
      <w:r w:rsidR="008B7470" w:rsidRPr="00923467">
        <w:t>,</w:t>
      </w:r>
      <w:r w:rsidRPr="00923467">
        <w:t xml:space="preserve"> staff development</w:t>
      </w:r>
      <w:r w:rsidR="008B7470" w:rsidRPr="00923467">
        <w:t xml:space="preserve">, </w:t>
      </w:r>
      <w:r w:rsidRPr="00923467">
        <w:t xml:space="preserve">and improving service delivery. </w:t>
      </w:r>
    </w:p>
    <w:p w14:paraId="5720FDF4" w14:textId="77777777" w:rsidR="00923467" w:rsidRPr="00923467" w:rsidRDefault="00923467" w:rsidP="00923467"/>
    <w:p w14:paraId="6C381AD9" w14:textId="4F46331F" w:rsidR="00C92D65" w:rsidRPr="00923467" w:rsidRDefault="00C92D65" w:rsidP="00923467">
      <w:r w:rsidRPr="00923467">
        <w:t xml:space="preserve">To achieve the mission and vision of the Authority, the </w:t>
      </w:r>
      <w:r w:rsidR="00FF7742" w:rsidRPr="00923467">
        <w:t>five-year</w:t>
      </w:r>
      <w:r w:rsidRPr="00923467">
        <w:t xml:space="preserve"> Strategic Plan emphasize</w:t>
      </w:r>
      <w:r w:rsidR="00FF2CE1" w:rsidRPr="00923467">
        <w:t>d</w:t>
      </w:r>
      <w:r w:rsidRPr="00923467">
        <w:t xml:space="preserve"> </w:t>
      </w:r>
      <w:r w:rsidR="009A27B6" w:rsidRPr="00923467">
        <w:t xml:space="preserve">five goals: </w:t>
      </w:r>
    </w:p>
    <w:p w14:paraId="620057D2" w14:textId="0BB76215" w:rsidR="009A27B6" w:rsidRPr="00923467" w:rsidRDefault="009A27B6" w:rsidP="00923467">
      <w:pPr>
        <w:pStyle w:val="ListParagraph"/>
        <w:numPr>
          <w:ilvl w:val="0"/>
          <w:numId w:val="4"/>
        </w:numPr>
      </w:pPr>
      <w:r w:rsidRPr="00923467">
        <w:t xml:space="preserve">Effective and efficient revenue mobilization to support government fiscal </w:t>
      </w:r>
      <w:proofErr w:type="gramStart"/>
      <w:r w:rsidRPr="00923467">
        <w:t>space</w:t>
      </w:r>
      <w:bookmarkStart w:id="7" w:name="_Hlk131073533"/>
      <w:r w:rsidR="00DF4D59" w:rsidRPr="00923467">
        <w:t>;</w:t>
      </w:r>
      <w:bookmarkEnd w:id="7"/>
      <w:proofErr w:type="gramEnd"/>
      <w:r w:rsidRPr="00923467">
        <w:t xml:space="preserve"> </w:t>
      </w:r>
    </w:p>
    <w:p w14:paraId="4235F8AB" w14:textId="2308238B" w:rsidR="009A27B6" w:rsidRPr="00923467" w:rsidRDefault="009A27B6" w:rsidP="00923467">
      <w:pPr>
        <w:pStyle w:val="ListParagraph"/>
        <w:numPr>
          <w:ilvl w:val="0"/>
          <w:numId w:val="4"/>
        </w:numPr>
      </w:pPr>
      <w:r w:rsidRPr="00923467">
        <w:t xml:space="preserve">Develop human capital and institutional </w:t>
      </w:r>
      <w:proofErr w:type="gramStart"/>
      <w:r w:rsidRPr="00923467">
        <w:t>capacity</w:t>
      </w:r>
      <w:r w:rsidR="00DF4D59" w:rsidRPr="00923467">
        <w:t>;</w:t>
      </w:r>
      <w:proofErr w:type="gramEnd"/>
      <w:r w:rsidRPr="00923467">
        <w:t xml:space="preserve"> </w:t>
      </w:r>
    </w:p>
    <w:p w14:paraId="2B9188BF" w14:textId="0A484BCA" w:rsidR="009A27B6" w:rsidRPr="00923467" w:rsidRDefault="009A27B6" w:rsidP="00923467">
      <w:pPr>
        <w:pStyle w:val="ListParagraph"/>
        <w:numPr>
          <w:ilvl w:val="0"/>
          <w:numId w:val="4"/>
        </w:numPr>
      </w:pPr>
      <w:r w:rsidRPr="00923467">
        <w:t xml:space="preserve">Enhanced trade </w:t>
      </w:r>
      <w:proofErr w:type="gramStart"/>
      <w:r w:rsidRPr="00923467">
        <w:t>facilitation</w:t>
      </w:r>
      <w:r w:rsidR="00DF4D59" w:rsidRPr="00923467">
        <w:t>;</w:t>
      </w:r>
      <w:proofErr w:type="gramEnd"/>
      <w:r w:rsidRPr="00923467">
        <w:t xml:space="preserve"> </w:t>
      </w:r>
    </w:p>
    <w:p w14:paraId="0937CBF3" w14:textId="7DECB65C" w:rsidR="009A27B6" w:rsidRPr="00923467" w:rsidRDefault="009A27B6" w:rsidP="00923467">
      <w:pPr>
        <w:pStyle w:val="ListParagraph"/>
        <w:numPr>
          <w:ilvl w:val="0"/>
          <w:numId w:val="4"/>
        </w:numPr>
      </w:pPr>
      <w:r w:rsidRPr="00923467">
        <w:t>Automated and integrated modern business processes and procedures</w:t>
      </w:r>
      <w:r w:rsidR="00DF4D59" w:rsidRPr="00923467">
        <w:t>; and</w:t>
      </w:r>
      <w:r w:rsidRPr="00923467">
        <w:t xml:space="preserve"> </w:t>
      </w:r>
    </w:p>
    <w:p w14:paraId="3C97E479" w14:textId="17D8EF23" w:rsidR="009A27B6" w:rsidRPr="00923467" w:rsidRDefault="009A27B6" w:rsidP="00923467">
      <w:pPr>
        <w:pStyle w:val="ListParagraph"/>
        <w:numPr>
          <w:ilvl w:val="0"/>
          <w:numId w:val="4"/>
        </w:numPr>
      </w:pPr>
      <w:r w:rsidRPr="00923467">
        <w:t xml:space="preserve">Improved </w:t>
      </w:r>
      <w:r w:rsidR="000812D6" w:rsidRPr="00923467">
        <w:t>public trust and credibility</w:t>
      </w:r>
      <w:r w:rsidR="00DF4D59" w:rsidRPr="00923467">
        <w:t xml:space="preserve">. </w:t>
      </w:r>
    </w:p>
    <w:p w14:paraId="0C48DFDB" w14:textId="77777777" w:rsidR="00923467" w:rsidRDefault="00923467" w:rsidP="00923467"/>
    <w:p w14:paraId="53757FCF" w14:textId="77777777" w:rsidR="004248EC" w:rsidRDefault="004248EC" w:rsidP="00923467"/>
    <w:p w14:paraId="34F2C545" w14:textId="77777777" w:rsidR="000E2F4E" w:rsidRDefault="000E2F4E" w:rsidP="00923467"/>
    <w:p w14:paraId="08211D02" w14:textId="77777777" w:rsidR="004248EC" w:rsidRPr="00923467" w:rsidRDefault="004248EC" w:rsidP="00923467"/>
    <w:p w14:paraId="58B7D487" w14:textId="68B8A348" w:rsidR="009A27B6" w:rsidRPr="00923467" w:rsidRDefault="007E5AF0" w:rsidP="00923467">
      <w:pPr>
        <w:pStyle w:val="Heading2"/>
      </w:pPr>
      <w:bookmarkStart w:id="8" w:name="_Toc137831059"/>
      <w:r w:rsidRPr="00923467">
        <w:t>GOVERNANCE ARRANGEMENT</w:t>
      </w:r>
      <w:bookmarkEnd w:id="8"/>
    </w:p>
    <w:p w14:paraId="20B3E070" w14:textId="6D743DA0" w:rsidR="00DA660C" w:rsidRDefault="00D91059" w:rsidP="00923467">
      <w:r w:rsidRPr="00923467">
        <w:t xml:space="preserve">The </w:t>
      </w:r>
      <w:r w:rsidR="00034550" w:rsidRPr="00923467">
        <w:t>activit</w:t>
      </w:r>
      <w:r w:rsidR="00872215" w:rsidRPr="00923467">
        <w:t>ies</w:t>
      </w:r>
      <w:r w:rsidRPr="00923467">
        <w:t xml:space="preserve"> </w:t>
      </w:r>
      <w:r w:rsidR="00E47F75" w:rsidRPr="00923467">
        <w:t xml:space="preserve">of the NRA </w:t>
      </w:r>
      <w:r w:rsidR="00872215" w:rsidRPr="00923467">
        <w:t>are</w:t>
      </w:r>
      <w:r w:rsidR="00E47F75" w:rsidRPr="00923467">
        <w:t xml:space="preserve"> directly </w:t>
      </w:r>
      <w:r w:rsidRPr="00923467">
        <w:t xml:space="preserve">supervised by the Ministry of Finance while the </w:t>
      </w:r>
      <w:r w:rsidR="00E47F75" w:rsidRPr="00923467">
        <w:t>management</w:t>
      </w:r>
      <w:r w:rsidRPr="00923467">
        <w:t xml:space="preserve"> of the NRA </w:t>
      </w:r>
      <w:r w:rsidR="00034550" w:rsidRPr="00923467">
        <w:t>is</w:t>
      </w:r>
      <w:r w:rsidRPr="00923467">
        <w:t xml:space="preserve"> overseen by the Board of Directors </w:t>
      </w:r>
      <w:r w:rsidR="00E47F75" w:rsidRPr="00923467">
        <w:t xml:space="preserve">(headed by a chairperson) </w:t>
      </w:r>
      <w:r w:rsidRPr="00923467">
        <w:t xml:space="preserve">as provided for by the NRA Act of 2002. </w:t>
      </w:r>
      <w:r w:rsidR="00DA660C" w:rsidRPr="00923467">
        <w:t xml:space="preserve">The Board </w:t>
      </w:r>
      <w:r w:rsidR="00DF61A1" w:rsidRPr="00923467">
        <w:t xml:space="preserve">and its committees </w:t>
      </w:r>
      <w:r w:rsidR="00DA660C" w:rsidRPr="00923467">
        <w:t>provide strategic direction to management by determining and formulating management policies to enhance the corporate governance of the Authority.</w:t>
      </w:r>
    </w:p>
    <w:p w14:paraId="7298D2DE" w14:textId="77777777" w:rsidR="00923467" w:rsidRPr="00923467" w:rsidRDefault="00923467" w:rsidP="00923467"/>
    <w:p w14:paraId="785FC6F0" w14:textId="6F345400" w:rsidR="00E47F75" w:rsidRPr="00923467" w:rsidRDefault="00E47F75" w:rsidP="00923467">
      <w:r w:rsidRPr="00923467">
        <w:t xml:space="preserve">According to the NRA Act of 2002, the membership of the Board of Directors is comprised of the following: </w:t>
      </w:r>
    </w:p>
    <w:p w14:paraId="0D5FD309" w14:textId="3E2B69CE" w:rsidR="00E47F75" w:rsidRPr="00923467" w:rsidRDefault="00004B58" w:rsidP="00004B58">
      <w:pPr>
        <w:pStyle w:val="ListParagraph"/>
        <w:numPr>
          <w:ilvl w:val="0"/>
          <w:numId w:val="37"/>
        </w:numPr>
      </w:pPr>
      <w:r>
        <w:t>A</w:t>
      </w:r>
      <w:r w:rsidR="00E47F75" w:rsidRPr="00923467">
        <w:t xml:space="preserve"> chairperson, </w:t>
      </w:r>
    </w:p>
    <w:p w14:paraId="302FBED6" w14:textId="2BCA9DD2" w:rsidR="00E47F75" w:rsidRPr="00923467" w:rsidRDefault="00004B58" w:rsidP="00004B58">
      <w:pPr>
        <w:pStyle w:val="ListParagraph"/>
        <w:numPr>
          <w:ilvl w:val="0"/>
          <w:numId w:val="37"/>
        </w:numPr>
      </w:pPr>
      <w:r>
        <w:t>T</w:t>
      </w:r>
      <w:r w:rsidR="00E47F75" w:rsidRPr="00923467">
        <w:t xml:space="preserve">he Financial Secretary, </w:t>
      </w:r>
    </w:p>
    <w:p w14:paraId="32B8E4EB" w14:textId="28F13730" w:rsidR="00E47F75" w:rsidRPr="00923467" w:rsidRDefault="00004B58" w:rsidP="00004B58">
      <w:pPr>
        <w:pStyle w:val="ListParagraph"/>
        <w:numPr>
          <w:ilvl w:val="0"/>
          <w:numId w:val="37"/>
        </w:numPr>
      </w:pPr>
      <w:r>
        <w:t>T</w:t>
      </w:r>
      <w:r w:rsidR="00E47F75" w:rsidRPr="00923467">
        <w:t xml:space="preserve">he Governor of the Bank of Sierra Leone, </w:t>
      </w:r>
    </w:p>
    <w:p w14:paraId="7A32E8A7" w14:textId="2D8DD426" w:rsidR="00E47F75" w:rsidRPr="00923467" w:rsidRDefault="00004B58" w:rsidP="00004B58">
      <w:pPr>
        <w:pStyle w:val="ListParagraph"/>
        <w:numPr>
          <w:ilvl w:val="0"/>
          <w:numId w:val="37"/>
        </w:numPr>
      </w:pPr>
      <w:r>
        <w:t>A</w:t>
      </w:r>
      <w:r w:rsidR="00E47F75" w:rsidRPr="00923467">
        <w:t xml:space="preserve"> tax specialist, </w:t>
      </w:r>
    </w:p>
    <w:p w14:paraId="0E145458" w14:textId="568068D4" w:rsidR="00E47F75" w:rsidRPr="00923467" w:rsidRDefault="00004B58" w:rsidP="00004B58">
      <w:pPr>
        <w:pStyle w:val="ListParagraph"/>
        <w:numPr>
          <w:ilvl w:val="0"/>
          <w:numId w:val="37"/>
        </w:numPr>
      </w:pPr>
      <w:r>
        <w:t>A</w:t>
      </w:r>
      <w:r w:rsidR="00E47F75" w:rsidRPr="00923467">
        <w:t xml:space="preserve">n economist, </w:t>
      </w:r>
    </w:p>
    <w:p w14:paraId="3CF4693E" w14:textId="529C04F1" w:rsidR="00E47F75" w:rsidRPr="00923467" w:rsidRDefault="00004B58" w:rsidP="00004B58">
      <w:pPr>
        <w:pStyle w:val="ListParagraph"/>
        <w:numPr>
          <w:ilvl w:val="0"/>
          <w:numId w:val="37"/>
        </w:numPr>
      </w:pPr>
      <w:r>
        <w:t>A</w:t>
      </w:r>
      <w:r w:rsidR="00E47F75" w:rsidRPr="00923467">
        <w:t xml:space="preserve"> legal practitioner</w:t>
      </w:r>
      <w:r w:rsidR="0085612D">
        <w:t>,</w:t>
      </w:r>
      <w:r w:rsidR="00E47F75" w:rsidRPr="00923467">
        <w:t xml:space="preserve"> and </w:t>
      </w:r>
    </w:p>
    <w:p w14:paraId="07764EFC" w14:textId="56C57726" w:rsidR="00E47F75" w:rsidRDefault="00004B58" w:rsidP="00004B58">
      <w:pPr>
        <w:pStyle w:val="ListParagraph"/>
        <w:numPr>
          <w:ilvl w:val="0"/>
          <w:numId w:val="37"/>
        </w:numPr>
      </w:pPr>
      <w:r>
        <w:t>T</w:t>
      </w:r>
      <w:r w:rsidR="00E47F75" w:rsidRPr="00923467">
        <w:t>he Commissioner-General.</w:t>
      </w:r>
    </w:p>
    <w:p w14:paraId="0CFB482D" w14:textId="77777777" w:rsidR="00923467" w:rsidRPr="00923467" w:rsidRDefault="00923467" w:rsidP="00923467"/>
    <w:p w14:paraId="6ED20354" w14:textId="7D1CE3B9" w:rsidR="00E47F75" w:rsidRDefault="00F165CD" w:rsidP="00923467">
      <w:r w:rsidRPr="00923467">
        <w:t xml:space="preserve">The </w:t>
      </w:r>
      <w:r w:rsidR="00273F07" w:rsidRPr="00923467">
        <w:t xml:space="preserve">Bank Governor and the Financial Secretary automatically become members of the Board, while the rest of the Board members are appointed by the </w:t>
      </w:r>
      <w:r w:rsidR="00D96F18" w:rsidRPr="00923467">
        <w:t>P</w:t>
      </w:r>
      <w:r w:rsidR="00273F07" w:rsidRPr="00923467">
        <w:t>resident</w:t>
      </w:r>
      <w:r w:rsidR="000B5848" w:rsidRPr="00923467">
        <w:t xml:space="preserve"> of Sierra Leone</w:t>
      </w:r>
      <w:r w:rsidR="00273F07" w:rsidRPr="00923467">
        <w:t xml:space="preserve">. </w:t>
      </w:r>
      <w:r w:rsidR="00E47F75" w:rsidRPr="00923467">
        <w:t xml:space="preserve">Except for the Governor, the Financial Secretary and the Commissioner-General, the Chairperson and the other members of the Board </w:t>
      </w:r>
      <w:r w:rsidR="00273F07" w:rsidRPr="00923467">
        <w:t xml:space="preserve">can </w:t>
      </w:r>
      <w:r w:rsidR="00E47F75" w:rsidRPr="00923467">
        <w:t>serve for a period of three years and may be re-appointed by the president for a maximum of three consecutive terms.</w:t>
      </w:r>
    </w:p>
    <w:p w14:paraId="5CFDE6C4" w14:textId="77777777" w:rsidR="00923467" w:rsidRPr="00923467" w:rsidRDefault="00923467" w:rsidP="00923467"/>
    <w:p w14:paraId="3573E4DC" w14:textId="795675C0" w:rsidR="001909A5" w:rsidRDefault="001909A5" w:rsidP="00923467">
      <w:r w:rsidRPr="00923467">
        <w:t xml:space="preserve">The day-to-day operations of the Authority are overseen by the Commissioner-General who is the head of the Senior Management Team (SMT) that comprises the </w:t>
      </w:r>
      <w:r w:rsidR="002F1D7D" w:rsidRPr="00923467">
        <w:t>D</w:t>
      </w:r>
      <w:r w:rsidRPr="00923467">
        <w:t>eputy Commissioner-General</w:t>
      </w:r>
      <w:r w:rsidR="00F62A26" w:rsidRPr="00923467">
        <w:t>,</w:t>
      </w:r>
      <w:r w:rsidRPr="00923467">
        <w:t xml:space="preserve"> </w:t>
      </w:r>
      <w:r w:rsidR="000A69B5" w:rsidRPr="00923467">
        <w:t>C</w:t>
      </w:r>
      <w:r w:rsidRPr="00923467">
        <w:t>ommissioners/</w:t>
      </w:r>
      <w:r w:rsidR="000A69B5" w:rsidRPr="00923467">
        <w:t>D</w:t>
      </w:r>
      <w:r w:rsidRPr="00923467">
        <w:t xml:space="preserve">irectors and the </w:t>
      </w:r>
      <w:r w:rsidR="000A69B5" w:rsidRPr="00923467">
        <w:t>D</w:t>
      </w:r>
      <w:r w:rsidRPr="00923467">
        <w:t xml:space="preserve">eputy </w:t>
      </w:r>
      <w:r w:rsidR="000A69B5" w:rsidRPr="00923467">
        <w:t>C</w:t>
      </w:r>
      <w:r w:rsidRPr="00923467">
        <w:t>ommissioners/</w:t>
      </w:r>
      <w:r w:rsidR="000A69B5" w:rsidRPr="00923467">
        <w:t>D</w:t>
      </w:r>
      <w:r w:rsidRPr="00923467">
        <w:t xml:space="preserve">irectors.  The </w:t>
      </w:r>
      <w:r w:rsidR="009B7A3C" w:rsidRPr="00923467">
        <w:t>D</w:t>
      </w:r>
      <w:r w:rsidRPr="00923467">
        <w:t>eputy Commissioner-General is appointed by the Board to serve as the principal assistant to the Commissioner-General and acts in the absence of the Commissioner-General</w:t>
      </w:r>
      <w:r w:rsidR="002123C9" w:rsidRPr="00923467">
        <w:t xml:space="preserve">, while </w:t>
      </w:r>
      <w:r w:rsidR="009B7A3C" w:rsidRPr="00923467">
        <w:t>C</w:t>
      </w:r>
      <w:r w:rsidR="002123C9" w:rsidRPr="00923467">
        <w:t>ommissioners/</w:t>
      </w:r>
      <w:r w:rsidR="009B7A3C" w:rsidRPr="00923467">
        <w:t>D</w:t>
      </w:r>
      <w:r w:rsidR="002123C9" w:rsidRPr="00923467">
        <w:t xml:space="preserve">irectors, and their </w:t>
      </w:r>
      <w:r w:rsidR="009B7A3C" w:rsidRPr="00923467">
        <w:t>D</w:t>
      </w:r>
      <w:r w:rsidR="002123C9" w:rsidRPr="00923467">
        <w:t xml:space="preserve">eputy and </w:t>
      </w:r>
      <w:r w:rsidR="009B7A3C" w:rsidRPr="00923467">
        <w:t>A</w:t>
      </w:r>
      <w:r w:rsidR="002123C9" w:rsidRPr="00923467">
        <w:t>ssistants are appointed by the Commissioner-General subject to the approval of the Board (NRA Act 20</w:t>
      </w:r>
      <w:r w:rsidR="00FF1853">
        <w:t>0</w:t>
      </w:r>
      <w:r w:rsidR="002123C9" w:rsidRPr="00923467">
        <w:t xml:space="preserve">2). </w:t>
      </w:r>
      <w:r w:rsidRPr="00923467">
        <w:t xml:space="preserve"> </w:t>
      </w:r>
    </w:p>
    <w:p w14:paraId="522362A4" w14:textId="77777777" w:rsidR="00923467" w:rsidRPr="00923467" w:rsidRDefault="00923467" w:rsidP="00923467"/>
    <w:p w14:paraId="7F6D5C0B" w14:textId="77777777" w:rsidR="00462FE6" w:rsidRPr="00923467" w:rsidRDefault="00342FFB" w:rsidP="00FF1853">
      <w:pPr>
        <w:jc w:val="center"/>
      </w:pPr>
      <w:r w:rsidRPr="00923467">
        <w:rPr>
          <w:noProof/>
        </w:rPr>
        <w:drawing>
          <wp:inline distT="0" distB="0" distL="0" distR="0" wp14:anchorId="2DBCB7D8" wp14:editId="2C648B05">
            <wp:extent cx="3404103" cy="25800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4818" cy="2648759"/>
                    </a:xfrm>
                    <a:prstGeom prst="rect">
                      <a:avLst/>
                    </a:prstGeom>
                    <a:noFill/>
                    <a:ln>
                      <a:noFill/>
                    </a:ln>
                  </pic:spPr>
                </pic:pic>
              </a:graphicData>
            </a:graphic>
          </wp:inline>
        </w:drawing>
      </w:r>
    </w:p>
    <w:p w14:paraId="68262F0D" w14:textId="53361397" w:rsidR="00342FFB" w:rsidRPr="00923467" w:rsidRDefault="00462FE6" w:rsidP="00FF1853">
      <w:pPr>
        <w:pStyle w:val="Caption"/>
        <w:jc w:val="center"/>
        <w:rPr>
          <w:sz w:val="24"/>
          <w:szCs w:val="24"/>
        </w:rPr>
      </w:pPr>
      <w:bookmarkStart w:id="9" w:name="_Toc137831166"/>
      <w:r w:rsidRPr="00923467">
        <w:t xml:space="preserve">Figure </w:t>
      </w:r>
      <w:r w:rsidRPr="00923467">
        <w:fldChar w:fldCharType="begin"/>
      </w:r>
      <w:r w:rsidRPr="00923467">
        <w:instrText xml:space="preserve"> SEQ Figure \* ARABIC </w:instrText>
      </w:r>
      <w:r w:rsidRPr="00923467">
        <w:fldChar w:fldCharType="separate"/>
      </w:r>
      <w:r w:rsidR="00E12E6B">
        <w:rPr>
          <w:noProof/>
        </w:rPr>
        <w:t>3</w:t>
      </w:r>
      <w:r w:rsidRPr="00923467">
        <w:fldChar w:fldCharType="end"/>
      </w:r>
      <w:r w:rsidRPr="00923467">
        <w:t>: NRA Organogram</w:t>
      </w:r>
      <w:bookmarkEnd w:id="9"/>
    </w:p>
    <w:p w14:paraId="4E80B402" w14:textId="77777777" w:rsidR="00462FE6" w:rsidRPr="00923467" w:rsidRDefault="00462FE6" w:rsidP="00923467"/>
    <w:p w14:paraId="3CB1B65A" w14:textId="1FBDA8E3" w:rsidR="0053130C" w:rsidRPr="00923467" w:rsidRDefault="0053130C" w:rsidP="00923467">
      <w:r w:rsidRPr="00923467">
        <w:t xml:space="preserve">As shown in Figure </w:t>
      </w:r>
      <w:r w:rsidR="00462FE6" w:rsidRPr="00923467">
        <w:t>3</w:t>
      </w:r>
      <w:r w:rsidRPr="00923467">
        <w:t xml:space="preserve">, </w:t>
      </w:r>
      <w:r w:rsidR="00EB2474" w:rsidRPr="00923467">
        <w:t xml:space="preserve">there are three units under the Office of the Commissioner-General, </w:t>
      </w:r>
      <w:r w:rsidRPr="00923467">
        <w:t>three operation</w:t>
      </w:r>
      <w:r w:rsidR="00D96F18" w:rsidRPr="00923467">
        <w:t>al</w:t>
      </w:r>
      <w:r w:rsidRPr="00923467">
        <w:t xml:space="preserve"> department</w:t>
      </w:r>
      <w:r w:rsidR="001646B4" w:rsidRPr="00923467">
        <w:t>s</w:t>
      </w:r>
      <w:r w:rsidRPr="00923467">
        <w:t xml:space="preserve"> that are directly </w:t>
      </w:r>
      <w:r w:rsidR="00DF5E73" w:rsidRPr="00923467">
        <w:t>involved</w:t>
      </w:r>
      <w:r w:rsidRPr="00923467">
        <w:t xml:space="preserve"> with the </w:t>
      </w:r>
      <w:r w:rsidR="00CB08AC" w:rsidRPr="00923467">
        <w:t>collection of domestic</w:t>
      </w:r>
      <w:r w:rsidRPr="00923467">
        <w:t xml:space="preserve"> revenue, and </w:t>
      </w:r>
      <w:r w:rsidR="005C6C14" w:rsidRPr="00923467">
        <w:t>eleven</w:t>
      </w:r>
      <w:r w:rsidR="00CB08AC" w:rsidRPr="00923467">
        <w:t xml:space="preserve"> support departments</w:t>
      </w:r>
      <w:r w:rsidR="005C6C14" w:rsidRPr="00923467">
        <w:t xml:space="preserve"> (including Internal </w:t>
      </w:r>
      <w:r w:rsidR="002A1AAB" w:rsidRPr="00923467">
        <w:t>Control</w:t>
      </w:r>
      <w:r w:rsidR="00D65CB4" w:rsidRPr="00923467">
        <w:t>s</w:t>
      </w:r>
      <w:r w:rsidR="002A1AAB" w:rsidRPr="00923467">
        <w:t xml:space="preserve"> and </w:t>
      </w:r>
      <w:r w:rsidR="005C6C14" w:rsidRPr="00923467">
        <w:t>Audit)</w:t>
      </w:r>
      <w:r w:rsidR="00CB08AC" w:rsidRPr="00923467">
        <w:t xml:space="preserve">. </w:t>
      </w:r>
      <w:r w:rsidR="00CB67C2" w:rsidRPr="00923467">
        <w:t>T</w:t>
      </w:r>
      <w:r w:rsidR="00CB08AC" w:rsidRPr="00923467">
        <w:t xml:space="preserve">he functions of the Internal Controls and Audit Department </w:t>
      </w:r>
      <w:r w:rsidR="00342FFB" w:rsidRPr="00923467">
        <w:t>are</w:t>
      </w:r>
      <w:r w:rsidR="00CB08AC" w:rsidRPr="00923467">
        <w:t xml:space="preserve"> </w:t>
      </w:r>
      <w:r w:rsidR="00424CEC" w:rsidRPr="00923467">
        <w:t xml:space="preserve">overseen by the Board. </w:t>
      </w:r>
    </w:p>
    <w:p w14:paraId="1ACE4F1E" w14:textId="77BDF435" w:rsidR="00342FFB" w:rsidRPr="00923467" w:rsidRDefault="00342FFB" w:rsidP="00923467"/>
    <w:p w14:paraId="4D4E8BF1" w14:textId="595B6B99" w:rsidR="00342FFB" w:rsidRPr="00923467" w:rsidRDefault="00342FFB" w:rsidP="00923467"/>
    <w:p w14:paraId="233BBEA0" w14:textId="460CC522" w:rsidR="00342FFB" w:rsidRPr="00923467" w:rsidRDefault="00342FFB" w:rsidP="00923467"/>
    <w:p w14:paraId="72F38E5A" w14:textId="04A90D35" w:rsidR="00342FFB" w:rsidRPr="00923467" w:rsidRDefault="00342FFB" w:rsidP="00923467"/>
    <w:p w14:paraId="646C5D21" w14:textId="7D6C7CEE" w:rsidR="00774C47" w:rsidRPr="00923467" w:rsidRDefault="00774C47" w:rsidP="00923467">
      <w:r w:rsidRPr="00923467">
        <w:br w:type="page"/>
      </w:r>
    </w:p>
    <w:p w14:paraId="04964A34" w14:textId="1834F0DF" w:rsidR="00462FE6" w:rsidRPr="00923467" w:rsidRDefault="0059271D" w:rsidP="00FF1853">
      <w:pPr>
        <w:pStyle w:val="Heading1"/>
      </w:pPr>
      <w:bookmarkStart w:id="10" w:name="_Toc137831060"/>
      <w:r w:rsidRPr="00923467">
        <w:t xml:space="preserve">CHAPTER TWO: </w:t>
      </w:r>
      <w:r w:rsidRPr="00FF1853">
        <w:t>REVENUE</w:t>
      </w:r>
      <w:r w:rsidRPr="00923467">
        <w:t xml:space="preserve"> AND DUTY WAIVER PERFORMANCE</w:t>
      </w:r>
      <w:bookmarkEnd w:id="10"/>
    </w:p>
    <w:p w14:paraId="155977CB" w14:textId="42096617" w:rsidR="00245670" w:rsidRPr="00923467" w:rsidRDefault="00923467" w:rsidP="00923467">
      <w:pPr>
        <w:pStyle w:val="Heading2"/>
      </w:pPr>
      <w:bookmarkStart w:id="11" w:name="_Toc137831061"/>
      <w:r>
        <w:t>HISTORIC REVENUE PERFORMANCE</w:t>
      </w:r>
      <w:bookmarkEnd w:id="11"/>
    </w:p>
    <w:p w14:paraId="6378DDA8" w14:textId="1F2CA4AD" w:rsidR="002E29B9" w:rsidRDefault="002E29B9" w:rsidP="00923467">
      <w:r w:rsidRPr="00923467">
        <w:t>Domestic revenue ha</w:t>
      </w:r>
      <w:r w:rsidR="005C7A0F" w:rsidRPr="00923467">
        <w:t>s</w:t>
      </w:r>
      <w:r w:rsidRPr="00923467">
        <w:t xml:space="preserve"> been increasing sharply from 2017 to 2019, growing by an annual increase of </w:t>
      </w:r>
      <w:r w:rsidR="005C7A0F" w:rsidRPr="00923467">
        <w:t>one</w:t>
      </w:r>
      <w:r w:rsidRPr="00923467">
        <w:t xml:space="preserve"> trillion leones, with both 2018 and 2019 being above the trend (Figure </w:t>
      </w:r>
      <w:r w:rsidR="005C7A0F" w:rsidRPr="00923467">
        <w:t>4</w:t>
      </w:r>
      <w:r w:rsidRPr="00923467">
        <w:t>). With the advent of the COVID-19 pandemic in 2020, domestic revenue was seriously affected thus falling below the trend despite slightly increasing in nominal terms from 2019. FY2021 saw domestic revenue peak to its ever-highest level and again being above the trend by reaching as high as Le6.9 trillion. Domestic Revenue has also more than doubled within this period (from Le3.340 trillion in 2017 to Le6.917 trillion in 2021).</w:t>
      </w:r>
    </w:p>
    <w:p w14:paraId="159A644F" w14:textId="77777777" w:rsidR="00923467" w:rsidRPr="00923467" w:rsidRDefault="00923467" w:rsidP="00923467"/>
    <w:p w14:paraId="0F137409" w14:textId="77777777" w:rsidR="005C7A0F" w:rsidRPr="00923467" w:rsidRDefault="002E29B9" w:rsidP="00923467">
      <w:r w:rsidRPr="00923467">
        <w:rPr>
          <w:noProof/>
        </w:rPr>
        <w:drawing>
          <wp:inline distT="0" distB="0" distL="0" distR="0" wp14:anchorId="01FBCF7C" wp14:editId="2F1DDD80">
            <wp:extent cx="5332491" cy="2715895"/>
            <wp:effectExtent l="0" t="0" r="14605" b="14605"/>
            <wp:docPr id="1322057479" name="Chart 1322057479">
              <a:extLst xmlns:a="http://schemas.openxmlformats.org/drawingml/2006/main">
                <a:ext uri="{FF2B5EF4-FFF2-40B4-BE49-F238E27FC236}">
                  <a16:creationId xmlns:a16="http://schemas.microsoft.com/office/drawing/2014/main" id="{E6E3F5D5-62FB-4AB8-8C42-3AA4FA099B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E8B3F4" w14:textId="635D98BF" w:rsidR="005C7A0F" w:rsidRPr="00923467" w:rsidRDefault="005C7A0F" w:rsidP="00923467">
      <w:pPr>
        <w:pStyle w:val="Caption"/>
      </w:pPr>
      <w:bookmarkStart w:id="12" w:name="_Toc137831167"/>
      <w:r w:rsidRPr="00923467">
        <w:t xml:space="preserve">Figure </w:t>
      </w:r>
      <w:r w:rsidRPr="00923467">
        <w:fldChar w:fldCharType="begin"/>
      </w:r>
      <w:r w:rsidRPr="00923467">
        <w:instrText xml:space="preserve"> SEQ Figure \* ARABIC </w:instrText>
      </w:r>
      <w:r w:rsidRPr="00923467">
        <w:fldChar w:fldCharType="separate"/>
      </w:r>
      <w:r w:rsidR="00E12E6B">
        <w:rPr>
          <w:noProof/>
        </w:rPr>
        <w:t>4</w:t>
      </w:r>
      <w:r w:rsidRPr="00923467">
        <w:fldChar w:fldCharType="end"/>
      </w:r>
      <w:r w:rsidRPr="00923467">
        <w:t>: Trend in Domestic Revenue (2017-2022)</w:t>
      </w:r>
      <w:bookmarkEnd w:id="12"/>
    </w:p>
    <w:p w14:paraId="7D94E318" w14:textId="77777777" w:rsidR="00923467" w:rsidRDefault="00923467" w:rsidP="00923467"/>
    <w:p w14:paraId="584C6904" w14:textId="462C6292" w:rsidR="002E29B9" w:rsidRPr="00923467" w:rsidRDefault="002E29B9" w:rsidP="00923467">
      <w:r w:rsidRPr="00923467">
        <w:t>In real terms, the collection of Le6.917 trillion in 2021 represent</w:t>
      </w:r>
      <w:r w:rsidR="005C7A0F" w:rsidRPr="00923467">
        <w:t>s</w:t>
      </w:r>
      <w:r w:rsidRPr="00923467">
        <w:t xml:space="preserve"> 15.7% of GDP, the highest the country has ever reached and within reach of the regional ECOWAS average of 16% of GDP (Figure </w:t>
      </w:r>
      <w:r w:rsidR="00B72159" w:rsidRPr="00923467">
        <w:t>5</w:t>
      </w:r>
      <w:r w:rsidRPr="00923467">
        <w:t xml:space="preserve">), with Sierra Leone being one of few countries (if not the only) within the sub-region to have raised domestic revenue by over 3 percentage points of GDP within a period of 4 years (from 12.3% in 2017 to 15.7% in 2021). </w:t>
      </w:r>
    </w:p>
    <w:p w14:paraId="530C6271" w14:textId="06AA61A8" w:rsidR="00B72159" w:rsidRPr="00923467" w:rsidRDefault="00195B4A" w:rsidP="00923467">
      <w:r>
        <w:rPr>
          <w:noProof/>
        </w:rPr>
        <w:drawing>
          <wp:inline distT="0" distB="0" distL="0" distR="0" wp14:anchorId="51712F0A" wp14:editId="3B6F5DC5">
            <wp:extent cx="5850732" cy="2743200"/>
            <wp:effectExtent l="0" t="0" r="17145" b="0"/>
            <wp:docPr id="1395191390" name="Chart 1">
              <a:extLst xmlns:a="http://schemas.openxmlformats.org/drawingml/2006/main">
                <a:ext uri="{FF2B5EF4-FFF2-40B4-BE49-F238E27FC236}">
                  <a16:creationId xmlns:a16="http://schemas.microsoft.com/office/drawing/2014/main" id="{5C2BBEED-6A0A-914E-8C75-D959CE3162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659347" w14:textId="3D22D95D" w:rsidR="002E29B9" w:rsidRPr="00923467" w:rsidRDefault="00B72159" w:rsidP="00923467">
      <w:pPr>
        <w:pStyle w:val="Caption"/>
        <w:rPr>
          <w:sz w:val="20"/>
          <w:szCs w:val="20"/>
        </w:rPr>
      </w:pPr>
      <w:bookmarkStart w:id="13" w:name="_Toc137831168"/>
      <w:r w:rsidRPr="00923467">
        <w:t xml:space="preserve">Figure </w:t>
      </w:r>
      <w:r w:rsidRPr="00923467">
        <w:fldChar w:fldCharType="begin"/>
      </w:r>
      <w:r w:rsidRPr="00923467">
        <w:instrText xml:space="preserve"> SEQ Figure \* ARABIC </w:instrText>
      </w:r>
      <w:r w:rsidRPr="00923467">
        <w:fldChar w:fldCharType="separate"/>
      </w:r>
      <w:r w:rsidR="00E12E6B">
        <w:rPr>
          <w:noProof/>
        </w:rPr>
        <w:t>5</w:t>
      </w:r>
      <w:r w:rsidRPr="00923467">
        <w:fldChar w:fldCharType="end"/>
      </w:r>
      <w:r w:rsidRPr="00923467">
        <w:t>: Revenue to GDP Ratio</w:t>
      </w:r>
      <w:bookmarkEnd w:id="13"/>
    </w:p>
    <w:p w14:paraId="5D1EB360" w14:textId="77777777" w:rsidR="00923467" w:rsidRDefault="00923467" w:rsidP="00923467"/>
    <w:p w14:paraId="178FC817" w14:textId="24A44CDC" w:rsidR="002E29B9" w:rsidRPr="00923467" w:rsidRDefault="002E29B9" w:rsidP="00923467">
      <w:r w:rsidRPr="00923467">
        <w:t xml:space="preserve">However, with the global economic challenges arising from the prolonged War in Ukraine </w:t>
      </w:r>
      <w:r w:rsidR="005C7A0F" w:rsidRPr="00923467">
        <w:t xml:space="preserve">and the Covid-19 Pandemic, </w:t>
      </w:r>
      <w:r w:rsidRPr="00923467">
        <w:t>and its ripple effect on the domestic economy, the gains made in 2021 were reversed in 2022 to the extent that revenue/GDP ratio declined to 13.2%. It is hoped that revenue performance will revert to 2021 levels by end of 2023.</w:t>
      </w:r>
    </w:p>
    <w:p w14:paraId="6F293FF2" w14:textId="77777777" w:rsidR="005C7A0F" w:rsidRPr="00923467" w:rsidRDefault="005C7A0F" w:rsidP="00923467"/>
    <w:p w14:paraId="609E6442" w14:textId="4E25697D" w:rsidR="00CE5B35" w:rsidRPr="00923467" w:rsidRDefault="00923467" w:rsidP="00923467">
      <w:pPr>
        <w:pStyle w:val="Heading2"/>
      </w:pPr>
      <w:bookmarkStart w:id="14" w:name="_Toc137831062"/>
      <w:r>
        <w:t>REVENUE PERFORMANCE IN 2022</w:t>
      </w:r>
      <w:bookmarkEnd w:id="14"/>
    </w:p>
    <w:p w14:paraId="4C727A77" w14:textId="33EDD660" w:rsidR="005C7A0F" w:rsidRDefault="00D70108" w:rsidP="00FF1853">
      <w:r w:rsidRPr="00923467">
        <w:t xml:space="preserve">Overall, revenue collected in 2022 </w:t>
      </w:r>
      <w:r w:rsidR="004248EC" w:rsidRPr="00923467">
        <w:t>totalled</w:t>
      </w:r>
      <w:r w:rsidRPr="00923467">
        <w:t xml:space="preserve"> Le7.</w:t>
      </w:r>
      <w:r w:rsidR="00F97603">
        <w:t>0</w:t>
      </w:r>
      <w:r w:rsidRPr="00923467">
        <w:t xml:space="preserve"> trillion, which when compared to the IMF’s target of Le7.787 trillion implies a shortfall of Le</w:t>
      </w:r>
      <w:r w:rsidR="00F97603">
        <w:t>7</w:t>
      </w:r>
      <w:r w:rsidRPr="00923467">
        <w:t>4</w:t>
      </w:r>
      <w:r w:rsidR="00F97603">
        <w:t>0</w:t>
      </w:r>
      <w:r w:rsidRPr="00923467">
        <w:t xml:space="preserve"> billion or </w:t>
      </w:r>
      <w:r w:rsidR="00F97603">
        <w:t>9</w:t>
      </w:r>
      <w:r w:rsidRPr="00923467">
        <w:t>.</w:t>
      </w:r>
      <w:r w:rsidR="00F97603">
        <w:t>5</w:t>
      </w:r>
      <w:r w:rsidRPr="00923467">
        <w:t>% (Table 1).</w:t>
      </w:r>
    </w:p>
    <w:p w14:paraId="657F84C4" w14:textId="77777777" w:rsidR="00FF1853" w:rsidRPr="00923467" w:rsidRDefault="00FF1853" w:rsidP="00FF1853"/>
    <w:tbl>
      <w:tblPr>
        <w:tblStyle w:val="GridTable4-Accent1"/>
        <w:tblW w:w="10614" w:type="dxa"/>
        <w:tblLook w:val="04A0" w:firstRow="1" w:lastRow="0" w:firstColumn="1" w:lastColumn="0" w:noHBand="0" w:noVBand="1"/>
      </w:tblPr>
      <w:tblGrid>
        <w:gridCol w:w="3434"/>
        <w:gridCol w:w="896"/>
        <w:gridCol w:w="896"/>
        <w:gridCol w:w="896"/>
        <w:gridCol w:w="896"/>
        <w:gridCol w:w="896"/>
        <w:gridCol w:w="906"/>
        <w:gridCol w:w="1003"/>
        <w:gridCol w:w="791"/>
      </w:tblGrid>
      <w:tr w:rsidR="00E03014" w:rsidRPr="00E03014" w14:paraId="2827F6ED" w14:textId="77777777" w:rsidTr="00E0301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14" w:type="dxa"/>
            <w:gridSpan w:val="9"/>
            <w:noWrap/>
            <w:hideMark/>
          </w:tcPr>
          <w:p w14:paraId="7A18E577" w14:textId="207AC4D3" w:rsidR="00E03014" w:rsidRPr="00E03014" w:rsidRDefault="00E03014" w:rsidP="00E03014">
            <w:pPr>
              <w:spacing w:line="240" w:lineRule="auto"/>
              <w:jc w:val="center"/>
              <w:rPr>
                <w:rFonts w:ascii="Times New Roman" w:eastAsia="Times New Roman" w:hAnsi="Times New Roman"/>
                <w:color w:val="002060"/>
                <w:sz w:val="16"/>
                <w:szCs w:val="16"/>
              </w:rPr>
            </w:pPr>
            <w:r>
              <w:rPr>
                <w:rFonts w:ascii="Times New Roman" w:eastAsia="Times New Roman" w:hAnsi="Times New Roman"/>
                <w:b w:val="0"/>
                <w:bCs w:val="0"/>
                <w:color w:val="002060"/>
                <w:sz w:val="16"/>
                <w:szCs w:val="16"/>
              </w:rPr>
              <w:t xml:space="preserve">Table 1: 2022 </w:t>
            </w:r>
            <w:r w:rsidRPr="00E03014">
              <w:rPr>
                <w:rFonts w:ascii="Times New Roman" w:eastAsia="Times New Roman" w:hAnsi="Times New Roman"/>
                <w:color w:val="002060"/>
                <w:sz w:val="16"/>
                <w:szCs w:val="16"/>
              </w:rPr>
              <w:t xml:space="preserve">TOTAL DOMESTIC REVENUE COLLECTION </w:t>
            </w:r>
            <w:r>
              <w:rPr>
                <w:rFonts w:ascii="Times New Roman" w:eastAsia="Times New Roman" w:hAnsi="Times New Roman"/>
                <w:b w:val="0"/>
                <w:bCs w:val="0"/>
                <w:color w:val="002060"/>
                <w:sz w:val="16"/>
                <w:szCs w:val="16"/>
              </w:rPr>
              <w:t>A</w:t>
            </w:r>
            <w:r w:rsidRPr="00E03014">
              <w:rPr>
                <w:rFonts w:ascii="Times New Roman" w:eastAsia="Times New Roman" w:hAnsi="Times New Roman"/>
                <w:color w:val="002060"/>
                <w:sz w:val="16"/>
                <w:szCs w:val="16"/>
              </w:rPr>
              <w:t>gainst</w:t>
            </w:r>
            <w:r>
              <w:rPr>
                <w:rFonts w:ascii="Times New Roman" w:eastAsia="Times New Roman" w:hAnsi="Times New Roman"/>
                <w:b w:val="0"/>
                <w:bCs w:val="0"/>
                <w:color w:val="002060"/>
                <w:sz w:val="16"/>
                <w:szCs w:val="16"/>
              </w:rPr>
              <w:t xml:space="preserve"> </w:t>
            </w:r>
            <w:r w:rsidRPr="00E03014">
              <w:rPr>
                <w:rFonts w:ascii="Times New Roman" w:eastAsia="Times New Roman" w:hAnsi="Times New Roman"/>
                <w:color w:val="002060"/>
                <w:sz w:val="16"/>
                <w:szCs w:val="16"/>
              </w:rPr>
              <w:t>Target (Le Million)</w:t>
            </w:r>
          </w:p>
        </w:tc>
      </w:tr>
      <w:tr w:rsidR="00E03014" w:rsidRPr="00E03014" w14:paraId="5224F392" w14:textId="77777777" w:rsidTr="00E03014">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hideMark/>
          </w:tcPr>
          <w:p w14:paraId="20389CC5" w14:textId="77777777" w:rsidR="00E03014" w:rsidRPr="00E03014" w:rsidRDefault="00E03014" w:rsidP="00E03014">
            <w:pPr>
              <w:spacing w:line="240" w:lineRule="auto"/>
              <w:jc w:val="center"/>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DETAIL</w:t>
            </w:r>
          </w:p>
        </w:tc>
        <w:tc>
          <w:tcPr>
            <w:tcW w:w="0" w:type="auto"/>
            <w:hideMark/>
          </w:tcPr>
          <w:p w14:paraId="36E2EDA9"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Q1 2022</w:t>
            </w:r>
          </w:p>
        </w:tc>
        <w:tc>
          <w:tcPr>
            <w:tcW w:w="0" w:type="auto"/>
            <w:hideMark/>
          </w:tcPr>
          <w:p w14:paraId="3AC439CC"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Q2 Act</w:t>
            </w:r>
          </w:p>
        </w:tc>
        <w:tc>
          <w:tcPr>
            <w:tcW w:w="0" w:type="auto"/>
            <w:hideMark/>
          </w:tcPr>
          <w:p w14:paraId="14EA12F1"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Q3 Act</w:t>
            </w:r>
          </w:p>
        </w:tc>
        <w:tc>
          <w:tcPr>
            <w:tcW w:w="0" w:type="auto"/>
            <w:hideMark/>
          </w:tcPr>
          <w:p w14:paraId="72E55421"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Q4 Act</w:t>
            </w:r>
          </w:p>
        </w:tc>
        <w:tc>
          <w:tcPr>
            <w:tcW w:w="0" w:type="auto"/>
            <w:hideMark/>
          </w:tcPr>
          <w:p w14:paraId="62D9791C"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Q1-4 Act</w:t>
            </w:r>
          </w:p>
        </w:tc>
        <w:tc>
          <w:tcPr>
            <w:tcW w:w="0" w:type="auto"/>
            <w:hideMark/>
          </w:tcPr>
          <w:p w14:paraId="4C082294" w14:textId="1B2B962B"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Q1-</w:t>
            </w:r>
            <w:r w:rsidR="00A65C88" w:rsidRPr="00E03014">
              <w:rPr>
                <w:rFonts w:ascii="Times New Roman" w:eastAsia="Times New Roman" w:hAnsi="Times New Roman"/>
                <w:b/>
                <w:bCs/>
                <w:color w:val="000000"/>
                <w:sz w:val="16"/>
                <w:szCs w:val="16"/>
              </w:rPr>
              <w:t>4 Target</w:t>
            </w:r>
          </w:p>
        </w:tc>
        <w:tc>
          <w:tcPr>
            <w:tcW w:w="0" w:type="auto"/>
            <w:noWrap/>
            <w:hideMark/>
          </w:tcPr>
          <w:p w14:paraId="6F2367D2"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 xml:space="preserve"> Variance </w:t>
            </w:r>
          </w:p>
        </w:tc>
        <w:tc>
          <w:tcPr>
            <w:tcW w:w="791" w:type="dxa"/>
            <w:noWrap/>
            <w:hideMark/>
          </w:tcPr>
          <w:p w14:paraId="3C52DE3F"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 xml:space="preserve"> % Var </w:t>
            </w:r>
          </w:p>
        </w:tc>
      </w:tr>
      <w:tr w:rsidR="00E03014" w:rsidRPr="00E03014" w14:paraId="36D6D577"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6EA11C53" w14:textId="63FD297C" w:rsidR="00E03014" w:rsidRPr="00E03014" w:rsidRDefault="00E03014" w:rsidP="00E03014">
            <w:pPr>
              <w:spacing w:line="240" w:lineRule="auto"/>
              <w:jc w:val="left"/>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TOTAL NRA REVENUES </w:t>
            </w:r>
            <w:r w:rsidR="00A65C88" w:rsidRPr="00E03014">
              <w:rPr>
                <w:rFonts w:ascii="Times New Roman" w:eastAsia="Times New Roman" w:hAnsi="Times New Roman"/>
                <w:color w:val="000000"/>
                <w:sz w:val="16"/>
                <w:szCs w:val="16"/>
              </w:rPr>
              <w:t>(Including</w:t>
            </w:r>
            <w:r w:rsidRPr="00E03014">
              <w:rPr>
                <w:rFonts w:ascii="Times New Roman" w:eastAsia="Times New Roman" w:hAnsi="Times New Roman"/>
                <w:color w:val="000000"/>
                <w:sz w:val="16"/>
                <w:szCs w:val="16"/>
              </w:rPr>
              <w:t xml:space="preserve"> RUC)</w:t>
            </w:r>
          </w:p>
        </w:tc>
        <w:tc>
          <w:tcPr>
            <w:tcW w:w="0" w:type="auto"/>
            <w:noWrap/>
            <w:hideMark/>
          </w:tcPr>
          <w:p w14:paraId="35C898C2"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1,628,937 </w:t>
            </w:r>
          </w:p>
        </w:tc>
        <w:tc>
          <w:tcPr>
            <w:tcW w:w="0" w:type="auto"/>
            <w:noWrap/>
            <w:hideMark/>
          </w:tcPr>
          <w:p w14:paraId="6B992703"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1,669,108 </w:t>
            </w:r>
          </w:p>
        </w:tc>
        <w:tc>
          <w:tcPr>
            <w:tcW w:w="0" w:type="auto"/>
            <w:noWrap/>
            <w:hideMark/>
          </w:tcPr>
          <w:p w14:paraId="6D7A8471"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1,877,336 </w:t>
            </w:r>
          </w:p>
        </w:tc>
        <w:tc>
          <w:tcPr>
            <w:tcW w:w="0" w:type="auto"/>
            <w:noWrap/>
            <w:hideMark/>
          </w:tcPr>
          <w:p w14:paraId="1037C1B0"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1,871,306 </w:t>
            </w:r>
          </w:p>
        </w:tc>
        <w:tc>
          <w:tcPr>
            <w:tcW w:w="0" w:type="auto"/>
            <w:noWrap/>
            <w:hideMark/>
          </w:tcPr>
          <w:p w14:paraId="460E404C"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7,046,685 </w:t>
            </w:r>
          </w:p>
        </w:tc>
        <w:tc>
          <w:tcPr>
            <w:tcW w:w="0" w:type="auto"/>
            <w:noWrap/>
            <w:hideMark/>
          </w:tcPr>
          <w:p w14:paraId="2BC588C4"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7,787,085 </w:t>
            </w:r>
          </w:p>
        </w:tc>
        <w:tc>
          <w:tcPr>
            <w:tcW w:w="0" w:type="auto"/>
            <w:noWrap/>
            <w:hideMark/>
          </w:tcPr>
          <w:p w14:paraId="541C82EC"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 xml:space="preserve">    (740,399)</w:t>
            </w:r>
          </w:p>
        </w:tc>
        <w:tc>
          <w:tcPr>
            <w:tcW w:w="791" w:type="dxa"/>
            <w:noWrap/>
            <w:hideMark/>
          </w:tcPr>
          <w:p w14:paraId="64D768A8"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-9.5%</w:t>
            </w:r>
          </w:p>
        </w:tc>
      </w:tr>
      <w:tr w:rsidR="00E03014" w:rsidRPr="00E03014" w14:paraId="49D2B72C"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6AC8074D" w14:textId="214E0DC0" w:rsidR="00E03014" w:rsidRPr="00E03014" w:rsidRDefault="00E03014" w:rsidP="00E03014">
            <w:pPr>
              <w:spacing w:line="240" w:lineRule="auto"/>
              <w:jc w:val="left"/>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TOTAL NRA REVENUES </w:t>
            </w:r>
            <w:r w:rsidR="00A65C88" w:rsidRPr="00E03014">
              <w:rPr>
                <w:rFonts w:ascii="Times New Roman" w:eastAsia="Times New Roman" w:hAnsi="Times New Roman"/>
                <w:color w:val="000000"/>
                <w:sz w:val="16"/>
                <w:szCs w:val="16"/>
              </w:rPr>
              <w:t>(Excluding</w:t>
            </w:r>
            <w:r w:rsidRPr="00E03014">
              <w:rPr>
                <w:rFonts w:ascii="Times New Roman" w:eastAsia="Times New Roman" w:hAnsi="Times New Roman"/>
                <w:color w:val="000000"/>
                <w:sz w:val="16"/>
                <w:szCs w:val="16"/>
              </w:rPr>
              <w:t xml:space="preserve"> RUC)</w:t>
            </w:r>
          </w:p>
        </w:tc>
        <w:tc>
          <w:tcPr>
            <w:tcW w:w="0" w:type="auto"/>
            <w:noWrap/>
            <w:hideMark/>
          </w:tcPr>
          <w:p w14:paraId="16CD0358"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1,575,767 </w:t>
            </w:r>
          </w:p>
        </w:tc>
        <w:tc>
          <w:tcPr>
            <w:tcW w:w="0" w:type="auto"/>
            <w:noWrap/>
            <w:hideMark/>
          </w:tcPr>
          <w:p w14:paraId="52060FE0"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1,621,014 </w:t>
            </w:r>
          </w:p>
        </w:tc>
        <w:tc>
          <w:tcPr>
            <w:tcW w:w="0" w:type="auto"/>
            <w:noWrap/>
            <w:hideMark/>
          </w:tcPr>
          <w:p w14:paraId="4D9BD419"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1,841,302 </w:t>
            </w:r>
          </w:p>
        </w:tc>
        <w:tc>
          <w:tcPr>
            <w:tcW w:w="0" w:type="auto"/>
            <w:noWrap/>
            <w:hideMark/>
          </w:tcPr>
          <w:p w14:paraId="6E24A71C"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1,836,371 </w:t>
            </w:r>
          </w:p>
        </w:tc>
        <w:tc>
          <w:tcPr>
            <w:tcW w:w="0" w:type="auto"/>
            <w:noWrap/>
            <w:hideMark/>
          </w:tcPr>
          <w:p w14:paraId="0F2BC9D2"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6,874,454 </w:t>
            </w:r>
          </w:p>
        </w:tc>
        <w:tc>
          <w:tcPr>
            <w:tcW w:w="0" w:type="auto"/>
            <w:noWrap/>
            <w:hideMark/>
          </w:tcPr>
          <w:p w14:paraId="1DEA3F74"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7,517,275 </w:t>
            </w:r>
          </w:p>
        </w:tc>
        <w:tc>
          <w:tcPr>
            <w:tcW w:w="0" w:type="auto"/>
            <w:noWrap/>
            <w:hideMark/>
          </w:tcPr>
          <w:p w14:paraId="3E910787"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 xml:space="preserve">    (642,821)</w:t>
            </w:r>
          </w:p>
        </w:tc>
        <w:tc>
          <w:tcPr>
            <w:tcW w:w="791" w:type="dxa"/>
            <w:noWrap/>
            <w:hideMark/>
          </w:tcPr>
          <w:p w14:paraId="5CDA9D55"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-8.6%</w:t>
            </w:r>
          </w:p>
        </w:tc>
      </w:tr>
      <w:tr w:rsidR="00E03014" w:rsidRPr="00E03014" w14:paraId="5CAA5F3B"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33C9DF0A" w14:textId="77777777" w:rsidR="00E03014" w:rsidRPr="00E03014" w:rsidRDefault="00E03014" w:rsidP="00E03014">
            <w:pPr>
              <w:spacing w:line="240" w:lineRule="auto"/>
              <w:jc w:val="left"/>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DOMESTIC TAX DEPARTMENT</w:t>
            </w:r>
          </w:p>
        </w:tc>
        <w:tc>
          <w:tcPr>
            <w:tcW w:w="0" w:type="auto"/>
            <w:noWrap/>
            <w:hideMark/>
          </w:tcPr>
          <w:p w14:paraId="627E441E"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911,500 </w:t>
            </w:r>
          </w:p>
        </w:tc>
        <w:tc>
          <w:tcPr>
            <w:tcW w:w="0" w:type="auto"/>
            <w:noWrap/>
            <w:hideMark/>
          </w:tcPr>
          <w:p w14:paraId="210829A9"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987,340 </w:t>
            </w:r>
          </w:p>
        </w:tc>
        <w:tc>
          <w:tcPr>
            <w:tcW w:w="0" w:type="auto"/>
            <w:noWrap/>
            <w:hideMark/>
          </w:tcPr>
          <w:p w14:paraId="51330E69"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1,147,858 </w:t>
            </w:r>
          </w:p>
        </w:tc>
        <w:tc>
          <w:tcPr>
            <w:tcW w:w="0" w:type="auto"/>
            <w:noWrap/>
            <w:hideMark/>
          </w:tcPr>
          <w:p w14:paraId="2EBCC011"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1,142,353 </w:t>
            </w:r>
          </w:p>
        </w:tc>
        <w:tc>
          <w:tcPr>
            <w:tcW w:w="0" w:type="auto"/>
            <w:noWrap/>
            <w:hideMark/>
          </w:tcPr>
          <w:p w14:paraId="1A211190"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4,189,051 </w:t>
            </w:r>
          </w:p>
        </w:tc>
        <w:tc>
          <w:tcPr>
            <w:tcW w:w="0" w:type="auto"/>
            <w:noWrap/>
            <w:hideMark/>
          </w:tcPr>
          <w:p w14:paraId="01AB7C6F"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4,376,041 </w:t>
            </w:r>
          </w:p>
        </w:tc>
        <w:tc>
          <w:tcPr>
            <w:tcW w:w="0" w:type="auto"/>
            <w:noWrap/>
            <w:hideMark/>
          </w:tcPr>
          <w:p w14:paraId="2AD16DDD"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 xml:space="preserve">    (186,990)</w:t>
            </w:r>
          </w:p>
        </w:tc>
        <w:tc>
          <w:tcPr>
            <w:tcW w:w="791" w:type="dxa"/>
            <w:noWrap/>
            <w:hideMark/>
          </w:tcPr>
          <w:p w14:paraId="3F709253"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-4.3%</w:t>
            </w:r>
          </w:p>
        </w:tc>
      </w:tr>
      <w:tr w:rsidR="00E03014" w:rsidRPr="00E03014" w14:paraId="6E5C25DE"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0F14358D" w14:textId="77777777" w:rsidR="00E03014" w:rsidRPr="00E03014" w:rsidRDefault="00E03014" w:rsidP="00E03014">
            <w:pPr>
              <w:spacing w:line="240" w:lineRule="auto"/>
              <w:jc w:val="left"/>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Income Tax</w:t>
            </w:r>
          </w:p>
        </w:tc>
        <w:tc>
          <w:tcPr>
            <w:tcW w:w="0" w:type="auto"/>
            <w:noWrap/>
            <w:hideMark/>
          </w:tcPr>
          <w:p w14:paraId="155710E8"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610,697 </w:t>
            </w:r>
          </w:p>
        </w:tc>
        <w:tc>
          <w:tcPr>
            <w:tcW w:w="0" w:type="auto"/>
            <w:noWrap/>
            <w:hideMark/>
          </w:tcPr>
          <w:p w14:paraId="48304DFA"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695,128 </w:t>
            </w:r>
          </w:p>
        </w:tc>
        <w:tc>
          <w:tcPr>
            <w:tcW w:w="0" w:type="auto"/>
            <w:noWrap/>
            <w:hideMark/>
          </w:tcPr>
          <w:p w14:paraId="002C446B"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830,419 </w:t>
            </w:r>
          </w:p>
        </w:tc>
        <w:tc>
          <w:tcPr>
            <w:tcW w:w="0" w:type="auto"/>
            <w:noWrap/>
            <w:hideMark/>
          </w:tcPr>
          <w:p w14:paraId="3D49731F"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768,450 </w:t>
            </w:r>
          </w:p>
        </w:tc>
        <w:tc>
          <w:tcPr>
            <w:tcW w:w="0" w:type="auto"/>
            <w:noWrap/>
            <w:hideMark/>
          </w:tcPr>
          <w:p w14:paraId="45D23338"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2,904,694 </w:t>
            </w:r>
          </w:p>
        </w:tc>
        <w:tc>
          <w:tcPr>
            <w:tcW w:w="0" w:type="auto"/>
            <w:noWrap/>
            <w:hideMark/>
          </w:tcPr>
          <w:p w14:paraId="2C03D418"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2,926,280 </w:t>
            </w:r>
          </w:p>
        </w:tc>
        <w:tc>
          <w:tcPr>
            <w:tcW w:w="0" w:type="auto"/>
            <w:noWrap/>
            <w:hideMark/>
          </w:tcPr>
          <w:p w14:paraId="29EC7403"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rPr>
            </w:pPr>
            <w:r w:rsidRPr="00E03014">
              <w:rPr>
                <w:rFonts w:ascii="Times New Roman" w:eastAsia="Times New Roman" w:hAnsi="Times New Roman"/>
                <w:sz w:val="16"/>
                <w:szCs w:val="16"/>
              </w:rPr>
              <w:t xml:space="preserve">      (21,586)</w:t>
            </w:r>
          </w:p>
        </w:tc>
        <w:tc>
          <w:tcPr>
            <w:tcW w:w="791" w:type="dxa"/>
            <w:noWrap/>
            <w:hideMark/>
          </w:tcPr>
          <w:p w14:paraId="6F2B6204"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rPr>
            </w:pPr>
            <w:r w:rsidRPr="00E03014">
              <w:rPr>
                <w:rFonts w:ascii="Times New Roman" w:eastAsia="Times New Roman" w:hAnsi="Times New Roman"/>
                <w:sz w:val="16"/>
                <w:szCs w:val="16"/>
              </w:rPr>
              <w:t>-0.7%</w:t>
            </w:r>
          </w:p>
        </w:tc>
      </w:tr>
      <w:tr w:rsidR="00E03014" w:rsidRPr="00E03014" w14:paraId="25451236"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60259D93" w14:textId="2836C429" w:rsidR="00E03014" w:rsidRPr="00E03014" w:rsidRDefault="00E03014" w:rsidP="00E03014">
            <w:pPr>
              <w:spacing w:line="240" w:lineRule="auto"/>
              <w:jc w:val="left"/>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Goods and Service Tax </w:t>
            </w:r>
            <w:r w:rsidR="00A65C88" w:rsidRPr="00E03014">
              <w:rPr>
                <w:rFonts w:ascii="Times New Roman" w:eastAsia="Times New Roman" w:hAnsi="Times New Roman"/>
                <w:color w:val="000000"/>
                <w:sz w:val="16"/>
                <w:szCs w:val="16"/>
              </w:rPr>
              <w:t>(GST</w:t>
            </w:r>
            <w:r w:rsidRPr="00E03014">
              <w:rPr>
                <w:rFonts w:ascii="Times New Roman" w:eastAsia="Times New Roman" w:hAnsi="Times New Roman"/>
                <w:color w:val="000000"/>
                <w:sz w:val="16"/>
                <w:szCs w:val="16"/>
              </w:rPr>
              <w:t>)</w:t>
            </w:r>
          </w:p>
        </w:tc>
        <w:tc>
          <w:tcPr>
            <w:tcW w:w="0" w:type="auto"/>
            <w:noWrap/>
            <w:hideMark/>
          </w:tcPr>
          <w:p w14:paraId="1E1AE7D9"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300,803 </w:t>
            </w:r>
          </w:p>
        </w:tc>
        <w:tc>
          <w:tcPr>
            <w:tcW w:w="0" w:type="auto"/>
            <w:noWrap/>
            <w:hideMark/>
          </w:tcPr>
          <w:p w14:paraId="093D2256"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292,212 </w:t>
            </w:r>
          </w:p>
        </w:tc>
        <w:tc>
          <w:tcPr>
            <w:tcW w:w="0" w:type="auto"/>
            <w:noWrap/>
            <w:hideMark/>
          </w:tcPr>
          <w:p w14:paraId="095B010E"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317,439 </w:t>
            </w:r>
          </w:p>
        </w:tc>
        <w:tc>
          <w:tcPr>
            <w:tcW w:w="0" w:type="auto"/>
            <w:noWrap/>
            <w:hideMark/>
          </w:tcPr>
          <w:p w14:paraId="03443854"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373,903 </w:t>
            </w:r>
          </w:p>
        </w:tc>
        <w:tc>
          <w:tcPr>
            <w:tcW w:w="0" w:type="auto"/>
            <w:noWrap/>
            <w:hideMark/>
          </w:tcPr>
          <w:p w14:paraId="6B319181"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1,284,357 </w:t>
            </w:r>
          </w:p>
        </w:tc>
        <w:tc>
          <w:tcPr>
            <w:tcW w:w="0" w:type="auto"/>
            <w:noWrap/>
            <w:hideMark/>
          </w:tcPr>
          <w:p w14:paraId="67A7FB66"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1,449,761 </w:t>
            </w:r>
          </w:p>
        </w:tc>
        <w:tc>
          <w:tcPr>
            <w:tcW w:w="0" w:type="auto"/>
            <w:noWrap/>
            <w:hideMark/>
          </w:tcPr>
          <w:p w14:paraId="32645A70"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rPr>
            </w:pPr>
            <w:r w:rsidRPr="00E03014">
              <w:rPr>
                <w:rFonts w:ascii="Times New Roman" w:eastAsia="Times New Roman" w:hAnsi="Times New Roman"/>
                <w:sz w:val="16"/>
                <w:szCs w:val="16"/>
              </w:rPr>
              <w:t xml:space="preserve">    (165,404)</w:t>
            </w:r>
          </w:p>
        </w:tc>
        <w:tc>
          <w:tcPr>
            <w:tcW w:w="791" w:type="dxa"/>
            <w:noWrap/>
            <w:hideMark/>
          </w:tcPr>
          <w:p w14:paraId="4EEE411F"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rPr>
            </w:pPr>
            <w:r w:rsidRPr="00E03014">
              <w:rPr>
                <w:rFonts w:ascii="Times New Roman" w:eastAsia="Times New Roman" w:hAnsi="Times New Roman"/>
                <w:sz w:val="16"/>
                <w:szCs w:val="16"/>
              </w:rPr>
              <w:t>-11.4%</w:t>
            </w:r>
          </w:p>
        </w:tc>
      </w:tr>
      <w:tr w:rsidR="00E03014" w:rsidRPr="00E03014" w14:paraId="5F2C99A1"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65D87430" w14:textId="38316875" w:rsidR="00E03014" w:rsidRPr="00E03014" w:rsidRDefault="00E03014" w:rsidP="00E03014">
            <w:pPr>
              <w:spacing w:line="240" w:lineRule="auto"/>
              <w:jc w:val="left"/>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CUSTOMS SERVICE DEPARTMENT </w:t>
            </w:r>
            <w:r w:rsidR="00A65C88" w:rsidRPr="00E03014">
              <w:rPr>
                <w:rFonts w:ascii="Times New Roman" w:eastAsia="Times New Roman" w:hAnsi="Times New Roman"/>
                <w:color w:val="000000"/>
                <w:sz w:val="16"/>
                <w:szCs w:val="16"/>
              </w:rPr>
              <w:t>(CSD</w:t>
            </w:r>
            <w:r w:rsidRPr="00E03014">
              <w:rPr>
                <w:rFonts w:ascii="Times New Roman" w:eastAsia="Times New Roman" w:hAnsi="Times New Roman"/>
                <w:color w:val="000000"/>
                <w:sz w:val="16"/>
                <w:szCs w:val="16"/>
              </w:rPr>
              <w:t>)</w:t>
            </w:r>
          </w:p>
        </w:tc>
        <w:tc>
          <w:tcPr>
            <w:tcW w:w="0" w:type="auto"/>
            <w:noWrap/>
            <w:hideMark/>
          </w:tcPr>
          <w:p w14:paraId="3BEE35B9"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288,099 </w:t>
            </w:r>
          </w:p>
        </w:tc>
        <w:tc>
          <w:tcPr>
            <w:tcW w:w="0" w:type="auto"/>
            <w:noWrap/>
            <w:hideMark/>
          </w:tcPr>
          <w:p w14:paraId="3C8FBD58"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292,015 </w:t>
            </w:r>
          </w:p>
        </w:tc>
        <w:tc>
          <w:tcPr>
            <w:tcW w:w="0" w:type="auto"/>
            <w:noWrap/>
            <w:hideMark/>
          </w:tcPr>
          <w:p w14:paraId="715FA937"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343,558 </w:t>
            </w:r>
          </w:p>
        </w:tc>
        <w:tc>
          <w:tcPr>
            <w:tcW w:w="0" w:type="auto"/>
            <w:noWrap/>
            <w:hideMark/>
          </w:tcPr>
          <w:p w14:paraId="7DEB916C"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314,408 </w:t>
            </w:r>
          </w:p>
        </w:tc>
        <w:tc>
          <w:tcPr>
            <w:tcW w:w="0" w:type="auto"/>
            <w:noWrap/>
            <w:hideMark/>
          </w:tcPr>
          <w:p w14:paraId="5136D28C"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1,238,079 </w:t>
            </w:r>
          </w:p>
        </w:tc>
        <w:tc>
          <w:tcPr>
            <w:tcW w:w="0" w:type="auto"/>
            <w:noWrap/>
            <w:hideMark/>
          </w:tcPr>
          <w:p w14:paraId="3F381781"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1,547,321 </w:t>
            </w:r>
          </w:p>
        </w:tc>
        <w:tc>
          <w:tcPr>
            <w:tcW w:w="0" w:type="auto"/>
            <w:noWrap/>
            <w:hideMark/>
          </w:tcPr>
          <w:p w14:paraId="65EA971D"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 xml:space="preserve">    (309,242)</w:t>
            </w:r>
          </w:p>
        </w:tc>
        <w:tc>
          <w:tcPr>
            <w:tcW w:w="791" w:type="dxa"/>
            <w:noWrap/>
            <w:hideMark/>
          </w:tcPr>
          <w:p w14:paraId="73B418E9"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-20.0%</w:t>
            </w:r>
          </w:p>
        </w:tc>
      </w:tr>
      <w:tr w:rsidR="00E03014" w:rsidRPr="00E03014" w14:paraId="3EB24D16"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4D0EA069" w14:textId="77777777" w:rsidR="00E03014" w:rsidRPr="00E03014" w:rsidRDefault="00E03014" w:rsidP="00E03014">
            <w:pPr>
              <w:spacing w:line="240" w:lineRule="auto"/>
              <w:ind w:firstLineChars="100" w:firstLine="161"/>
              <w:jc w:val="left"/>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Import Duties</w:t>
            </w:r>
          </w:p>
        </w:tc>
        <w:tc>
          <w:tcPr>
            <w:tcW w:w="0" w:type="auto"/>
            <w:noWrap/>
            <w:hideMark/>
          </w:tcPr>
          <w:p w14:paraId="452CBDB4"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206,641 </w:t>
            </w:r>
          </w:p>
        </w:tc>
        <w:tc>
          <w:tcPr>
            <w:tcW w:w="0" w:type="auto"/>
            <w:noWrap/>
            <w:hideMark/>
          </w:tcPr>
          <w:p w14:paraId="607668E6"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201,592 </w:t>
            </w:r>
          </w:p>
        </w:tc>
        <w:tc>
          <w:tcPr>
            <w:tcW w:w="0" w:type="auto"/>
            <w:noWrap/>
            <w:hideMark/>
          </w:tcPr>
          <w:p w14:paraId="39A31679"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200,943 </w:t>
            </w:r>
          </w:p>
        </w:tc>
        <w:tc>
          <w:tcPr>
            <w:tcW w:w="0" w:type="auto"/>
            <w:noWrap/>
            <w:hideMark/>
          </w:tcPr>
          <w:p w14:paraId="40A1EE68"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239,368 </w:t>
            </w:r>
          </w:p>
        </w:tc>
        <w:tc>
          <w:tcPr>
            <w:tcW w:w="0" w:type="auto"/>
            <w:noWrap/>
            <w:hideMark/>
          </w:tcPr>
          <w:p w14:paraId="1F43EC71"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848,543 </w:t>
            </w:r>
          </w:p>
        </w:tc>
        <w:tc>
          <w:tcPr>
            <w:tcW w:w="0" w:type="auto"/>
            <w:noWrap/>
            <w:hideMark/>
          </w:tcPr>
          <w:p w14:paraId="0BD26AAB"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949,285 </w:t>
            </w:r>
          </w:p>
        </w:tc>
        <w:tc>
          <w:tcPr>
            <w:tcW w:w="0" w:type="auto"/>
            <w:noWrap/>
            <w:hideMark/>
          </w:tcPr>
          <w:p w14:paraId="2252DDC4"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rPr>
            </w:pPr>
            <w:r w:rsidRPr="00E03014">
              <w:rPr>
                <w:rFonts w:ascii="Times New Roman" w:eastAsia="Times New Roman" w:hAnsi="Times New Roman"/>
                <w:sz w:val="16"/>
                <w:szCs w:val="16"/>
              </w:rPr>
              <w:t xml:space="preserve">    (100,741)</w:t>
            </w:r>
          </w:p>
        </w:tc>
        <w:tc>
          <w:tcPr>
            <w:tcW w:w="791" w:type="dxa"/>
            <w:noWrap/>
            <w:hideMark/>
          </w:tcPr>
          <w:p w14:paraId="60127228"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rPr>
            </w:pPr>
            <w:r w:rsidRPr="00E03014">
              <w:rPr>
                <w:rFonts w:ascii="Times New Roman" w:eastAsia="Times New Roman" w:hAnsi="Times New Roman"/>
                <w:sz w:val="16"/>
                <w:szCs w:val="16"/>
              </w:rPr>
              <w:t>-10.6%</w:t>
            </w:r>
          </w:p>
        </w:tc>
      </w:tr>
      <w:tr w:rsidR="00E03014" w:rsidRPr="00E03014" w14:paraId="7FD768C0"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594415B0" w14:textId="77777777" w:rsidR="00E03014" w:rsidRPr="00E03014" w:rsidRDefault="00E03014" w:rsidP="00E03014">
            <w:pPr>
              <w:spacing w:line="240" w:lineRule="auto"/>
              <w:ind w:firstLineChars="100" w:firstLine="161"/>
              <w:jc w:val="left"/>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Excise on Petroleum</w:t>
            </w:r>
          </w:p>
        </w:tc>
        <w:tc>
          <w:tcPr>
            <w:tcW w:w="0" w:type="auto"/>
            <w:noWrap/>
            <w:hideMark/>
          </w:tcPr>
          <w:p w14:paraId="2400F2D5"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62,073 </w:t>
            </w:r>
          </w:p>
        </w:tc>
        <w:tc>
          <w:tcPr>
            <w:tcW w:w="0" w:type="auto"/>
            <w:noWrap/>
            <w:hideMark/>
          </w:tcPr>
          <w:p w14:paraId="53708C73"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76,558 </w:t>
            </w:r>
          </w:p>
        </w:tc>
        <w:tc>
          <w:tcPr>
            <w:tcW w:w="0" w:type="auto"/>
            <w:noWrap/>
            <w:hideMark/>
          </w:tcPr>
          <w:p w14:paraId="1FC90506"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125,959 </w:t>
            </w:r>
          </w:p>
        </w:tc>
        <w:tc>
          <w:tcPr>
            <w:tcW w:w="0" w:type="auto"/>
            <w:noWrap/>
            <w:hideMark/>
          </w:tcPr>
          <w:p w14:paraId="7DD28A92"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46,106 </w:t>
            </w:r>
          </w:p>
        </w:tc>
        <w:tc>
          <w:tcPr>
            <w:tcW w:w="0" w:type="auto"/>
            <w:noWrap/>
            <w:hideMark/>
          </w:tcPr>
          <w:p w14:paraId="111B099D"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310,696 </w:t>
            </w:r>
          </w:p>
        </w:tc>
        <w:tc>
          <w:tcPr>
            <w:tcW w:w="0" w:type="auto"/>
            <w:noWrap/>
            <w:hideMark/>
          </w:tcPr>
          <w:p w14:paraId="554C8834"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516,010 </w:t>
            </w:r>
          </w:p>
        </w:tc>
        <w:tc>
          <w:tcPr>
            <w:tcW w:w="0" w:type="auto"/>
            <w:noWrap/>
            <w:hideMark/>
          </w:tcPr>
          <w:p w14:paraId="74120742"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rPr>
            </w:pPr>
            <w:r w:rsidRPr="00E03014">
              <w:rPr>
                <w:rFonts w:ascii="Times New Roman" w:eastAsia="Times New Roman" w:hAnsi="Times New Roman"/>
                <w:sz w:val="16"/>
                <w:szCs w:val="16"/>
              </w:rPr>
              <w:t xml:space="preserve">    (205,313)</w:t>
            </w:r>
          </w:p>
        </w:tc>
        <w:tc>
          <w:tcPr>
            <w:tcW w:w="791" w:type="dxa"/>
            <w:noWrap/>
            <w:hideMark/>
          </w:tcPr>
          <w:p w14:paraId="72AD5D0B"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rPr>
            </w:pPr>
            <w:r w:rsidRPr="00E03014">
              <w:rPr>
                <w:rFonts w:ascii="Times New Roman" w:eastAsia="Times New Roman" w:hAnsi="Times New Roman"/>
                <w:sz w:val="16"/>
                <w:szCs w:val="16"/>
              </w:rPr>
              <w:t>-39.8%</w:t>
            </w:r>
          </w:p>
        </w:tc>
      </w:tr>
      <w:tr w:rsidR="00E03014" w:rsidRPr="00E03014" w14:paraId="49B061C8"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05DA9466" w14:textId="77777777" w:rsidR="00E03014" w:rsidRPr="00E03014" w:rsidRDefault="00E03014" w:rsidP="00E03014">
            <w:pPr>
              <w:spacing w:line="240" w:lineRule="auto"/>
              <w:ind w:firstLineChars="100" w:firstLine="161"/>
              <w:jc w:val="left"/>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Other Excise</w:t>
            </w:r>
          </w:p>
        </w:tc>
        <w:tc>
          <w:tcPr>
            <w:tcW w:w="0" w:type="auto"/>
            <w:noWrap/>
            <w:hideMark/>
          </w:tcPr>
          <w:p w14:paraId="2D7BD044"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19,385 </w:t>
            </w:r>
          </w:p>
        </w:tc>
        <w:tc>
          <w:tcPr>
            <w:tcW w:w="0" w:type="auto"/>
            <w:noWrap/>
            <w:hideMark/>
          </w:tcPr>
          <w:p w14:paraId="01F197EC"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13,865 </w:t>
            </w:r>
          </w:p>
        </w:tc>
        <w:tc>
          <w:tcPr>
            <w:tcW w:w="0" w:type="auto"/>
            <w:noWrap/>
            <w:hideMark/>
          </w:tcPr>
          <w:p w14:paraId="2C5DFCB2"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16,656 </w:t>
            </w:r>
          </w:p>
        </w:tc>
        <w:tc>
          <w:tcPr>
            <w:tcW w:w="0" w:type="auto"/>
            <w:noWrap/>
            <w:hideMark/>
          </w:tcPr>
          <w:p w14:paraId="2CB408D7"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28,934 </w:t>
            </w:r>
          </w:p>
        </w:tc>
        <w:tc>
          <w:tcPr>
            <w:tcW w:w="0" w:type="auto"/>
            <w:noWrap/>
            <w:hideMark/>
          </w:tcPr>
          <w:p w14:paraId="11C3F839"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78,840 </w:t>
            </w:r>
          </w:p>
        </w:tc>
        <w:tc>
          <w:tcPr>
            <w:tcW w:w="0" w:type="auto"/>
            <w:noWrap/>
            <w:hideMark/>
          </w:tcPr>
          <w:p w14:paraId="26166D90"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82,027 </w:t>
            </w:r>
          </w:p>
        </w:tc>
        <w:tc>
          <w:tcPr>
            <w:tcW w:w="0" w:type="auto"/>
            <w:noWrap/>
            <w:hideMark/>
          </w:tcPr>
          <w:p w14:paraId="4575F265"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rPr>
            </w:pPr>
            <w:r w:rsidRPr="00E03014">
              <w:rPr>
                <w:rFonts w:ascii="Times New Roman" w:eastAsia="Times New Roman" w:hAnsi="Times New Roman"/>
                <w:sz w:val="16"/>
                <w:szCs w:val="16"/>
              </w:rPr>
              <w:t xml:space="preserve">        (3,187)</w:t>
            </w:r>
          </w:p>
        </w:tc>
        <w:tc>
          <w:tcPr>
            <w:tcW w:w="791" w:type="dxa"/>
            <w:noWrap/>
            <w:hideMark/>
          </w:tcPr>
          <w:p w14:paraId="58E0F8A9"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rPr>
            </w:pPr>
            <w:r w:rsidRPr="00E03014">
              <w:rPr>
                <w:rFonts w:ascii="Times New Roman" w:eastAsia="Times New Roman" w:hAnsi="Times New Roman"/>
                <w:sz w:val="16"/>
                <w:szCs w:val="16"/>
              </w:rPr>
              <w:t>-3.9%</w:t>
            </w:r>
          </w:p>
        </w:tc>
      </w:tr>
      <w:tr w:rsidR="00E03014" w:rsidRPr="00E03014" w14:paraId="4553F328"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0EA40F33" w14:textId="77777777" w:rsidR="00E03014" w:rsidRPr="00E03014" w:rsidRDefault="00E03014" w:rsidP="00E03014">
            <w:pPr>
              <w:spacing w:line="240" w:lineRule="auto"/>
              <w:jc w:val="left"/>
              <w:rPr>
                <w:rFonts w:ascii="Times New Roman" w:eastAsia="Times New Roman" w:hAnsi="Times New Roman"/>
                <w:color w:val="000000"/>
                <w:sz w:val="16"/>
                <w:szCs w:val="16"/>
              </w:rPr>
            </w:pPr>
            <w:proofErr w:type="gramStart"/>
            <w:r w:rsidRPr="00E03014">
              <w:rPr>
                <w:rFonts w:ascii="Times New Roman" w:eastAsia="Times New Roman" w:hAnsi="Times New Roman"/>
                <w:color w:val="000000"/>
                <w:sz w:val="16"/>
                <w:szCs w:val="16"/>
              </w:rPr>
              <w:t>NON TAX</w:t>
            </w:r>
            <w:proofErr w:type="gramEnd"/>
            <w:r w:rsidRPr="00E03014">
              <w:rPr>
                <w:rFonts w:ascii="Times New Roman" w:eastAsia="Times New Roman" w:hAnsi="Times New Roman"/>
                <w:color w:val="000000"/>
                <w:sz w:val="16"/>
                <w:szCs w:val="16"/>
              </w:rPr>
              <w:t xml:space="preserve"> REVENUE DEPARTMENT (NTR)</w:t>
            </w:r>
          </w:p>
        </w:tc>
        <w:tc>
          <w:tcPr>
            <w:tcW w:w="0" w:type="auto"/>
            <w:noWrap/>
            <w:hideMark/>
          </w:tcPr>
          <w:p w14:paraId="46E7CD53"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376,168 </w:t>
            </w:r>
          </w:p>
        </w:tc>
        <w:tc>
          <w:tcPr>
            <w:tcW w:w="0" w:type="auto"/>
            <w:noWrap/>
            <w:hideMark/>
          </w:tcPr>
          <w:p w14:paraId="45BCD307"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341,659 </w:t>
            </w:r>
          </w:p>
        </w:tc>
        <w:tc>
          <w:tcPr>
            <w:tcW w:w="0" w:type="auto"/>
            <w:noWrap/>
            <w:hideMark/>
          </w:tcPr>
          <w:p w14:paraId="77F88044"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349,886 </w:t>
            </w:r>
          </w:p>
        </w:tc>
        <w:tc>
          <w:tcPr>
            <w:tcW w:w="0" w:type="auto"/>
            <w:noWrap/>
            <w:hideMark/>
          </w:tcPr>
          <w:p w14:paraId="135DB0E9"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379,611 </w:t>
            </w:r>
          </w:p>
        </w:tc>
        <w:tc>
          <w:tcPr>
            <w:tcW w:w="0" w:type="auto"/>
            <w:noWrap/>
            <w:hideMark/>
          </w:tcPr>
          <w:p w14:paraId="0C588608"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1,447,323 </w:t>
            </w:r>
          </w:p>
        </w:tc>
        <w:tc>
          <w:tcPr>
            <w:tcW w:w="0" w:type="auto"/>
            <w:noWrap/>
            <w:hideMark/>
          </w:tcPr>
          <w:p w14:paraId="3B1A9AE7"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1,593,912 </w:t>
            </w:r>
          </w:p>
        </w:tc>
        <w:tc>
          <w:tcPr>
            <w:tcW w:w="0" w:type="auto"/>
            <w:noWrap/>
            <w:hideMark/>
          </w:tcPr>
          <w:p w14:paraId="06B55A07"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 xml:space="preserve">    (146,589)</w:t>
            </w:r>
          </w:p>
        </w:tc>
        <w:tc>
          <w:tcPr>
            <w:tcW w:w="791" w:type="dxa"/>
            <w:noWrap/>
            <w:hideMark/>
          </w:tcPr>
          <w:p w14:paraId="764B644E"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-9.2%</w:t>
            </w:r>
          </w:p>
        </w:tc>
      </w:tr>
      <w:tr w:rsidR="00E03014" w:rsidRPr="00E03014" w14:paraId="45264BA0"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40A411E2" w14:textId="77777777" w:rsidR="00E03014" w:rsidRPr="00E03014" w:rsidRDefault="00E03014" w:rsidP="00E03014">
            <w:pPr>
              <w:spacing w:line="240" w:lineRule="auto"/>
              <w:jc w:val="left"/>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Mines Revenue</w:t>
            </w:r>
          </w:p>
        </w:tc>
        <w:tc>
          <w:tcPr>
            <w:tcW w:w="0" w:type="auto"/>
            <w:noWrap/>
            <w:hideMark/>
          </w:tcPr>
          <w:p w14:paraId="714EE876"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64,021 </w:t>
            </w:r>
          </w:p>
        </w:tc>
        <w:tc>
          <w:tcPr>
            <w:tcW w:w="0" w:type="auto"/>
            <w:noWrap/>
            <w:hideMark/>
          </w:tcPr>
          <w:p w14:paraId="7B38DD24"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122,961 </w:t>
            </w:r>
          </w:p>
        </w:tc>
        <w:tc>
          <w:tcPr>
            <w:tcW w:w="0" w:type="auto"/>
            <w:noWrap/>
            <w:hideMark/>
          </w:tcPr>
          <w:p w14:paraId="4F88AC08"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108,174 </w:t>
            </w:r>
          </w:p>
        </w:tc>
        <w:tc>
          <w:tcPr>
            <w:tcW w:w="0" w:type="auto"/>
            <w:noWrap/>
            <w:hideMark/>
          </w:tcPr>
          <w:p w14:paraId="493C95C8"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119,136 </w:t>
            </w:r>
          </w:p>
        </w:tc>
        <w:tc>
          <w:tcPr>
            <w:tcW w:w="0" w:type="auto"/>
            <w:noWrap/>
            <w:hideMark/>
          </w:tcPr>
          <w:p w14:paraId="344B028F"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414,292 </w:t>
            </w:r>
          </w:p>
        </w:tc>
        <w:tc>
          <w:tcPr>
            <w:tcW w:w="0" w:type="auto"/>
            <w:noWrap/>
            <w:hideMark/>
          </w:tcPr>
          <w:p w14:paraId="3CADE6D1"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395,846 </w:t>
            </w:r>
          </w:p>
        </w:tc>
        <w:tc>
          <w:tcPr>
            <w:tcW w:w="0" w:type="auto"/>
            <w:noWrap/>
            <w:hideMark/>
          </w:tcPr>
          <w:p w14:paraId="767CA29C"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 xml:space="preserve">       18,446 </w:t>
            </w:r>
          </w:p>
        </w:tc>
        <w:tc>
          <w:tcPr>
            <w:tcW w:w="791" w:type="dxa"/>
            <w:noWrap/>
            <w:hideMark/>
          </w:tcPr>
          <w:p w14:paraId="26772DD7"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4.7%</w:t>
            </w:r>
          </w:p>
        </w:tc>
      </w:tr>
      <w:tr w:rsidR="00E03014" w:rsidRPr="00E03014" w14:paraId="22EB09D7"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69300DA4" w14:textId="77777777" w:rsidR="00E03014" w:rsidRPr="00E03014" w:rsidRDefault="00E03014" w:rsidP="00E03014">
            <w:pPr>
              <w:spacing w:line="240" w:lineRule="auto"/>
              <w:jc w:val="left"/>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Other Departments</w:t>
            </w:r>
          </w:p>
        </w:tc>
        <w:tc>
          <w:tcPr>
            <w:tcW w:w="0" w:type="auto"/>
            <w:noWrap/>
            <w:hideMark/>
          </w:tcPr>
          <w:p w14:paraId="73884895"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312,147 </w:t>
            </w:r>
          </w:p>
        </w:tc>
        <w:tc>
          <w:tcPr>
            <w:tcW w:w="0" w:type="auto"/>
            <w:noWrap/>
            <w:hideMark/>
          </w:tcPr>
          <w:p w14:paraId="4E556D92"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218,698 </w:t>
            </w:r>
          </w:p>
        </w:tc>
        <w:tc>
          <w:tcPr>
            <w:tcW w:w="0" w:type="auto"/>
            <w:noWrap/>
            <w:hideMark/>
          </w:tcPr>
          <w:p w14:paraId="3E59542E"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241,711 </w:t>
            </w:r>
          </w:p>
        </w:tc>
        <w:tc>
          <w:tcPr>
            <w:tcW w:w="0" w:type="auto"/>
            <w:noWrap/>
            <w:hideMark/>
          </w:tcPr>
          <w:p w14:paraId="03FF2FE6"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260,475 </w:t>
            </w:r>
          </w:p>
        </w:tc>
        <w:tc>
          <w:tcPr>
            <w:tcW w:w="0" w:type="auto"/>
            <w:noWrap/>
            <w:hideMark/>
          </w:tcPr>
          <w:p w14:paraId="6FDD2D18"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1,033,031 </w:t>
            </w:r>
          </w:p>
        </w:tc>
        <w:tc>
          <w:tcPr>
            <w:tcW w:w="0" w:type="auto"/>
            <w:noWrap/>
            <w:hideMark/>
          </w:tcPr>
          <w:p w14:paraId="1317E7CF"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1,198,066 </w:t>
            </w:r>
          </w:p>
        </w:tc>
        <w:tc>
          <w:tcPr>
            <w:tcW w:w="0" w:type="auto"/>
            <w:noWrap/>
            <w:hideMark/>
          </w:tcPr>
          <w:p w14:paraId="1724ADDE"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 xml:space="preserve">    (165,035)</w:t>
            </w:r>
          </w:p>
        </w:tc>
        <w:tc>
          <w:tcPr>
            <w:tcW w:w="791" w:type="dxa"/>
            <w:noWrap/>
            <w:hideMark/>
          </w:tcPr>
          <w:p w14:paraId="752EE3EE"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-13.8%</w:t>
            </w:r>
          </w:p>
        </w:tc>
      </w:tr>
      <w:tr w:rsidR="00E03014" w:rsidRPr="00E03014" w14:paraId="32083E9E"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2DE531A2" w14:textId="77777777" w:rsidR="00E03014" w:rsidRPr="00E03014" w:rsidRDefault="00E03014" w:rsidP="00E03014">
            <w:pPr>
              <w:spacing w:line="240" w:lineRule="auto"/>
              <w:ind w:firstLineChars="100" w:firstLine="161"/>
              <w:jc w:val="left"/>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Royalty on Fisheries etc</w:t>
            </w:r>
          </w:p>
        </w:tc>
        <w:tc>
          <w:tcPr>
            <w:tcW w:w="0" w:type="auto"/>
            <w:noWrap/>
            <w:hideMark/>
          </w:tcPr>
          <w:p w14:paraId="4CADD3FD"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9,386 </w:t>
            </w:r>
          </w:p>
        </w:tc>
        <w:tc>
          <w:tcPr>
            <w:tcW w:w="0" w:type="auto"/>
            <w:noWrap/>
            <w:hideMark/>
          </w:tcPr>
          <w:p w14:paraId="43AA7D55"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39,501 </w:t>
            </w:r>
          </w:p>
        </w:tc>
        <w:tc>
          <w:tcPr>
            <w:tcW w:w="0" w:type="auto"/>
            <w:noWrap/>
            <w:hideMark/>
          </w:tcPr>
          <w:p w14:paraId="7E96F958"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15,434 </w:t>
            </w:r>
          </w:p>
        </w:tc>
        <w:tc>
          <w:tcPr>
            <w:tcW w:w="0" w:type="auto"/>
            <w:noWrap/>
            <w:hideMark/>
          </w:tcPr>
          <w:p w14:paraId="00E8B283"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36,441 </w:t>
            </w:r>
          </w:p>
        </w:tc>
        <w:tc>
          <w:tcPr>
            <w:tcW w:w="0" w:type="auto"/>
            <w:noWrap/>
            <w:hideMark/>
          </w:tcPr>
          <w:p w14:paraId="7A1503B5"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100,762 </w:t>
            </w:r>
          </w:p>
        </w:tc>
        <w:tc>
          <w:tcPr>
            <w:tcW w:w="0" w:type="auto"/>
            <w:noWrap/>
            <w:hideMark/>
          </w:tcPr>
          <w:p w14:paraId="133C38D5"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102,894 </w:t>
            </w:r>
          </w:p>
        </w:tc>
        <w:tc>
          <w:tcPr>
            <w:tcW w:w="0" w:type="auto"/>
            <w:noWrap/>
            <w:hideMark/>
          </w:tcPr>
          <w:p w14:paraId="085D0EFC"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rPr>
            </w:pPr>
            <w:r w:rsidRPr="00E03014">
              <w:rPr>
                <w:rFonts w:ascii="Times New Roman" w:eastAsia="Times New Roman" w:hAnsi="Times New Roman"/>
                <w:sz w:val="16"/>
                <w:szCs w:val="16"/>
              </w:rPr>
              <w:t xml:space="preserve">        (2,132)</w:t>
            </w:r>
          </w:p>
        </w:tc>
        <w:tc>
          <w:tcPr>
            <w:tcW w:w="791" w:type="dxa"/>
            <w:noWrap/>
            <w:hideMark/>
          </w:tcPr>
          <w:p w14:paraId="75149796"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rPr>
            </w:pPr>
            <w:r w:rsidRPr="00E03014">
              <w:rPr>
                <w:rFonts w:ascii="Times New Roman" w:eastAsia="Times New Roman" w:hAnsi="Times New Roman"/>
                <w:sz w:val="16"/>
                <w:szCs w:val="16"/>
              </w:rPr>
              <w:t>-2.1%</w:t>
            </w:r>
          </w:p>
        </w:tc>
      </w:tr>
      <w:tr w:rsidR="00E03014" w:rsidRPr="00E03014" w14:paraId="05650688"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0157073F" w14:textId="7D1E8E81" w:rsidR="00E03014" w:rsidRPr="00E03014" w:rsidRDefault="00E03014" w:rsidP="00E03014">
            <w:pPr>
              <w:spacing w:line="240" w:lineRule="auto"/>
              <w:ind w:firstLineChars="100" w:firstLine="161"/>
              <w:jc w:val="left"/>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Parastatals </w:t>
            </w:r>
            <w:r w:rsidR="00A65C88" w:rsidRPr="00E03014">
              <w:rPr>
                <w:rFonts w:ascii="Times New Roman" w:eastAsia="Times New Roman" w:hAnsi="Times New Roman"/>
                <w:color w:val="000000"/>
                <w:sz w:val="16"/>
                <w:szCs w:val="16"/>
              </w:rPr>
              <w:t>(Cargo</w:t>
            </w:r>
            <w:r w:rsidRPr="00E03014">
              <w:rPr>
                <w:rFonts w:ascii="Times New Roman" w:eastAsia="Times New Roman" w:hAnsi="Times New Roman"/>
                <w:color w:val="000000"/>
                <w:sz w:val="16"/>
                <w:szCs w:val="16"/>
              </w:rPr>
              <w:t xml:space="preserve"> Tracking/Bollore)</w:t>
            </w:r>
          </w:p>
        </w:tc>
        <w:tc>
          <w:tcPr>
            <w:tcW w:w="0" w:type="auto"/>
            <w:noWrap/>
            <w:hideMark/>
          </w:tcPr>
          <w:p w14:paraId="02BDB92F"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96,005 </w:t>
            </w:r>
          </w:p>
        </w:tc>
        <w:tc>
          <w:tcPr>
            <w:tcW w:w="0" w:type="auto"/>
            <w:noWrap/>
            <w:hideMark/>
          </w:tcPr>
          <w:p w14:paraId="4375E384"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24,930 </w:t>
            </w:r>
          </w:p>
        </w:tc>
        <w:tc>
          <w:tcPr>
            <w:tcW w:w="0" w:type="auto"/>
            <w:noWrap/>
            <w:hideMark/>
          </w:tcPr>
          <w:p w14:paraId="1CA62112"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23,848 </w:t>
            </w:r>
          </w:p>
        </w:tc>
        <w:tc>
          <w:tcPr>
            <w:tcW w:w="0" w:type="auto"/>
            <w:noWrap/>
            <w:hideMark/>
          </w:tcPr>
          <w:p w14:paraId="2C4F802A"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31,550 </w:t>
            </w:r>
          </w:p>
        </w:tc>
        <w:tc>
          <w:tcPr>
            <w:tcW w:w="0" w:type="auto"/>
            <w:noWrap/>
            <w:hideMark/>
          </w:tcPr>
          <w:p w14:paraId="00F48FD2"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176,332 </w:t>
            </w:r>
          </w:p>
        </w:tc>
        <w:tc>
          <w:tcPr>
            <w:tcW w:w="0" w:type="auto"/>
            <w:noWrap/>
            <w:hideMark/>
          </w:tcPr>
          <w:p w14:paraId="413E267C"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141,656 </w:t>
            </w:r>
          </w:p>
        </w:tc>
        <w:tc>
          <w:tcPr>
            <w:tcW w:w="0" w:type="auto"/>
            <w:noWrap/>
            <w:hideMark/>
          </w:tcPr>
          <w:p w14:paraId="0857298F"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rPr>
            </w:pPr>
            <w:r w:rsidRPr="00E03014">
              <w:rPr>
                <w:rFonts w:ascii="Times New Roman" w:eastAsia="Times New Roman" w:hAnsi="Times New Roman"/>
                <w:sz w:val="16"/>
                <w:szCs w:val="16"/>
              </w:rPr>
              <w:t xml:space="preserve">       34,676 </w:t>
            </w:r>
          </w:p>
        </w:tc>
        <w:tc>
          <w:tcPr>
            <w:tcW w:w="791" w:type="dxa"/>
            <w:noWrap/>
            <w:hideMark/>
          </w:tcPr>
          <w:p w14:paraId="12E20EF8"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rPr>
            </w:pPr>
            <w:r w:rsidRPr="00E03014">
              <w:rPr>
                <w:rFonts w:ascii="Times New Roman" w:eastAsia="Times New Roman" w:hAnsi="Times New Roman"/>
                <w:sz w:val="16"/>
                <w:szCs w:val="16"/>
              </w:rPr>
              <w:t>24.5%</w:t>
            </w:r>
          </w:p>
        </w:tc>
      </w:tr>
      <w:tr w:rsidR="00E03014" w:rsidRPr="00E03014" w14:paraId="20ADBE5A"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0FB838FF" w14:textId="77777777" w:rsidR="00E03014" w:rsidRPr="00E03014" w:rsidRDefault="00E03014" w:rsidP="00E03014">
            <w:pPr>
              <w:spacing w:line="240" w:lineRule="auto"/>
              <w:ind w:firstLineChars="100" w:firstLine="161"/>
              <w:jc w:val="left"/>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Other Revenues</w:t>
            </w:r>
          </w:p>
        </w:tc>
        <w:tc>
          <w:tcPr>
            <w:tcW w:w="0" w:type="auto"/>
            <w:noWrap/>
            <w:hideMark/>
          </w:tcPr>
          <w:p w14:paraId="296F3AD9"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206,756 </w:t>
            </w:r>
          </w:p>
        </w:tc>
        <w:tc>
          <w:tcPr>
            <w:tcW w:w="0" w:type="auto"/>
            <w:noWrap/>
            <w:hideMark/>
          </w:tcPr>
          <w:p w14:paraId="2B3150C1"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154,267 </w:t>
            </w:r>
          </w:p>
        </w:tc>
        <w:tc>
          <w:tcPr>
            <w:tcW w:w="0" w:type="auto"/>
            <w:noWrap/>
            <w:hideMark/>
          </w:tcPr>
          <w:p w14:paraId="1DF3BF40"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202,430 </w:t>
            </w:r>
          </w:p>
        </w:tc>
        <w:tc>
          <w:tcPr>
            <w:tcW w:w="0" w:type="auto"/>
            <w:noWrap/>
            <w:hideMark/>
          </w:tcPr>
          <w:p w14:paraId="2AFCCA80"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192,484 </w:t>
            </w:r>
          </w:p>
        </w:tc>
        <w:tc>
          <w:tcPr>
            <w:tcW w:w="0" w:type="auto"/>
            <w:noWrap/>
            <w:hideMark/>
          </w:tcPr>
          <w:p w14:paraId="3EF15895"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755,937 </w:t>
            </w:r>
          </w:p>
        </w:tc>
        <w:tc>
          <w:tcPr>
            <w:tcW w:w="0" w:type="auto"/>
            <w:noWrap/>
            <w:hideMark/>
          </w:tcPr>
          <w:p w14:paraId="4BE01BED"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 xml:space="preserve">    953,516 </w:t>
            </w:r>
          </w:p>
        </w:tc>
        <w:tc>
          <w:tcPr>
            <w:tcW w:w="0" w:type="auto"/>
            <w:noWrap/>
            <w:hideMark/>
          </w:tcPr>
          <w:p w14:paraId="6F9C3E18"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rPr>
            </w:pPr>
            <w:r w:rsidRPr="00E03014">
              <w:rPr>
                <w:rFonts w:ascii="Times New Roman" w:eastAsia="Times New Roman" w:hAnsi="Times New Roman"/>
                <w:sz w:val="16"/>
                <w:szCs w:val="16"/>
              </w:rPr>
              <w:t xml:space="preserve">    (197,579)</w:t>
            </w:r>
          </w:p>
        </w:tc>
        <w:tc>
          <w:tcPr>
            <w:tcW w:w="791" w:type="dxa"/>
            <w:noWrap/>
            <w:hideMark/>
          </w:tcPr>
          <w:p w14:paraId="5807073E"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rPr>
            </w:pPr>
            <w:r w:rsidRPr="00E03014">
              <w:rPr>
                <w:rFonts w:ascii="Times New Roman" w:eastAsia="Times New Roman" w:hAnsi="Times New Roman"/>
                <w:sz w:val="16"/>
                <w:szCs w:val="16"/>
              </w:rPr>
              <w:t>-20.7%</w:t>
            </w:r>
          </w:p>
        </w:tc>
      </w:tr>
      <w:tr w:rsidR="00E03014" w:rsidRPr="00E03014" w14:paraId="5BAB0835"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446C3A98" w14:textId="77777777" w:rsidR="00E03014" w:rsidRPr="00E03014" w:rsidRDefault="00E03014" w:rsidP="00E03014">
            <w:pPr>
              <w:spacing w:line="240" w:lineRule="auto"/>
              <w:ind w:firstLineChars="200" w:firstLine="321"/>
              <w:jc w:val="left"/>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o/w TSA</w:t>
            </w:r>
          </w:p>
        </w:tc>
        <w:tc>
          <w:tcPr>
            <w:tcW w:w="0" w:type="auto"/>
            <w:noWrap/>
            <w:hideMark/>
          </w:tcPr>
          <w:p w14:paraId="0710A008"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126,063 </w:t>
            </w:r>
          </w:p>
        </w:tc>
        <w:tc>
          <w:tcPr>
            <w:tcW w:w="0" w:type="auto"/>
            <w:noWrap/>
            <w:hideMark/>
          </w:tcPr>
          <w:p w14:paraId="23D7F8F9"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126,445 </w:t>
            </w:r>
          </w:p>
        </w:tc>
        <w:tc>
          <w:tcPr>
            <w:tcW w:w="0" w:type="auto"/>
            <w:noWrap/>
            <w:hideMark/>
          </w:tcPr>
          <w:p w14:paraId="2F77266D"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188,362 </w:t>
            </w:r>
          </w:p>
        </w:tc>
        <w:tc>
          <w:tcPr>
            <w:tcW w:w="0" w:type="auto"/>
            <w:noWrap/>
            <w:hideMark/>
          </w:tcPr>
          <w:p w14:paraId="0909DF65"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172,402 </w:t>
            </w:r>
          </w:p>
        </w:tc>
        <w:tc>
          <w:tcPr>
            <w:tcW w:w="0" w:type="auto"/>
            <w:noWrap/>
            <w:hideMark/>
          </w:tcPr>
          <w:p w14:paraId="5ACBD738"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613,272 </w:t>
            </w:r>
          </w:p>
        </w:tc>
        <w:tc>
          <w:tcPr>
            <w:tcW w:w="0" w:type="auto"/>
            <w:noWrap/>
            <w:hideMark/>
          </w:tcPr>
          <w:p w14:paraId="590C5BA7"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459,631 </w:t>
            </w:r>
          </w:p>
        </w:tc>
        <w:tc>
          <w:tcPr>
            <w:tcW w:w="0" w:type="auto"/>
            <w:noWrap/>
            <w:hideMark/>
          </w:tcPr>
          <w:p w14:paraId="4A250D7A"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sz w:val="16"/>
                <w:szCs w:val="16"/>
              </w:rPr>
            </w:pPr>
            <w:r w:rsidRPr="00E03014">
              <w:rPr>
                <w:rFonts w:ascii="Times New Roman" w:eastAsia="Times New Roman" w:hAnsi="Times New Roman"/>
                <w:i/>
                <w:iCs/>
                <w:sz w:val="16"/>
                <w:szCs w:val="16"/>
              </w:rPr>
              <w:t xml:space="preserve">     153,641 </w:t>
            </w:r>
          </w:p>
        </w:tc>
        <w:tc>
          <w:tcPr>
            <w:tcW w:w="791" w:type="dxa"/>
            <w:noWrap/>
            <w:hideMark/>
          </w:tcPr>
          <w:p w14:paraId="0A82EC2C"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sz w:val="16"/>
                <w:szCs w:val="16"/>
              </w:rPr>
            </w:pPr>
            <w:r w:rsidRPr="00E03014">
              <w:rPr>
                <w:rFonts w:ascii="Times New Roman" w:eastAsia="Times New Roman" w:hAnsi="Times New Roman"/>
                <w:i/>
                <w:iCs/>
                <w:sz w:val="16"/>
                <w:szCs w:val="16"/>
              </w:rPr>
              <w:t>33.4%</w:t>
            </w:r>
          </w:p>
        </w:tc>
      </w:tr>
      <w:tr w:rsidR="00E03014" w:rsidRPr="00E03014" w14:paraId="1DEFD64C"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0" w:type="auto"/>
            <w:noWrap/>
            <w:hideMark/>
          </w:tcPr>
          <w:p w14:paraId="4B66CA3F" w14:textId="77777777" w:rsidR="00E03014" w:rsidRPr="00E03014" w:rsidRDefault="00E03014" w:rsidP="00E03014">
            <w:pPr>
              <w:spacing w:line="240" w:lineRule="auto"/>
              <w:ind w:firstLineChars="200" w:firstLine="321"/>
              <w:jc w:val="left"/>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o/w Timber</w:t>
            </w:r>
          </w:p>
        </w:tc>
        <w:tc>
          <w:tcPr>
            <w:tcW w:w="0" w:type="auto"/>
            <w:noWrap/>
            <w:hideMark/>
          </w:tcPr>
          <w:p w14:paraId="4169A96E"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58,830 </w:t>
            </w:r>
          </w:p>
        </w:tc>
        <w:tc>
          <w:tcPr>
            <w:tcW w:w="0" w:type="auto"/>
            <w:noWrap/>
            <w:hideMark/>
          </w:tcPr>
          <w:p w14:paraId="0D95B2F0"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 </w:t>
            </w:r>
          </w:p>
        </w:tc>
        <w:tc>
          <w:tcPr>
            <w:tcW w:w="0" w:type="auto"/>
            <w:noWrap/>
            <w:hideMark/>
          </w:tcPr>
          <w:p w14:paraId="42FE49B9"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 </w:t>
            </w:r>
          </w:p>
        </w:tc>
        <w:tc>
          <w:tcPr>
            <w:tcW w:w="0" w:type="auto"/>
            <w:noWrap/>
            <w:hideMark/>
          </w:tcPr>
          <w:p w14:paraId="305F2250"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 </w:t>
            </w:r>
          </w:p>
        </w:tc>
        <w:tc>
          <w:tcPr>
            <w:tcW w:w="0" w:type="auto"/>
            <w:noWrap/>
            <w:hideMark/>
          </w:tcPr>
          <w:p w14:paraId="4CB42450"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58,830 </w:t>
            </w:r>
          </w:p>
        </w:tc>
        <w:tc>
          <w:tcPr>
            <w:tcW w:w="0" w:type="auto"/>
            <w:noWrap/>
            <w:hideMark/>
          </w:tcPr>
          <w:p w14:paraId="35E1F551"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349,134 </w:t>
            </w:r>
          </w:p>
        </w:tc>
        <w:tc>
          <w:tcPr>
            <w:tcW w:w="0" w:type="auto"/>
            <w:noWrap/>
            <w:hideMark/>
          </w:tcPr>
          <w:p w14:paraId="388CFF9D"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sz w:val="16"/>
                <w:szCs w:val="16"/>
              </w:rPr>
            </w:pPr>
            <w:r w:rsidRPr="00E03014">
              <w:rPr>
                <w:rFonts w:ascii="Times New Roman" w:eastAsia="Times New Roman" w:hAnsi="Times New Roman"/>
                <w:i/>
                <w:iCs/>
                <w:sz w:val="16"/>
                <w:szCs w:val="16"/>
              </w:rPr>
              <w:t xml:space="preserve">    (290,304)</w:t>
            </w:r>
          </w:p>
        </w:tc>
        <w:tc>
          <w:tcPr>
            <w:tcW w:w="791" w:type="dxa"/>
            <w:noWrap/>
            <w:hideMark/>
          </w:tcPr>
          <w:p w14:paraId="1437060D"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sz w:val="16"/>
                <w:szCs w:val="16"/>
              </w:rPr>
            </w:pPr>
            <w:r w:rsidRPr="00E03014">
              <w:rPr>
                <w:rFonts w:ascii="Times New Roman" w:eastAsia="Times New Roman" w:hAnsi="Times New Roman"/>
                <w:i/>
                <w:iCs/>
                <w:sz w:val="16"/>
                <w:szCs w:val="16"/>
              </w:rPr>
              <w:t>-83.1%</w:t>
            </w:r>
          </w:p>
        </w:tc>
      </w:tr>
      <w:tr w:rsidR="00E03014" w:rsidRPr="00E03014" w14:paraId="4FB9BBD5" w14:textId="77777777" w:rsidTr="00E030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14FCF695" w14:textId="77777777" w:rsidR="00E03014" w:rsidRPr="00E03014" w:rsidRDefault="00E03014" w:rsidP="00E03014">
            <w:pPr>
              <w:spacing w:line="240" w:lineRule="auto"/>
              <w:ind w:firstLineChars="200" w:firstLine="321"/>
              <w:jc w:val="left"/>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o/w Other MDAs</w:t>
            </w:r>
          </w:p>
        </w:tc>
        <w:tc>
          <w:tcPr>
            <w:tcW w:w="0" w:type="auto"/>
            <w:noWrap/>
            <w:hideMark/>
          </w:tcPr>
          <w:p w14:paraId="478C64DB"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21,863 </w:t>
            </w:r>
          </w:p>
        </w:tc>
        <w:tc>
          <w:tcPr>
            <w:tcW w:w="0" w:type="auto"/>
            <w:noWrap/>
            <w:hideMark/>
          </w:tcPr>
          <w:p w14:paraId="7005FE45"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27,821 </w:t>
            </w:r>
          </w:p>
        </w:tc>
        <w:tc>
          <w:tcPr>
            <w:tcW w:w="0" w:type="auto"/>
            <w:noWrap/>
            <w:hideMark/>
          </w:tcPr>
          <w:p w14:paraId="30F89FAB"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14,068 </w:t>
            </w:r>
          </w:p>
        </w:tc>
        <w:tc>
          <w:tcPr>
            <w:tcW w:w="0" w:type="auto"/>
            <w:noWrap/>
            <w:hideMark/>
          </w:tcPr>
          <w:p w14:paraId="4D122DAD"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20,082 </w:t>
            </w:r>
          </w:p>
        </w:tc>
        <w:tc>
          <w:tcPr>
            <w:tcW w:w="0" w:type="auto"/>
            <w:noWrap/>
            <w:hideMark/>
          </w:tcPr>
          <w:p w14:paraId="4D6F156C"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83,835 </w:t>
            </w:r>
          </w:p>
        </w:tc>
        <w:tc>
          <w:tcPr>
            <w:tcW w:w="0" w:type="auto"/>
            <w:noWrap/>
            <w:hideMark/>
          </w:tcPr>
          <w:p w14:paraId="3995A654"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E03014">
              <w:rPr>
                <w:rFonts w:ascii="Times New Roman" w:eastAsia="Times New Roman" w:hAnsi="Times New Roman"/>
                <w:i/>
                <w:iCs/>
                <w:color w:val="000000"/>
                <w:sz w:val="16"/>
                <w:szCs w:val="16"/>
              </w:rPr>
              <w:t xml:space="preserve">    144,751 </w:t>
            </w:r>
          </w:p>
        </w:tc>
        <w:tc>
          <w:tcPr>
            <w:tcW w:w="0" w:type="auto"/>
            <w:noWrap/>
            <w:hideMark/>
          </w:tcPr>
          <w:p w14:paraId="3D1AB30A"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sz w:val="16"/>
                <w:szCs w:val="16"/>
              </w:rPr>
            </w:pPr>
            <w:r w:rsidRPr="00E03014">
              <w:rPr>
                <w:rFonts w:ascii="Times New Roman" w:eastAsia="Times New Roman" w:hAnsi="Times New Roman"/>
                <w:i/>
                <w:iCs/>
                <w:sz w:val="16"/>
                <w:szCs w:val="16"/>
              </w:rPr>
              <w:t xml:space="preserve">      (60,916)</w:t>
            </w:r>
          </w:p>
        </w:tc>
        <w:tc>
          <w:tcPr>
            <w:tcW w:w="791" w:type="dxa"/>
            <w:noWrap/>
            <w:hideMark/>
          </w:tcPr>
          <w:p w14:paraId="44536E42"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sz w:val="16"/>
                <w:szCs w:val="16"/>
              </w:rPr>
            </w:pPr>
            <w:r w:rsidRPr="00E03014">
              <w:rPr>
                <w:rFonts w:ascii="Times New Roman" w:eastAsia="Times New Roman" w:hAnsi="Times New Roman"/>
                <w:i/>
                <w:iCs/>
                <w:sz w:val="16"/>
                <w:szCs w:val="16"/>
              </w:rPr>
              <w:t>-42.1%</w:t>
            </w:r>
          </w:p>
        </w:tc>
      </w:tr>
      <w:tr w:rsidR="00E03014" w:rsidRPr="00E03014" w14:paraId="631161F5" w14:textId="77777777" w:rsidTr="00E03014">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2367BCC3" w14:textId="77777777" w:rsidR="00E03014" w:rsidRPr="00E03014" w:rsidRDefault="00E03014" w:rsidP="00E03014">
            <w:pPr>
              <w:spacing w:line="240" w:lineRule="auto"/>
              <w:jc w:val="left"/>
              <w:rPr>
                <w:rFonts w:ascii="Times New Roman" w:eastAsia="Times New Roman" w:hAnsi="Times New Roman"/>
                <w:color w:val="000000"/>
                <w:sz w:val="16"/>
                <w:szCs w:val="16"/>
              </w:rPr>
            </w:pPr>
            <w:r w:rsidRPr="00E03014">
              <w:rPr>
                <w:rFonts w:ascii="Times New Roman" w:eastAsia="Times New Roman" w:hAnsi="Times New Roman"/>
                <w:color w:val="000000"/>
                <w:sz w:val="16"/>
                <w:szCs w:val="16"/>
              </w:rPr>
              <w:t>RUC</w:t>
            </w:r>
          </w:p>
        </w:tc>
        <w:tc>
          <w:tcPr>
            <w:tcW w:w="0" w:type="auto"/>
            <w:noWrap/>
            <w:hideMark/>
          </w:tcPr>
          <w:p w14:paraId="5DC14B45"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53,169 </w:t>
            </w:r>
          </w:p>
        </w:tc>
        <w:tc>
          <w:tcPr>
            <w:tcW w:w="0" w:type="auto"/>
            <w:noWrap/>
            <w:hideMark/>
          </w:tcPr>
          <w:p w14:paraId="5B718C60"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48,094 </w:t>
            </w:r>
          </w:p>
        </w:tc>
        <w:tc>
          <w:tcPr>
            <w:tcW w:w="0" w:type="auto"/>
            <w:noWrap/>
            <w:hideMark/>
          </w:tcPr>
          <w:p w14:paraId="2E2337D0"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36,034 </w:t>
            </w:r>
          </w:p>
        </w:tc>
        <w:tc>
          <w:tcPr>
            <w:tcW w:w="0" w:type="auto"/>
            <w:noWrap/>
            <w:hideMark/>
          </w:tcPr>
          <w:p w14:paraId="1820E07C"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34,934 </w:t>
            </w:r>
          </w:p>
        </w:tc>
        <w:tc>
          <w:tcPr>
            <w:tcW w:w="0" w:type="auto"/>
            <w:noWrap/>
            <w:hideMark/>
          </w:tcPr>
          <w:p w14:paraId="4050B82F"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172,231 </w:t>
            </w:r>
          </w:p>
        </w:tc>
        <w:tc>
          <w:tcPr>
            <w:tcW w:w="0" w:type="auto"/>
            <w:noWrap/>
            <w:hideMark/>
          </w:tcPr>
          <w:p w14:paraId="73B6B352"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16"/>
                <w:szCs w:val="16"/>
              </w:rPr>
            </w:pPr>
            <w:r w:rsidRPr="00E03014">
              <w:rPr>
                <w:rFonts w:ascii="Times New Roman" w:eastAsia="Times New Roman" w:hAnsi="Times New Roman"/>
                <w:b/>
                <w:bCs/>
                <w:color w:val="000000"/>
                <w:sz w:val="16"/>
                <w:szCs w:val="16"/>
              </w:rPr>
              <w:t xml:space="preserve">    269,810 </w:t>
            </w:r>
          </w:p>
        </w:tc>
        <w:tc>
          <w:tcPr>
            <w:tcW w:w="0" w:type="auto"/>
            <w:noWrap/>
            <w:hideMark/>
          </w:tcPr>
          <w:p w14:paraId="430A3F3C"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 xml:space="preserve">      (97,579)</w:t>
            </w:r>
          </w:p>
        </w:tc>
        <w:tc>
          <w:tcPr>
            <w:tcW w:w="791" w:type="dxa"/>
            <w:noWrap/>
            <w:hideMark/>
          </w:tcPr>
          <w:p w14:paraId="7B28B0BE"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6"/>
                <w:szCs w:val="16"/>
              </w:rPr>
            </w:pPr>
            <w:r w:rsidRPr="00E03014">
              <w:rPr>
                <w:rFonts w:ascii="Times New Roman" w:eastAsia="Times New Roman" w:hAnsi="Times New Roman"/>
                <w:b/>
                <w:bCs/>
                <w:sz w:val="16"/>
                <w:szCs w:val="16"/>
              </w:rPr>
              <w:t>-36.2%</w:t>
            </w:r>
          </w:p>
        </w:tc>
      </w:tr>
    </w:tbl>
    <w:p w14:paraId="6BC75EBB" w14:textId="77777777" w:rsidR="00E03014" w:rsidRPr="00923467" w:rsidRDefault="00E03014" w:rsidP="00923467"/>
    <w:p w14:paraId="699FD99D" w14:textId="3E4F6F3F" w:rsidR="00893614" w:rsidRPr="00923467" w:rsidRDefault="00D70108" w:rsidP="00923467">
      <w:r w:rsidRPr="00923467">
        <w:t xml:space="preserve">Besides mines royalties, Cargo tracking and TSA revenues, all other revenue streams fell short of their respective targets. In particular, the shortfalls in petroleum excise collection, </w:t>
      </w:r>
      <w:r w:rsidR="00893614" w:rsidRPr="00923467">
        <w:t>t</w:t>
      </w:r>
      <w:r w:rsidRPr="00923467">
        <w:t>imber export</w:t>
      </w:r>
      <w:r w:rsidR="00893614" w:rsidRPr="00923467">
        <w:t>s</w:t>
      </w:r>
      <w:r w:rsidRPr="00923467">
        <w:t xml:space="preserve">, RUC, import duties and ‘Other MDAs’ were substantial, whilst those from Income Tax, GST, </w:t>
      </w:r>
      <w:r w:rsidR="00893614" w:rsidRPr="00923467">
        <w:t>f</w:t>
      </w:r>
      <w:r w:rsidRPr="00923467">
        <w:t>isheries</w:t>
      </w:r>
      <w:r w:rsidR="00893614" w:rsidRPr="00923467">
        <w:t>,</w:t>
      </w:r>
      <w:r w:rsidRPr="00923467">
        <w:t xml:space="preserve"> an</w:t>
      </w:r>
      <w:r w:rsidR="00893614" w:rsidRPr="00923467">
        <w:t>d</w:t>
      </w:r>
      <w:r w:rsidRPr="00923467">
        <w:t xml:space="preserve"> Import Excise were marginal.</w:t>
      </w:r>
    </w:p>
    <w:p w14:paraId="41D108E0" w14:textId="77777777" w:rsidR="00D70108" w:rsidRPr="00923467" w:rsidRDefault="00D70108" w:rsidP="00923467"/>
    <w:p w14:paraId="6A578B8A" w14:textId="77777777" w:rsidR="00893614" w:rsidRPr="00923467" w:rsidRDefault="00893614" w:rsidP="00923467"/>
    <w:p w14:paraId="245576B2" w14:textId="77AC81E2" w:rsidR="00245670" w:rsidRPr="00923467" w:rsidRDefault="00FF1853" w:rsidP="00923467">
      <w:pPr>
        <w:pStyle w:val="Heading2"/>
      </w:pPr>
      <w:bookmarkStart w:id="15" w:name="_Toc137831063"/>
      <w:r w:rsidRPr="00923467">
        <w:t>COMPARATIVE REVENUE PERFORMANCE (2021 VS 2022)</w:t>
      </w:r>
      <w:bookmarkEnd w:id="15"/>
      <w:r w:rsidRPr="00923467">
        <w:t xml:space="preserve">  </w:t>
      </w:r>
    </w:p>
    <w:p w14:paraId="706E717A" w14:textId="7CEE64D7" w:rsidR="00D70108" w:rsidRPr="00923467" w:rsidRDefault="00D70108" w:rsidP="00923467">
      <w:r w:rsidRPr="00923467">
        <w:t>Compared to the previous year 2021, the collection of Le7.</w:t>
      </w:r>
      <w:r w:rsidR="00307A50">
        <w:t>047</w:t>
      </w:r>
      <w:r w:rsidRPr="00923467">
        <w:t xml:space="preserve"> trillion for 2022 still represents an increase of Le</w:t>
      </w:r>
      <w:r w:rsidR="00307A50">
        <w:t xml:space="preserve">130 </w:t>
      </w:r>
      <w:r w:rsidRPr="00923467">
        <w:t xml:space="preserve">bn or </w:t>
      </w:r>
      <w:r w:rsidR="00307A50">
        <w:t>1.9</w:t>
      </w:r>
      <w:r w:rsidRPr="00923467">
        <w:t xml:space="preserve">% despite the challenges of the year (Table </w:t>
      </w:r>
      <w:r w:rsidR="00E03014">
        <w:t>2</w:t>
      </w:r>
      <w:r w:rsidRPr="00923467">
        <w:t>). This however falls significantly below the average inflation rate for 2022 (26.9%) as revenue collection did not seem to respond to inflationary increases</w:t>
      </w:r>
      <w:r w:rsidR="009C088E" w:rsidRPr="00923467">
        <w:t>, and</w:t>
      </w:r>
      <w:r w:rsidRPr="00923467">
        <w:t xml:space="preserve"> hyperinflation </w:t>
      </w:r>
      <w:r w:rsidR="009C088E" w:rsidRPr="00923467">
        <w:t>may have affected</w:t>
      </w:r>
      <w:r w:rsidRPr="00923467">
        <w:t xml:space="preserve"> revenue collection through its effect on businesses.</w:t>
      </w:r>
    </w:p>
    <w:p w14:paraId="1F59C536" w14:textId="77777777" w:rsidR="00893614" w:rsidRPr="00923467" w:rsidRDefault="00893614" w:rsidP="00923467"/>
    <w:tbl>
      <w:tblPr>
        <w:tblStyle w:val="GridTable4-Accent5"/>
        <w:tblW w:w="10121" w:type="dxa"/>
        <w:tblLook w:val="04A0" w:firstRow="1" w:lastRow="0" w:firstColumn="1" w:lastColumn="0" w:noHBand="0" w:noVBand="1"/>
      </w:tblPr>
      <w:tblGrid>
        <w:gridCol w:w="5406"/>
        <w:gridCol w:w="1250"/>
        <w:gridCol w:w="1250"/>
        <w:gridCol w:w="1284"/>
        <w:gridCol w:w="931"/>
      </w:tblGrid>
      <w:tr w:rsidR="00E03014" w:rsidRPr="00E03014" w14:paraId="66F39098" w14:textId="77777777" w:rsidTr="00E0301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21" w:type="dxa"/>
            <w:gridSpan w:val="5"/>
            <w:noWrap/>
            <w:hideMark/>
          </w:tcPr>
          <w:p w14:paraId="2D386125" w14:textId="336C4171" w:rsidR="00E03014" w:rsidRPr="00E03014" w:rsidRDefault="00E03014" w:rsidP="00E03014">
            <w:pPr>
              <w:spacing w:line="240" w:lineRule="auto"/>
              <w:jc w:val="center"/>
              <w:rPr>
                <w:rFonts w:ascii="Times New Roman" w:eastAsia="Times New Roman" w:hAnsi="Times New Roman"/>
                <w:color w:val="002060"/>
                <w:sz w:val="20"/>
                <w:szCs w:val="20"/>
              </w:rPr>
            </w:pPr>
            <w:r w:rsidRPr="00307A50">
              <w:rPr>
                <w:rFonts w:ascii="Times New Roman" w:eastAsia="Times New Roman" w:hAnsi="Times New Roman"/>
                <w:color w:val="002060"/>
                <w:sz w:val="20"/>
                <w:szCs w:val="20"/>
              </w:rPr>
              <w:t xml:space="preserve">Table 2: </w:t>
            </w:r>
            <w:r w:rsidRPr="00E03014">
              <w:rPr>
                <w:rFonts w:ascii="Times New Roman" w:eastAsia="Times New Roman" w:hAnsi="Times New Roman"/>
                <w:color w:val="002060"/>
                <w:sz w:val="20"/>
                <w:szCs w:val="20"/>
              </w:rPr>
              <w:t>TOTAL DOMESTIC REVENUE COLLECTION: 2022 versus 2021 (Old Le Million)</w:t>
            </w:r>
          </w:p>
        </w:tc>
      </w:tr>
      <w:tr w:rsidR="00E03014" w:rsidRPr="00307A50" w14:paraId="65BF3CD3" w14:textId="77777777" w:rsidTr="00E030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06" w:type="dxa"/>
            <w:hideMark/>
          </w:tcPr>
          <w:p w14:paraId="28FF145A" w14:textId="77777777" w:rsidR="00E03014" w:rsidRPr="00E03014" w:rsidRDefault="00E03014" w:rsidP="00E03014">
            <w:pPr>
              <w:spacing w:line="240" w:lineRule="auto"/>
              <w:jc w:val="center"/>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DETAIL</w:t>
            </w:r>
          </w:p>
        </w:tc>
        <w:tc>
          <w:tcPr>
            <w:tcW w:w="1250" w:type="dxa"/>
            <w:hideMark/>
          </w:tcPr>
          <w:p w14:paraId="5CBC8135"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2022 Act</w:t>
            </w:r>
          </w:p>
        </w:tc>
        <w:tc>
          <w:tcPr>
            <w:tcW w:w="1250" w:type="dxa"/>
            <w:hideMark/>
          </w:tcPr>
          <w:p w14:paraId="46B5B727"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2021 Act</w:t>
            </w:r>
          </w:p>
        </w:tc>
        <w:tc>
          <w:tcPr>
            <w:tcW w:w="1284" w:type="dxa"/>
            <w:noWrap/>
            <w:hideMark/>
          </w:tcPr>
          <w:p w14:paraId="44403865"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 xml:space="preserve"> Variance </w:t>
            </w:r>
          </w:p>
        </w:tc>
        <w:tc>
          <w:tcPr>
            <w:tcW w:w="931" w:type="dxa"/>
            <w:noWrap/>
            <w:hideMark/>
          </w:tcPr>
          <w:p w14:paraId="6EC063BD"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 xml:space="preserve"> % Var </w:t>
            </w:r>
          </w:p>
        </w:tc>
      </w:tr>
      <w:tr w:rsidR="00E03014" w:rsidRPr="00E03014" w14:paraId="11E7E0C1"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748D4B88" w14:textId="77777777" w:rsidR="00E03014" w:rsidRPr="00E03014" w:rsidRDefault="00E03014" w:rsidP="00E03014">
            <w:pPr>
              <w:spacing w:line="240" w:lineRule="auto"/>
              <w:jc w:val="left"/>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TOTAL NRA REVENUES </w:t>
            </w:r>
            <w:proofErr w:type="gramStart"/>
            <w:r w:rsidRPr="00E03014">
              <w:rPr>
                <w:rFonts w:ascii="Times New Roman" w:eastAsia="Times New Roman" w:hAnsi="Times New Roman"/>
                <w:color w:val="000000"/>
                <w:sz w:val="20"/>
                <w:szCs w:val="20"/>
              </w:rPr>
              <w:t>( Including</w:t>
            </w:r>
            <w:proofErr w:type="gramEnd"/>
            <w:r w:rsidRPr="00E03014">
              <w:rPr>
                <w:rFonts w:ascii="Times New Roman" w:eastAsia="Times New Roman" w:hAnsi="Times New Roman"/>
                <w:color w:val="000000"/>
                <w:sz w:val="20"/>
                <w:szCs w:val="20"/>
              </w:rPr>
              <w:t xml:space="preserve"> RUC)</w:t>
            </w:r>
          </w:p>
        </w:tc>
        <w:tc>
          <w:tcPr>
            <w:tcW w:w="1250" w:type="dxa"/>
            <w:noWrap/>
            <w:hideMark/>
          </w:tcPr>
          <w:p w14:paraId="6B979B49"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7,046,685 </w:t>
            </w:r>
          </w:p>
        </w:tc>
        <w:tc>
          <w:tcPr>
            <w:tcW w:w="1250" w:type="dxa"/>
            <w:noWrap/>
            <w:hideMark/>
          </w:tcPr>
          <w:p w14:paraId="322D3B87"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6,917,103 </w:t>
            </w:r>
          </w:p>
        </w:tc>
        <w:tc>
          <w:tcPr>
            <w:tcW w:w="1284" w:type="dxa"/>
            <w:noWrap/>
            <w:hideMark/>
          </w:tcPr>
          <w:p w14:paraId="0C517533"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 xml:space="preserve">     129,582 </w:t>
            </w:r>
          </w:p>
        </w:tc>
        <w:tc>
          <w:tcPr>
            <w:tcW w:w="931" w:type="dxa"/>
            <w:noWrap/>
            <w:hideMark/>
          </w:tcPr>
          <w:p w14:paraId="2C09E01F"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1.9%</w:t>
            </w:r>
          </w:p>
        </w:tc>
      </w:tr>
      <w:tr w:rsidR="00E03014" w:rsidRPr="00E03014" w14:paraId="05077530"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07A5F747" w14:textId="77777777" w:rsidR="00E03014" w:rsidRPr="00E03014" w:rsidRDefault="00E03014" w:rsidP="00E03014">
            <w:pPr>
              <w:spacing w:line="240" w:lineRule="auto"/>
              <w:jc w:val="left"/>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TOTAL NRA REVENUES </w:t>
            </w:r>
            <w:proofErr w:type="gramStart"/>
            <w:r w:rsidRPr="00E03014">
              <w:rPr>
                <w:rFonts w:ascii="Times New Roman" w:eastAsia="Times New Roman" w:hAnsi="Times New Roman"/>
                <w:color w:val="000000"/>
                <w:sz w:val="20"/>
                <w:szCs w:val="20"/>
              </w:rPr>
              <w:t>( Excluding</w:t>
            </w:r>
            <w:proofErr w:type="gramEnd"/>
            <w:r w:rsidRPr="00E03014">
              <w:rPr>
                <w:rFonts w:ascii="Times New Roman" w:eastAsia="Times New Roman" w:hAnsi="Times New Roman"/>
                <w:color w:val="000000"/>
                <w:sz w:val="20"/>
                <w:szCs w:val="20"/>
              </w:rPr>
              <w:t xml:space="preserve"> RUC)</w:t>
            </w:r>
          </w:p>
        </w:tc>
        <w:tc>
          <w:tcPr>
            <w:tcW w:w="1250" w:type="dxa"/>
            <w:noWrap/>
            <w:hideMark/>
          </w:tcPr>
          <w:p w14:paraId="050C03E3"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6,874,454 </w:t>
            </w:r>
          </w:p>
        </w:tc>
        <w:tc>
          <w:tcPr>
            <w:tcW w:w="1250" w:type="dxa"/>
            <w:noWrap/>
            <w:hideMark/>
          </w:tcPr>
          <w:p w14:paraId="38FDCB92"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6,705,264 </w:t>
            </w:r>
          </w:p>
        </w:tc>
        <w:tc>
          <w:tcPr>
            <w:tcW w:w="1284" w:type="dxa"/>
            <w:noWrap/>
            <w:hideMark/>
          </w:tcPr>
          <w:p w14:paraId="7B776B0A"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 xml:space="preserve">     169,190 </w:t>
            </w:r>
          </w:p>
        </w:tc>
        <w:tc>
          <w:tcPr>
            <w:tcW w:w="931" w:type="dxa"/>
            <w:noWrap/>
            <w:hideMark/>
          </w:tcPr>
          <w:p w14:paraId="2F525805"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2.5%</w:t>
            </w:r>
          </w:p>
        </w:tc>
      </w:tr>
      <w:tr w:rsidR="00E03014" w:rsidRPr="00E03014" w14:paraId="296386F6"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0A275CDA" w14:textId="77777777" w:rsidR="00E03014" w:rsidRPr="00E03014" w:rsidRDefault="00E03014" w:rsidP="00E03014">
            <w:pPr>
              <w:spacing w:line="240" w:lineRule="auto"/>
              <w:jc w:val="left"/>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DOMESTIC TAX DEPARTMENT</w:t>
            </w:r>
          </w:p>
        </w:tc>
        <w:tc>
          <w:tcPr>
            <w:tcW w:w="1250" w:type="dxa"/>
            <w:noWrap/>
            <w:hideMark/>
          </w:tcPr>
          <w:p w14:paraId="2321C355"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4,189,051 </w:t>
            </w:r>
          </w:p>
        </w:tc>
        <w:tc>
          <w:tcPr>
            <w:tcW w:w="1250" w:type="dxa"/>
            <w:noWrap/>
            <w:hideMark/>
          </w:tcPr>
          <w:p w14:paraId="614F46D4"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3,692,883 </w:t>
            </w:r>
          </w:p>
        </w:tc>
        <w:tc>
          <w:tcPr>
            <w:tcW w:w="1284" w:type="dxa"/>
            <w:noWrap/>
            <w:hideMark/>
          </w:tcPr>
          <w:p w14:paraId="395D20A3"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 xml:space="preserve">     496,168 </w:t>
            </w:r>
          </w:p>
        </w:tc>
        <w:tc>
          <w:tcPr>
            <w:tcW w:w="931" w:type="dxa"/>
            <w:noWrap/>
            <w:hideMark/>
          </w:tcPr>
          <w:p w14:paraId="44B9DD17"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13.4%</w:t>
            </w:r>
          </w:p>
        </w:tc>
      </w:tr>
      <w:tr w:rsidR="00E03014" w:rsidRPr="00E03014" w14:paraId="21589CC9"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6A3D4968" w14:textId="77777777" w:rsidR="00E03014" w:rsidRPr="00E03014" w:rsidRDefault="00E03014" w:rsidP="00E03014">
            <w:pPr>
              <w:spacing w:line="240" w:lineRule="auto"/>
              <w:jc w:val="left"/>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Income Tax</w:t>
            </w:r>
          </w:p>
        </w:tc>
        <w:tc>
          <w:tcPr>
            <w:tcW w:w="1250" w:type="dxa"/>
            <w:noWrap/>
            <w:hideMark/>
          </w:tcPr>
          <w:p w14:paraId="4C3603E8"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2,904,694 </w:t>
            </w:r>
          </w:p>
        </w:tc>
        <w:tc>
          <w:tcPr>
            <w:tcW w:w="1250" w:type="dxa"/>
            <w:noWrap/>
            <w:hideMark/>
          </w:tcPr>
          <w:p w14:paraId="4F40AF0D"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2,435,025 </w:t>
            </w:r>
          </w:p>
        </w:tc>
        <w:tc>
          <w:tcPr>
            <w:tcW w:w="1284" w:type="dxa"/>
            <w:noWrap/>
            <w:hideMark/>
          </w:tcPr>
          <w:p w14:paraId="7F886268"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 xml:space="preserve">     469,669 </w:t>
            </w:r>
          </w:p>
        </w:tc>
        <w:tc>
          <w:tcPr>
            <w:tcW w:w="931" w:type="dxa"/>
            <w:noWrap/>
            <w:hideMark/>
          </w:tcPr>
          <w:p w14:paraId="2E342412"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19.3%</w:t>
            </w:r>
          </w:p>
        </w:tc>
      </w:tr>
      <w:tr w:rsidR="00E03014" w:rsidRPr="00E03014" w14:paraId="7A4A7A4D"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5F83811E" w14:textId="77777777" w:rsidR="00E03014" w:rsidRPr="00E03014" w:rsidRDefault="00E03014" w:rsidP="00E03014">
            <w:pPr>
              <w:spacing w:line="240" w:lineRule="auto"/>
              <w:ind w:firstLineChars="100" w:firstLine="200"/>
              <w:jc w:val="left"/>
              <w:rPr>
                <w:rFonts w:ascii="Times New Roman" w:eastAsia="Times New Roman" w:hAnsi="Times New Roman"/>
                <w:b w:val="0"/>
                <w:bCs w:val="0"/>
                <w:color w:val="000000"/>
                <w:sz w:val="20"/>
                <w:szCs w:val="20"/>
              </w:rPr>
            </w:pPr>
            <w:r w:rsidRPr="00E03014">
              <w:rPr>
                <w:rFonts w:ascii="Times New Roman" w:eastAsia="Times New Roman" w:hAnsi="Times New Roman"/>
                <w:b w:val="0"/>
                <w:bCs w:val="0"/>
                <w:color w:val="000000"/>
                <w:sz w:val="20"/>
                <w:szCs w:val="20"/>
              </w:rPr>
              <w:t>Corporate Income Tax</w:t>
            </w:r>
          </w:p>
        </w:tc>
        <w:tc>
          <w:tcPr>
            <w:tcW w:w="1250" w:type="dxa"/>
            <w:noWrap/>
            <w:hideMark/>
          </w:tcPr>
          <w:p w14:paraId="52FD3B48"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1,113,569 </w:t>
            </w:r>
          </w:p>
        </w:tc>
        <w:tc>
          <w:tcPr>
            <w:tcW w:w="1250" w:type="dxa"/>
            <w:noWrap/>
            <w:hideMark/>
          </w:tcPr>
          <w:p w14:paraId="57D81BC3"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765,270 </w:t>
            </w:r>
          </w:p>
        </w:tc>
        <w:tc>
          <w:tcPr>
            <w:tcW w:w="1284" w:type="dxa"/>
            <w:noWrap/>
            <w:hideMark/>
          </w:tcPr>
          <w:p w14:paraId="18ADE32E"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348,299 </w:t>
            </w:r>
          </w:p>
        </w:tc>
        <w:tc>
          <w:tcPr>
            <w:tcW w:w="931" w:type="dxa"/>
            <w:noWrap/>
            <w:hideMark/>
          </w:tcPr>
          <w:p w14:paraId="61F11F4B"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45.5%</w:t>
            </w:r>
          </w:p>
        </w:tc>
      </w:tr>
      <w:tr w:rsidR="00E03014" w:rsidRPr="00E03014" w14:paraId="189076D0"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1642D80F" w14:textId="77777777" w:rsidR="00E03014" w:rsidRPr="00E03014" w:rsidRDefault="00E03014" w:rsidP="00E03014">
            <w:pPr>
              <w:spacing w:line="240" w:lineRule="auto"/>
              <w:ind w:firstLineChars="100" w:firstLine="200"/>
              <w:jc w:val="left"/>
              <w:rPr>
                <w:rFonts w:ascii="Times New Roman" w:eastAsia="Times New Roman" w:hAnsi="Times New Roman"/>
                <w:b w:val="0"/>
                <w:bCs w:val="0"/>
                <w:color w:val="000000"/>
                <w:sz w:val="20"/>
                <w:szCs w:val="20"/>
              </w:rPr>
            </w:pPr>
            <w:r w:rsidRPr="00E03014">
              <w:rPr>
                <w:rFonts w:ascii="Times New Roman" w:eastAsia="Times New Roman" w:hAnsi="Times New Roman"/>
                <w:b w:val="0"/>
                <w:bCs w:val="0"/>
                <w:color w:val="000000"/>
                <w:sz w:val="20"/>
                <w:szCs w:val="20"/>
              </w:rPr>
              <w:t>Personal Income Tax</w:t>
            </w:r>
          </w:p>
        </w:tc>
        <w:tc>
          <w:tcPr>
            <w:tcW w:w="1250" w:type="dxa"/>
            <w:noWrap/>
            <w:hideMark/>
          </w:tcPr>
          <w:p w14:paraId="1D676323"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1,791,124 </w:t>
            </w:r>
          </w:p>
        </w:tc>
        <w:tc>
          <w:tcPr>
            <w:tcW w:w="1250" w:type="dxa"/>
            <w:noWrap/>
            <w:hideMark/>
          </w:tcPr>
          <w:p w14:paraId="2252E539"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1,669,755 </w:t>
            </w:r>
          </w:p>
        </w:tc>
        <w:tc>
          <w:tcPr>
            <w:tcW w:w="1284" w:type="dxa"/>
            <w:noWrap/>
            <w:hideMark/>
          </w:tcPr>
          <w:p w14:paraId="61307553"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121,370 </w:t>
            </w:r>
          </w:p>
        </w:tc>
        <w:tc>
          <w:tcPr>
            <w:tcW w:w="931" w:type="dxa"/>
            <w:noWrap/>
            <w:hideMark/>
          </w:tcPr>
          <w:p w14:paraId="1B11E525"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7.3%</w:t>
            </w:r>
          </w:p>
        </w:tc>
      </w:tr>
      <w:tr w:rsidR="00E03014" w:rsidRPr="00E03014" w14:paraId="02FBAE81"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792AD024" w14:textId="77777777" w:rsidR="00E03014" w:rsidRPr="00E03014" w:rsidRDefault="00E03014" w:rsidP="00E03014">
            <w:pPr>
              <w:spacing w:line="240" w:lineRule="auto"/>
              <w:jc w:val="left"/>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Goods and Service Tax </w:t>
            </w:r>
            <w:proofErr w:type="gramStart"/>
            <w:r w:rsidRPr="00E03014">
              <w:rPr>
                <w:rFonts w:ascii="Times New Roman" w:eastAsia="Times New Roman" w:hAnsi="Times New Roman"/>
                <w:color w:val="000000"/>
                <w:sz w:val="20"/>
                <w:szCs w:val="20"/>
              </w:rPr>
              <w:t>( GST</w:t>
            </w:r>
            <w:proofErr w:type="gramEnd"/>
            <w:r w:rsidRPr="00E03014">
              <w:rPr>
                <w:rFonts w:ascii="Times New Roman" w:eastAsia="Times New Roman" w:hAnsi="Times New Roman"/>
                <w:color w:val="000000"/>
                <w:sz w:val="20"/>
                <w:szCs w:val="20"/>
              </w:rPr>
              <w:t>)</w:t>
            </w:r>
          </w:p>
        </w:tc>
        <w:tc>
          <w:tcPr>
            <w:tcW w:w="1250" w:type="dxa"/>
            <w:noWrap/>
            <w:hideMark/>
          </w:tcPr>
          <w:p w14:paraId="7A7FF953"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1,284,357 </w:t>
            </w:r>
          </w:p>
        </w:tc>
        <w:tc>
          <w:tcPr>
            <w:tcW w:w="1250" w:type="dxa"/>
            <w:noWrap/>
            <w:hideMark/>
          </w:tcPr>
          <w:p w14:paraId="1A8CD5EC"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1,257,858 </w:t>
            </w:r>
          </w:p>
        </w:tc>
        <w:tc>
          <w:tcPr>
            <w:tcW w:w="1284" w:type="dxa"/>
            <w:noWrap/>
            <w:hideMark/>
          </w:tcPr>
          <w:p w14:paraId="27F78073"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 xml:space="preserve">       26,499 </w:t>
            </w:r>
          </w:p>
        </w:tc>
        <w:tc>
          <w:tcPr>
            <w:tcW w:w="931" w:type="dxa"/>
            <w:noWrap/>
            <w:hideMark/>
          </w:tcPr>
          <w:p w14:paraId="5D077AB7"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2.1%</w:t>
            </w:r>
          </w:p>
        </w:tc>
      </w:tr>
      <w:tr w:rsidR="00E03014" w:rsidRPr="00E03014" w14:paraId="5EA32765"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0C622D2F" w14:textId="77777777" w:rsidR="00E03014" w:rsidRPr="00E03014" w:rsidRDefault="00E03014" w:rsidP="00E03014">
            <w:pPr>
              <w:spacing w:line="240" w:lineRule="auto"/>
              <w:ind w:firstLineChars="100" w:firstLine="200"/>
              <w:jc w:val="left"/>
              <w:rPr>
                <w:rFonts w:ascii="Times New Roman" w:eastAsia="Times New Roman" w:hAnsi="Times New Roman"/>
                <w:b w:val="0"/>
                <w:bCs w:val="0"/>
                <w:color w:val="000000"/>
                <w:sz w:val="20"/>
                <w:szCs w:val="20"/>
              </w:rPr>
            </w:pPr>
            <w:r w:rsidRPr="00E03014">
              <w:rPr>
                <w:rFonts w:ascii="Times New Roman" w:eastAsia="Times New Roman" w:hAnsi="Times New Roman"/>
                <w:b w:val="0"/>
                <w:bCs w:val="0"/>
                <w:color w:val="000000"/>
                <w:sz w:val="20"/>
                <w:szCs w:val="20"/>
              </w:rPr>
              <w:t>Import GST</w:t>
            </w:r>
          </w:p>
        </w:tc>
        <w:tc>
          <w:tcPr>
            <w:tcW w:w="1250" w:type="dxa"/>
            <w:noWrap/>
            <w:hideMark/>
          </w:tcPr>
          <w:p w14:paraId="2D6C1EE6"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834,417 </w:t>
            </w:r>
          </w:p>
        </w:tc>
        <w:tc>
          <w:tcPr>
            <w:tcW w:w="1250" w:type="dxa"/>
            <w:noWrap/>
            <w:hideMark/>
          </w:tcPr>
          <w:p w14:paraId="27EA1837"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677,185 </w:t>
            </w:r>
          </w:p>
        </w:tc>
        <w:tc>
          <w:tcPr>
            <w:tcW w:w="1284" w:type="dxa"/>
            <w:noWrap/>
            <w:hideMark/>
          </w:tcPr>
          <w:p w14:paraId="5AAFC930"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157,232 </w:t>
            </w:r>
          </w:p>
        </w:tc>
        <w:tc>
          <w:tcPr>
            <w:tcW w:w="931" w:type="dxa"/>
            <w:noWrap/>
            <w:hideMark/>
          </w:tcPr>
          <w:p w14:paraId="24C61869"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23.2%</w:t>
            </w:r>
          </w:p>
        </w:tc>
      </w:tr>
      <w:tr w:rsidR="00E03014" w:rsidRPr="00E03014" w14:paraId="40964033"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342B30D3" w14:textId="77777777" w:rsidR="00E03014" w:rsidRPr="00E03014" w:rsidRDefault="00E03014" w:rsidP="00E03014">
            <w:pPr>
              <w:spacing w:line="240" w:lineRule="auto"/>
              <w:ind w:firstLineChars="100" w:firstLine="200"/>
              <w:jc w:val="left"/>
              <w:rPr>
                <w:rFonts w:ascii="Times New Roman" w:eastAsia="Times New Roman" w:hAnsi="Times New Roman"/>
                <w:b w:val="0"/>
                <w:bCs w:val="0"/>
                <w:color w:val="000000"/>
                <w:sz w:val="20"/>
                <w:szCs w:val="20"/>
              </w:rPr>
            </w:pPr>
            <w:r w:rsidRPr="00E03014">
              <w:rPr>
                <w:rFonts w:ascii="Times New Roman" w:eastAsia="Times New Roman" w:hAnsi="Times New Roman"/>
                <w:b w:val="0"/>
                <w:bCs w:val="0"/>
                <w:color w:val="000000"/>
                <w:sz w:val="20"/>
                <w:szCs w:val="20"/>
              </w:rPr>
              <w:t>Domestic GST</w:t>
            </w:r>
          </w:p>
        </w:tc>
        <w:tc>
          <w:tcPr>
            <w:tcW w:w="1250" w:type="dxa"/>
            <w:noWrap/>
            <w:hideMark/>
          </w:tcPr>
          <w:p w14:paraId="77FCCE0A"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585,941 </w:t>
            </w:r>
          </w:p>
        </w:tc>
        <w:tc>
          <w:tcPr>
            <w:tcW w:w="1250" w:type="dxa"/>
            <w:noWrap/>
            <w:hideMark/>
          </w:tcPr>
          <w:p w14:paraId="38794919"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580,673 </w:t>
            </w:r>
          </w:p>
        </w:tc>
        <w:tc>
          <w:tcPr>
            <w:tcW w:w="1284" w:type="dxa"/>
            <w:noWrap/>
            <w:hideMark/>
          </w:tcPr>
          <w:p w14:paraId="1FF61A7A"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5,268 </w:t>
            </w:r>
          </w:p>
        </w:tc>
        <w:tc>
          <w:tcPr>
            <w:tcW w:w="931" w:type="dxa"/>
            <w:noWrap/>
            <w:hideMark/>
          </w:tcPr>
          <w:p w14:paraId="3F627E5B"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0.9%</w:t>
            </w:r>
          </w:p>
        </w:tc>
      </w:tr>
      <w:tr w:rsidR="00E03014" w:rsidRPr="00E03014" w14:paraId="4B704B04"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5F29C7E1" w14:textId="77777777" w:rsidR="00E03014" w:rsidRPr="00E03014" w:rsidRDefault="00E03014" w:rsidP="00E03014">
            <w:pPr>
              <w:spacing w:line="240" w:lineRule="auto"/>
              <w:jc w:val="left"/>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CUSTOMS SERVICE DEPARTMENT </w:t>
            </w:r>
            <w:proofErr w:type="gramStart"/>
            <w:r w:rsidRPr="00E03014">
              <w:rPr>
                <w:rFonts w:ascii="Times New Roman" w:eastAsia="Times New Roman" w:hAnsi="Times New Roman"/>
                <w:color w:val="000000"/>
                <w:sz w:val="20"/>
                <w:szCs w:val="20"/>
              </w:rPr>
              <w:t>( CSD</w:t>
            </w:r>
            <w:proofErr w:type="gramEnd"/>
            <w:r w:rsidRPr="00E03014">
              <w:rPr>
                <w:rFonts w:ascii="Times New Roman" w:eastAsia="Times New Roman" w:hAnsi="Times New Roman"/>
                <w:color w:val="000000"/>
                <w:sz w:val="20"/>
                <w:szCs w:val="20"/>
              </w:rPr>
              <w:t>)</w:t>
            </w:r>
          </w:p>
        </w:tc>
        <w:tc>
          <w:tcPr>
            <w:tcW w:w="1250" w:type="dxa"/>
            <w:noWrap/>
            <w:hideMark/>
          </w:tcPr>
          <w:p w14:paraId="60E5FD65"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1,238,079 </w:t>
            </w:r>
          </w:p>
        </w:tc>
        <w:tc>
          <w:tcPr>
            <w:tcW w:w="1250" w:type="dxa"/>
            <w:noWrap/>
            <w:hideMark/>
          </w:tcPr>
          <w:p w14:paraId="7236F2CA"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1,288,651 </w:t>
            </w:r>
          </w:p>
        </w:tc>
        <w:tc>
          <w:tcPr>
            <w:tcW w:w="1284" w:type="dxa"/>
            <w:noWrap/>
            <w:hideMark/>
          </w:tcPr>
          <w:p w14:paraId="410D2D30"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 xml:space="preserve">      (50,571)</w:t>
            </w:r>
          </w:p>
        </w:tc>
        <w:tc>
          <w:tcPr>
            <w:tcW w:w="931" w:type="dxa"/>
            <w:noWrap/>
            <w:hideMark/>
          </w:tcPr>
          <w:p w14:paraId="318B6361"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-3.9%</w:t>
            </w:r>
          </w:p>
        </w:tc>
      </w:tr>
      <w:tr w:rsidR="00E03014" w:rsidRPr="00E03014" w14:paraId="6C153527"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2DFABCEF" w14:textId="77777777" w:rsidR="00E03014" w:rsidRPr="00E03014" w:rsidRDefault="00E03014" w:rsidP="00E03014">
            <w:pPr>
              <w:spacing w:line="240" w:lineRule="auto"/>
              <w:ind w:firstLineChars="100" w:firstLine="200"/>
              <w:jc w:val="left"/>
              <w:rPr>
                <w:rFonts w:ascii="Times New Roman" w:eastAsia="Times New Roman" w:hAnsi="Times New Roman"/>
                <w:b w:val="0"/>
                <w:bCs w:val="0"/>
                <w:color w:val="000000"/>
                <w:sz w:val="20"/>
                <w:szCs w:val="20"/>
              </w:rPr>
            </w:pPr>
            <w:r w:rsidRPr="00E03014">
              <w:rPr>
                <w:rFonts w:ascii="Times New Roman" w:eastAsia="Times New Roman" w:hAnsi="Times New Roman"/>
                <w:b w:val="0"/>
                <w:bCs w:val="0"/>
                <w:color w:val="000000"/>
                <w:sz w:val="20"/>
                <w:szCs w:val="20"/>
              </w:rPr>
              <w:t>Import Duties</w:t>
            </w:r>
          </w:p>
        </w:tc>
        <w:tc>
          <w:tcPr>
            <w:tcW w:w="1250" w:type="dxa"/>
            <w:noWrap/>
            <w:hideMark/>
          </w:tcPr>
          <w:p w14:paraId="072EE68F"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848,543 </w:t>
            </w:r>
          </w:p>
        </w:tc>
        <w:tc>
          <w:tcPr>
            <w:tcW w:w="1250" w:type="dxa"/>
            <w:noWrap/>
            <w:hideMark/>
          </w:tcPr>
          <w:p w14:paraId="2D4FA53C"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807,363 </w:t>
            </w:r>
          </w:p>
        </w:tc>
        <w:tc>
          <w:tcPr>
            <w:tcW w:w="1284" w:type="dxa"/>
            <w:noWrap/>
            <w:hideMark/>
          </w:tcPr>
          <w:p w14:paraId="6382CBDB"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41,180 </w:t>
            </w:r>
          </w:p>
        </w:tc>
        <w:tc>
          <w:tcPr>
            <w:tcW w:w="931" w:type="dxa"/>
            <w:noWrap/>
            <w:hideMark/>
          </w:tcPr>
          <w:p w14:paraId="2BD38154"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5.1%</w:t>
            </w:r>
          </w:p>
        </w:tc>
      </w:tr>
      <w:tr w:rsidR="00E03014" w:rsidRPr="00E03014" w14:paraId="787DCB7B"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04A4F782" w14:textId="77777777" w:rsidR="00E03014" w:rsidRPr="00E03014" w:rsidRDefault="00E03014" w:rsidP="00E03014">
            <w:pPr>
              <w:spacing w:line="240" w:lineRule="auto"/>
              <w:ind w:firstLineChars="100" w:firstLine="200"/>
              <w:jc w:val="left"/>
              <w:rPr>
                <w:rFonts w:ascii="Times New Roman" w:eastAsia="Times New Roman" w:hAnsi="Times New Roman"/>
                <w:b w:val="0"/>
                <w:bCs w:val="0"/>
                <w:color w:val="000000"/>
                <w:sz w:val="20"/>
                <w:szCs w:val="20"/>
              </w:rPr>
            </w:pPr>
            <w:r w:rsidRPr="00E03014">
              <w:rPr>
                <w:rFonts w:ascii="Times New Roman" w:eastAsia="Times New Roman" w:hAnsi="Times New Roman"/>
                <w:b w:val="0"/>
                <w:bCs w:val="0"/>
                <w:color w:val="000000"/>
                <w:sz w:val="20"/>
                <w:szCs w:val="20"/>
              </w:rPr>
              <w:t>Excise on Petroleum</w:t>
            </w:r>
          </w:p>
        </w:tc>
        <w:tc>
          <w:tcPr>
            <w:tcW w:w="1250" w:type="dxa"/>
            <w:noWrap/>
            <w:hideMark/>
          </w:tcPr>
          <w:p w14:paraId="47B7DDB7"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310,696 </w:t>
            </w:r>
          </w:p>
        </w:tc>
        <w:tc>
          <w:tcPr>
            <w:tcW w:w="1250" w:type="dxa"/>
            <w:noWrap/>
            <w:hideMark/>
          </w:tcPr>
          <w:p w14:paraId="73C184C0"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404,573 </w:t>
            </w:r>
          </w:p>
        </w:tc>
        <w:tc>
          <w:tcPr>
            <w:tcW w:w="1284" w:type="dxa"/>
            <w:noWrap/>
            <w:hideMark/>
          </w:tcPr>
          <w:p w14:paraId="620EC0B2"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(93,876)</w:t>
            </w:r>
          </w:p>
        </w:tc>
        <w:tc>
          <w:tcPr>
            <w:tcW w:w="931" w:type="dxa"/>
            <w:noWrap/>
            <w:hideMark/>
          </w:tcPr>
          <w:p w14:paraId="6B034BBF"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-23.2%</w:t>
            </w:r>
          </w:p>
        </w:tc>
      </w:tr>
      <w:tr w:rsidR="00E03014" w:rsidRPr="00E03014" w14:paraId="1A60E4FA"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0CF41982" w14:textId="77777777" w:rsidR="00E03014" w:rsidRPr="00E03014" w:rsidRDefault="00E03014" w:rsidP="00E03014">
            <w:pPr>
              <w:spacing w:line="240" w:lineRule="auto"/>
              <w:ind w:firstLineChars="100" w:firstLine="200"/>
              <w:jc w:val="left"/>
              <w:rPr>
                <w:rFonts w:ascii="Times New Roman" w:eastAsia="Times New Roman" w:hAnsi="Times New Roman"/>
                <w:b w:val="0"/>
                <w:bCs w:val="0"/>
                <w:i/>
                <w:iCs/>
                <w:color w:val="000000"/>
                <w:sz w:val="20"/>
                <w:szCs w:val="20"/>
              </w:rPr>
            </w:pPr>
            <w:r w:rsidRPr="00E03014">
              <w:rPr>
                <w:rFonts w:ascii="Times New Roman" w:eastAsia="Times New Roman" w:hAnsi="Times New Roman"/>
                <w:b w:val="0"/>
                <w:bCs w:val="0"/>
                <w:i/>
                <w:iCs/>
                <w:color w:val="000000"/>
                <w:sz w:val="20"/>
                <w:szCs w:val="20"/>
              </w:rPr>
              <w:t>o/w IDF</w:t>
            </w:r>
          </w:p>
        </w:tc>
        <w:tc>
          <w:tcPr>
            <w:tcW w:w="1250" w:type="dxa"/>
            <w:noWrap/>
            <w:hideMark/>
          </w:tcPr>
          <w:p w14:paraId="0B835264"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0"/>
                <w:szCs w:val="20"/>
              </w:rPr>
            </w:pPr>
            <w:r w:rsidRPr="00E03014">
              <w:rPr>
                <w:rFonts w:ascii="Times New Roman" w:eastAsia="Times New Roman" w:hAnsi="Times New Roman"/>
                <w:i/>
                <w:iCs/>
                <w:color w:val="000000"/>
                <w:sz w:val="20"/>
                <w:szCs w:val="20"/>
              </w:rPr>
              <w:t xml:space="preserve">     30,644 </w:t>
            </w:r>
          </w:p>
        </w:tc>
        <w:tc>
          <w:tcPr>
            <w:tcW w:w="1250" w:type="dxa"/>
            <w:noWrap/>
            <w:hideMark/>
          </w:tcPr>
          <w:p w14:paraId="47FC88B7"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000000"/>
                <w:sz w:val="20"/>
                <w:szCs w:val="20"/>
              </w:rPr>
            </w:pPr>
            <w:r w:rsidRPr="00E03014">
              <w:rPr>
                <w:rFonts w:ascii="Times New Roman" w:eastAsia="Times New Roman" w:hAnsi="Times New Roman"/>
                <w:i/>
                <w:iCs/>
                <w:color w:val="000000"/>
                <w:sz w:val="20"/>
                <w:szCs w:val="20"/>
              </w:rPr>
              <w:t xml:space="preserve">     28,939 </w:t>
            </w:r>
          </w:p>
        </w:tc>
        <w:tc>
          <w:tcPr>
            <w:tcW w:w="1284" w:type="dxa"/>
            <w:noWrap/>
            <w:hideMark/>
          </w:tcPr>
          <w:p w14:paraId="3E15ABC6"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sz w:val="20"/>
                <w:szCs w:val="20"/>
              </w:rPr>
            </w:pPr>
            <w:r w:rsidRPr="00E03014">
              <w:rPr>
                <w:rFonts w:ascii="Times New Roman" w:eastAsia="Times New Roman" w:hAnsi="Times New Roman"/>
                <w:i/>
                <w:iCs/>
                <w:sz w:val="20"/>
                <w:szCs w:val="20"/>
              </w:rPr>
              <w:t xml:space="preserve">        1,705 </w:t>
            </w:r>
          </w:p>
        </w:tc>
        <w:tc>
          <w:tcPr>
            <w:tcW w:w="931" w:type="dxa"/>
            <w:noWrap/>
            <w:hideMark/>
          </w:tcPr>
          <w:p w14:paraId="606B95DB"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sz w:val="20"/>
                <w:szCs w:val="20"/>
              </w:rPr>
            </w:pPr>
            <w:r w:rsidRPr="00E03014">
              <w:rPr>
                <w:rFonts w:ascii="Times New Roman" w:eastAsia="Times New Roman" w:hAnsi="Times New Roman"/>
                <w:i/>
                <w:iCs/>
                <w:sz w:val="20"/>
                <w:szCs w:val="20"/>
              </w:rPr>
              <w:t>5.9%</w:t>
            </w:r>
          </w:p>
        </w:tc>
      </w:tr>
      <w:tr w:rsidR="00E03014" w:rsidRPr="00E03014" w14:paraId="10F0F0BE"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123D0C50" w14:textId="77777777" w:rsidR="00E03014" w:rsidRPr="00E03014" w:rsidRDefault="00E03014" w:rsidP="00E03014">
            <w:pPr>
              <w:spacing w:line="240" w:lineRule="auto"/>
              <w:ind w:firstLineChars="100" w:firstLine="200"/>
              <w:jc w:val="left"/>
              <w:rPr>
                <w:rFonts w:ascii="Times New Roman" w:eastAsia="Times New Roman" w:hAnsi="Times New Roman"/>
                <w:b w:val="0"/>
                <w:bCs w:val="0"/>
                <w:color w:val="000000"/>
                <w:sz w:val="20"/>
                <w:szCs w:val="20"/>
              </w:rPr>
            </w:pPr>
            <w:r w:rsidRPr="00E03014">
              <w:rPr>
                <w:rFonts w:ascii="Times New Roman" w:eastAsia="Times New Roman" w:hAnsi="Times New Roman"/>
                <w:b w:val="0"/>
                <w:bCs w:val="0"/>
                <w:color w:val="000000"/>
                <w:sz w:val="20"/>
                <w:szCs w:val="20"/>
              </w:rPr>
              <w:t>Other Excise</w:t>
            </w:r>
          </w:p>
        </w:tc>
        <w:tc>
          <w:tcPr>
            <w:tcW w:w="1250" w:type="dxa"/>
            <w:noWrap/>
            <w:hideMark/>
          </w:tcPr>
          <w:p w14:paraId="4B0E0319"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78,840 </w:t>
            </w:r>
          </w:p>
        </w:tc>
        <w:tc>
          <w:tcPr>
            <w:tcW w:w="1250" w:type="dxa"/>
            <w:noWrap/>
            <w:hideMark/>
          </w:tcPr>
          <w:p w14:paraId="7399AC19"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76,715 </w:t>
            </w:r>
          </w:p>
        </w:tc>
        <w:tc>
          <w:tcPr>
            <w:tcW w:w="1284" w:type="dxa"/>
            <w:noWrap/>
            <w:hideMark/>
          </w:tcPr>
          <w:p w14:paraId="696C2900"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2,125 </w:t>
            </w:r>
          </w:p>
        </w:tc>
        <w:tc>
          <w:tcPr>
            <w:tcW w:w="931" w:type="dxa"/>
            <w:noWrap/>
            <w:hideMark/>
          </w:tcPr>
          <w:p w14:paraId="756DD0D2"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2.8%</w:t>
            </w:r>
          </w:p>
        </w:tc>
      </w:tr>
      <w:tr w:rsidR="00E03014" w:rsidRPr="00E03014" w14:paraId="23D3D167"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06506498" w14:textId="77777777" w:rsidR="00E03014" w:rsidRPr="00E03014" w:rsidRDefault="00E03014" w:rsidP="00E03014">
            <w:pPr>
              <w:spacing w:line="240" w:lineRule="auto"/>
              <w:jc w:val="left"/>
              <w:rPr>
                <w:rFonts w:ascii="Times New Roman" w:eastAsia="Times New Roman" w:hAnsi="Times New Roman"/>
                <w:color w:val="000000"/>
                <w:sz w:val="20"/>
                <w:szCs w:val="20"/>
              </w:rPr>
            </w:pPr>
            <w:proofErr w:type="gramStart"/>
            <w:r w:rsidRPr="00E03014">
              <w:rPr>
                <w:rFonts w:ascii="Times New Roman" w:eastAsia="Times New Roman" w:hAnsi="Times New Roman"/>
                <w:color w:val="000000"/>
                <w:sz w:val="20"/>
                <w:szCs w:val="20"/>
              </w:rPr>
              <w:t>NON TAX</w:t>
            </w:r>
            <w:proofErr w:type="gramEnd"/>
            <w:r w:rsidRPr="00E03014">
              <w:rPr>
                <w:rFonts w:ascii="Times New Roman" w:eastAsia="Times New Roman" w:hAnsi="Times New Roman"/>
                <w:color w:val="000000"/>
                <w:sz w:val="20"/>
                <w:szCs w:val="20"/>
              </w:rPr>
              <w:t xml:space="preserve"> REVENUE DEPARTMENT (NTR)</w:t>
            </w:r>
          </w:p>
        </w:tc>
        <w:tc>
          <w:tcPr>
            <w:tcW w:w="1250" w:type="dxa"/>
            <w:noWrap/>
            <w:hideMark/>
          </w:tcPr>
          <w:p w14:paraId="552FDE34"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1,447,323 </w:t>
            </w:r>
          </w:p>
        </w:tc>
        <w:tc>
          <w:tcPr>
            <w:tcW w:w="1250" w:type="dxa"/>
            <w:noWrap/>
            <w:hideMark/>
          </w:tcPr>
          <w:p w14:paraId="286C5991"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1,723,731 </w:t>
            </w:r>
          </w:p>
        </w:tc>
        <w:tc>
          <w:tcPr>
            <w:tcW w:w="1284" w:type="dxa"/>
            <w:noWrap/>
            <w:hideMark/>
          </w:tcPr>
          <w:p w14:paraId="5FB4DFFF"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 xml:space="preserve">    (276,407)</w:t>
            </w:r>
          </w:p>
        </w:tc>
        <w:tc>
          <w:tcPr>
            <w:tcW w:w="931" w:type="dxa"/>
            <w:noWrap/>
            <w:hideMark/>
          </w:tcPr>
          <w:p w14:paraId="39022F0D"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-16.0%</w:t>
            </w:r>
          </w:p>
        </w:tc>
      </w:tr>
      <w:tr w:rsidR="00E03014" w:rsidRPr="00E03014" w14:paraId="58A70030"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1015216E" w14:textId="77777777" w:rsidR="00E03014" w:rsidRPr="00E03014" w:rsidRDefault="00E03014" w:rsidP="00E03014">
            <w:pPr>
              <w:spacing w:line="240" w:lineRule="auto"/>
              <w:jc w:val="left"/>
              <w:rPr>
                <w:rFonts w:ascii="Times New Roman" w:eastAsia="Times New Roman" w:hAnsi="Times New Roman"/>
                <w:i/>
                <w:iCs/>
                <w:color w:val="000000"/>
                <w:sz w:val="20"/>
                <w:szCs w:val="20"/>
              </w:rPr>
            </w:pPr>
            <w:r w:rsidRPr="00E03014">
              <w:rPr>
                <w:rFonts w:ascii="Times New Roman" w:eastAsia="Times New Roman" w:hAnsi="Times New Roman"/>
                <w:i/>
                <w:iCs/>
                <w:color w:val="000000"/>
                <w:sz w:val="20"/>
                <w:szCs w:val="20"/>
              </w:rPr>
              <w:t>Mines Revenue</w:t>
            </w:r>
          </w:p>
        </w:tc>
        <w:tc>
          <w:tcPr>
            <w:tcW w:w="1250" w:type="dxa"/>
            <w:noWrap/>
            <w:hideMark/>
          </w:tcPr>
          <w:p w14:paraId="15B0379B"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414,292 </w:t>
            </w:r>
          </w:p>
        </w:tc>
        <w:tc>
          <w:tcPr>
            <w:tcW w:w="1250" w:type="dxa"/>
            <w:noWrap/>
            <w:hideMark/>
          </w:tcPr>
          <w:p w14:paraId="2451E318"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522,749 </w:t>
            </w:r>
          </w:p>
        </w:tc>
        <w:tc>
          <w:tcPr>
            <w:tcW w:w="1284" w:type="dxa"/>
            <w:noWrap/>
            <w:hideMark/>
          </w:tcPr>
          <w:p w14:paraId="7481C284"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 xml:space="preserve">    (108,456)</w:t>
            </w:r>
          </w:p>
        </w:tc>
        <w:tc>
          <w:tcPr>
            <w:tcW w:w="931" w:type="dxa"/>
            <w:noWrap/>
            <w:hideMark/>
          </w:tcPr>
          <w:p w14:paraId="31104800"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-20.7%</w:t>
            </w:r>
          </w:p>
        </w:tc>
      </w:tr>
      <w:tr w:rsidR="00E03014" w:rsidRPr="00E03014" w14:paraId="3A8B62D8"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19BF29A0" w14:textId="77777777" w:rsidR="00E03014" w:rsidRPr="00E03014" w:rsidRDefault="00E03014" w:rsidP="00E03014">
            <w:pPr>
              <w:spacing w:line="240" w:lineRule="auto"/>
              <w:ind w:firstLineChars="100" w:firstLine="200"/>
              <w:jc w:val="left"/>
              <w:rPr>
                <w:rFonts w:ascii="Times New Roman" w:eastAsia="Times New Roman" w:hAnsi="Times New Roman"/>
                <w:b w:val="0"/>
                <w:bCs w:val="0"/>
                <w:i/>
                <w:iCs/>
                <w:color w:val="000000"/>
                <w:sz w:val="20"/>
                <w:szCs w:val="20"/>
              </w:rPr>
            </w:pPr>
            <w:r w:rsidRPr="00E03014">
              <w:rPr>
                <w:rFonts w:ascii="Times New Roman" w:eastAsia="Times New Roman" w:hAnsi="Times New Roman"/>
                <w:b w:val="0"/>
                <w:bCs w:val="0"/>
                <w:i/>
                <w:iCs/>
                <w:color w:val="000000"/>
                <w:sz w:val="20"/>
                <w:szCs w:val="20"/>
              </w:rPr>
              <w:t>Royalty on Rutile</w:t>
            </w:r>
          </w:p>
        </w:tc>
        <w:tc>
          <w:tcPr>
            <w:tcW w:w="1250" w:type="dxa"/>
            <w:noWrap/>
            <w:hideMark/>
          </w:tcPr>
          <w:p w14:paraId="55ACA016"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7,657 </w:t>
            </w:r>
          </w:p>
        </w:tc>
        <w:tc>
          <w:tcPr>
            <w:tcW w:w="1250" w:type="dxa"/>
            <w:noWrap/>
            <w:hideMark/>
          </w:tcPr>
          <w:p w14:paraId="5A865856"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46,975 </w:t>
            </w:r>
          </w:p>
        </w:tc>
        <w:tc>
          <w:tcPr>
            <w:tcW w:w="1284" w:type="dxa"/>
            <w:noWrap/>
            <w:hideMark/>
          </w:tcPr>
          <w:p w14:paraId="6EF7CE1B"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(39,318)</w:t>
            </w:r>
          </w:p>
        </w:tc>
        <w:tc>
          <w:tcPr>
            <w:tcW w:w="931" w:type="dxa"/>
            <w:noWrap/>
            <w:hideMark/>
          </w:tcPr>
          <w:p w14:paraId="33AACD1B"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-83.7%</w:t>
            </w:r>
          </w:p>
        </w:tc>
      </w:tr>
      <w:tr w:rsidR="00E03014" w:rsidRPr="00E03014" w14:paraId="011E2F1C"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105BD0BD" w14:textId="77777777" w:rsidR="00E03014" w:rsidRPr="00E03014" w:rsidRDefault="00E03014" w:rsidP="00E03014">
            <w:pPr>
              <w:spacing w:line="240" w:lineRule="auto"/>
              <w:ind w:firstLineChars="100" w:firstLine="200"/>
              <w:jc w:val="left"/>
              <w:rPr>
                <w:rFonts w:ascii="Times New Roman" w:eastAsia="Times New Roman" w:hAnsi="Times New Roman"/>
                <w:b w:val="0"/>
                <w:bCs w:val="0"/>
                <w:i/>
                <w:iCs/>
                <w:color w:val="000000"/>
                <w:sz w:val="20"/>
                <w:szCs w:val="20"/>
              </w:rPr>
            </w:pPr>
            <w:r w:rsidRPr="00E03014">
              <w:rPr>
                <w:rFonts w:ascii="Times New Roman" w:eastAsia="Times New Roman" w:hAnsi="Times New Roman"/>
                <w:b w:val="0"/>
                <w:bCs w:val="0"/>
                <w:i/>
                <w:iCs/>
                <w:color w:val="000000"/>
                <w:sz w:val="20"/>
                <w:szCs w:val="20"/>
              </w:rPr>
              <w:t>Royalty on Bauxite</w:t>
            </w:r>
          </w:p>
        </w:tc>
        <w:tc>
          <w:tcPr>
            <w:tcW w:w="1250" w:type="dxa"/>
            <w:noWrap/>
            <w:hideMark/>
          </w:tcPr>
          <w:p w14:paraId="2D639517"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 </w:t>
            </w:r>
          </w:p>
        </w:tc>
        <w:tc>
          <w:tcPr>
            <w:tcW w:w="1250" w:type="dxa"/>
            <w:noWrap/>
            <w:hideMark/>
          </w:tcPr>
          <w:p w14:paraId="605B5032"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14,302 </w:t>
            </w:r>
          </w:p>
        </w:tc>
        <w:tc>
          <w:tcPr>
            <w:tcW w:w="1284" w:type="dxa"/>
            <w:noWrap/>
            <w:hideMark/>
          </w:tcPr>
          <w:p w14:paraId="2A207AE3"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(14,302)</w:t>
            </w:r>
          </w:p>
        </w:tc>
        <w:tc>
          <w:tcPr>
            <w:tcW w:w="931" w:type="dxa"/>
            <w:noWrap/>
            <w:hideMark/>
          </w:tcPr>
          <w:p w14:paraId="3B171F72"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-100.0%</w:t>
            </w:r>
          </w:p>
        </w:tc>
      </w:tr>
      <w:tr w:rsidR="00E03014" w:rsidRPr="00E03014" w14:paraId="062CC98A"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7E01FEB7" w14:textId="77777777" w:rsidR="00E03014" w:rsidRPr="00E03014" w:rsidRDefault="00E03014" w:rsidP="00E03014">
            <w:pPr>
              <w:spacing w:line="240" w:lineRule="auto"/>
              <w:ind w:firstLineChars="100" w:firstLine="200"/>
              <w:jc w:val="left"/>
              <w:rPr>
                <w:rFonts w:ascii="Times New Roman" w:eastAsia="Times New Roman" w:hAnsi="Times New Roman"/>
                <w:b w:val="0"/>
                <w:bCs w:val="0"/>
                <w:i/>
                <w:iCs/>
                <w:color w:val="000000"/>
                <w:sz w:val="20"/>
                <w:szCs w:val="20"/>
              </w:rPr>
            </w:pPr>
            <w:r w:rsidRPr="00E03014">
              <w:rPr>
                <w:rFonts w:ascii="Times New Roman" w:eastAsia="Times New Roman" w:hAnsi="Times New Roman"/>
                <w:b w:val="0"/>
                <w:bCs w:val="0"/>
                <w:i/>
                <w:iCs/>
                <w:color w:val="000000"/>
                <w:sz w:val="20"/>
                <w:szCs w:val="20"/>
              </w:rPr>
              <w:t>Royalty on Diamond and Gold</w:t>
            </w:r>
          </w:p>
        </w:tc>
        <w:tc>
          <w:tcPr>
            <w:tcW w:w="1250" w:type="dxa"/>
            <w:noWrap/>
            <w:hideMark/>
          </w:tcPr>
          <w:p w14:paraId="2D959F81"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157,883 </w:t>
            </w:r>
          </w:p>
        </w:tc>
        <w:tc>
          <w:tcPr>
            <w:tcW w:w="1250" w:type="dxa"/>
            <w:noWrap/>
            <w:hideMark/>
          </w:tcPr>
          <w:p w14:paraId="6014E1F7"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83,932 </w:t>
            </w:r>
          </w:p>
        </w:tc>
        <w:tc>
          <w:tcPr>
            <w:tcW w:w="1284" w:type="dxa"/>
            <w:noWrap/>
            <w:hideMark/>
          </w:tcPr>
          <w:p w14:paraId="1C2DB339"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73,951 </w:t>
            </w:r>
          </w:p>
        </w:tc>
        <w:tc>
          <w:tcPr>
            <w:tcW w:w="931" w:type="dxa"/>
            <w:noWrap/>
            <w:hideMark/>
          </w:tcPr>
          <w:p w14:paraId="20415A2A"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88.1%</w:t>
            </w:r>
          </w:p>
        </w:tc>
      </w:tr>
      <w:tr w:rsidR="00E03014" w:rsidRPr="00E03014" w14:paraId="5B497DBB"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7F3C6329" w14:textId="77777777" w:rsidR="00E03014" w:rsidRPr="00E03014" w:rsidRDefault="00E03014" w:rsidP="00E03014">
            <w:pPr>
              <w:spacing w:line="240" w:lineRule="auto"/>
              <w:ind w:firstLineChars="100" w:firstLine="200"/>
              <w:jc w:val="left"/>
              <w:rPr>
                <w:rFonts w:ascii="Times New Roman" w:eastAsia="Times New Roman" w:hAnsi="Times New Roman"/>
                <w:b w:val="0"/>
                <w:bCs w:val="0"/>
                <w:i/>
                <w:iCs/>
                <w:color w:val="000000"/>
                <w:sz w:val="20"/>
                <w:szCs w:val="20"/>
              </w:rPr>
            </w:pPr>
            <w:r w:rsidRPr="00E03014">
              <w:rPr>
                <w:rFonts w:ascii="Times New Roman" w:eastAsia="Times New Roman" w:hAnsi="Times New Roman"/>
                <w:b w:val="0"/>
                <w:bCs w:val="0"/>
                <w:i/>
                <w:iCs/>
                <w:color w:val="000000"/>
                <w:sz w:val="20"/>
                <w:szCs w:val="20"/>
              </w:rPr>
              <w:t>Royalty on Iron Ore</w:t>
            </w:r>
          </w:p>
        </w:tc>
        <w:tc>
          <w:tcPr>
            <w:tcW w:w="1250" w:type="dxa"/>
            <w:noWrap/>
            <w:hideMark/>
          </w:tcPr>
          <w:p w14:paraId="4AB5064B"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86,089 </w:t>
            </w:r>
          </w:p>
        </w:tc>
        <w:tc>
          <w:tcPr>
            <w:tcW w:w="1250" w:type="dxa"/>
            <w:noWrap/>
            <w:hideMark/>
          </w:tcPr>
          <w:p w14:paraId="1DBF4264"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260,455 </w:t>
            </w:r>
          </w:p>
        </w:tc>
        <w:tc>
          <w:tcPr>
            <w:tcW w:w="1284" w:type="dxa"/>
            <w:noWrap/>
            <w:hideMark/>
          </w:tcPr>
          <w:p w14:paraId="4D62B352"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(174,366)</w:t>
            </w:r>
          </w:p>
        </w:tc>
        <w:tc>
          <w:tcPr>
            <w:tcW w:w="931" w:type="dxa"/>
            <w:noWrap/>
            <w:hideMark/>
          </w:tcPr>
          <w:p w14:paraId="5E862515"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-66.9%</w:t>
            </w:r>
          </w:p>
        </w:tc>
      </w:tr>
      <w:tr w:rsidR="00E03014" w:rsidRPr="00E03014" w14:paraId="69115F4D"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2D694660" w14:textId="77777777" w:rsidR="00E03014" w:rsidRPr="00E03014" w:rsidRDefault="00E03014" w:rsidP="00E03014">
            <w:pPr>
              <w:spacing w:line="240" w:lineRule="auto"/>
              <w:ind w:firstLineChars="100" w:firstLine="200"/>
              <w:jc w:val="left"/>
              <w:rPr>
                <w:rFonts w:ascii="Times New Roman" w:eastAsia="Times New Roman" w:hAnsi="Times New Roman"/>
                <w:b w:val="0"/>
                <w:bCs w:val="0"/>
                <w:i/>
                <w:iCs/>
                <w:color w:val="000000"/>
                <w:sz w:val="20"/>
                <w:szCs w:val="20"/>
              </w:rPr>
            </w:pPr>
            <w:r w:rsidRPr="00E03014">
              <w:rPr>
                <w:rFonts w:ascii="Times New Roman" w:eastAsia="Times New Roman" w:hAnsi="Times New Roman"/>
                <w:b w:val="0"/>
                <w:bCs w:val="0"/>
                <w:i/>
                <w:iCs/>
                <w:color w:val="000000"/>
                <w:sz w:val="20"/>
                <w:szCs w:val="20"/>
              </w:rPr>
              <w:t>Mining Licences</w:t>
            </w:r>
          </w:p>
        </w:tc>
        <w:tc>
          <w:tcPr>
            <w:tcW w:w="1250" w:type="dxa"/>
            <w:noWrap/>
            <w:hideMark/>
          </w:tcPr>
          <w:p w14:paraId="3ABDA9BE"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162,663 </w:t>
            </w:r>
          </w:p>
        </w:tc>
        <w:tc>
          <w:tcPr>
            <w:tcW w:w="1250" w:type="dxa"/>
            <w:noWrap/>
            <w:hideMark/>
          </w:tcPr>
          <w:p w14:paraId="1925A1D6"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117,085 </w:t>
            </w:r>
          </w:p>
        </w:tc>
        <w:tc>
          <w:tcPr>
            <w:tcW w:w="1284" w:type="dxa"/>
            <w:noWrap/>
            <w:hideMark/>
          </w:tcPr>
          <w:p w14:paraId="53BE50FA"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45,579 </w:t>
            </w:r>
          </w:p>
        </w:tc>
        <w:tc>
          <w:tcPr>
            <w:tcW w:w="931" w:type="dxa"/>
            <w:noWrap/>
            <w:hideMark/>
          </w:tcPr>
          <w:p w14:paraId="4735768A"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38.9%</w:t>
            </w:r>
          </w:p>
        </w:tc>
      </w:tr>
      <w:tr w:rsidR="00E03014" w:rsidRPr="00E03014" w14:paraId="2D867FD1"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5A81FEA3" w14:textId="77777777" w:rsidR="00E03014" w:rsidRPr="00E03014" w:rsidRDefault="00E03014" w:rsidP="00E03014">
            <w:pPr>
              <w:spacing w:line="240" w:lineRule="auto"/>
              <w:jc w:val="left"/>
              <w:rPr>
                <w:rFonts w:ascii="Times New Roman" w:eastAsia="Times New Roman" w:hAnsi="Times New Roman"/>
                <w:i/>
                <w:iCs/>
                <w:color w:val="000000"/>
                <w:sz w:val="20"/>
                <w:szCs w:val="20"/>
              </w:rPr>
            </w:pPr>
            <w:r w:rsidRPr="00E03014">
              <w:rPr>
                <w:rFonts w:ascii="Times New Roman" w:eastAsia="Times New Roman" w:hAnsi="Times New Roman"/>
                <w:i/>
                <w:iCs/>
                <w:color w:val="000000"/>
                <w:sz w:val="20"/>
                <w:szCs w:val="20"/>
              </w:rPr>
              <w:t>Other Departments</w:t>
            </w:r>
          </w:p>
        </w:tc>
        <w:tc>
          <w:tcPr>
            <w:tcW w:w="1250" w:type="dxa"/>
            <w:noWrap/>
            <w:hideMark/>
          </w:tcPr>
          <w:p w14:paraId="4812A21C"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1,033,031 </w:t>
            </w:r>
          </w:p>
        </w:tc>
        <w:tc>
          <w:tcPr>
            <w:tcW w:w="1250" w:type="dxa"/>
            <w:noWrap/>
            <w:hideMark/>
          </w:tcPr>
          <w:p w14:paraId="0DE1DF6C"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1,200,982 </w:t>
            </w:r>
          </w:p>
        </w:tc>
        <w:tc>
          <w:tcPr>
            <w:tcW w:w="1284" w:type="dxa"/>
            <w:noWrap/>
            <w:hideMark/>
          </w:tcPr>
          <w:p w14:paraId="2D44DE25"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 xml:space="preserve">    (167,951)</w:t>
            </w:r>
          </w:p>
        </w:tc>
        <w:tc>
          <w:tcPr>
            <w:tcW w:w="931" w:type="dxa"/>
            <w:noWrap/>
            <w:hideMark/>
          </w:tcPr>
          <w:p w14:paraId="460AF5DA"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-14.0%</w:t>
            </w:r>
          </w:p>
        </w:tc>
      </w:tr>
      <w:tr w:rsidR="00E03014" w:rsidRPr="00E03014" w14:paraId="51D0224E"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1BE243AE" w14:textId="77777777" w:rsidR="00E03014" w:rsidRPr="00E03014" w:rsidRDefault="00E03014" w:rsidP="00E03014">
            <w:pPr>
              <w:spacing w:line="240" w:lineRule="auto"/>
              <w:ind w:firstLineChars="100" w:firstLine="200"/>
              <w:jc w:val="left"/>
              <w:rPr>
                <w:rFonts w:ascii="Times New Roman" w:eastAsia="Times New Roman" w:hAnsi="Times New Roman"/>
                <w:b w:val="0"/>
                <w:bCs w:val="0"/>
                <w:color w:val="000000"/>
                <w:sz w:val="20"/>
                <w:szCs w:val="20"/>
              </w:rPr>
            </w:pPr>
            <w:r w:rsidRPr="00E03014">
              <w:rPr>
                <w:rFonts w:ascii="Times New Roman" w:eastAsia="Times New Roman" w:hAnsi="Times New Roman"/>
                <w:b w:val="0"/>
                <w:bCs w:val="0"/>
                <w:color w:val="000000"/>
                <w:sz w:val="20"/>
                <w:szCs w:val="20"/>
              </w:rPr>
              <w:t>Royalty on Fisheries etc</w:t>
            </w:r>
          </w:p>
        </w:tc>
        <w:tc>
          <w:tcPr>
            <w:tcW w:w="1250" w:type="dxa"/>
            <w:noWrap/>
            <w:hideMark/>
          </w:tcPr>
          <w:p w14:paraId="524B1A04"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100,762 </w:t>
            </w:r>
          </w:p>
        </w:tc>
        <w:tc>
          <w:tcPr>
            <w:tcW w:w="1250" w:type="dxa"/>
            <w:noWrap/>
            <w:hideMark/>
          </w:tcPr>
          <w:p w14:paraId="2631E0F3"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81,056 </w:t>
            </w:r>
          </w:p>
        </w:tc>
        <w:tc>
          <w:tcPr>
            <w:tcW w:w="1284" w:type="dxa"/>
            <w:noWrap/>
            <w:hideMark/>
          </w:tcPr>
          <w:p w14:paraId="628F876B"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19,706 </w:t>
            </w:r>
          </w:p>
        </w:tc>
        <w:tc>
          <w:tcPr>
            <w:tcW w:w="931" w:type="dxa"/>
            <w:noWrap/>
            <w:hideMark/>
          </w:tcPr>
          <w:p w14:paraId="374AF61A"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24.3%</w:t>
            </w:r>
          </w:p>
        </w:tc>
      </w:tr>
      <w:tr w:rsidR="00E03014" w:rsidRPr="00E03014" w14:paraId="5A523E77"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38C0E287" w14:textId="77777777" w:rsidR="00E03014" w:rsidRPr="00E03014" w:rsidRDefault="00E03014" w:rsidP="00E03014">
            <w:pPr>
              <w:spacing w:line="240" w:lineRule="auto"/>
              <w:ind w:firstLineChars="100" w:firstLine="200"/>
              <w:jc w:val="left"/>
              <w:rPr>
                <w:rFonts w:ascii="Times New Roman" w:eastAsia="Times New Roman" w:hAnsi="Times New Roman"/>
                <w:b w:val="0"/>
                <w:bCs w:val="0"/>
                <w:color w:val="000000"/>
                <w:sz w:val="20"/>
                <w:szCs w:val="20"/>
              </w:rPr>
            </w:pPr>
            <w:r w:rsidRPr="00E03014">
              <w:rPr>
                <w:rFonts w:ascii="Times New Roman" w:eastAsia="Times New Roman" w:hAnsi="Times New Roman"/>
                <w:b w:val="0"/>
                <w:bCs w:val="0"/>
                <w:color w:val="000000"/>
                <w:sz w:val="20"/>
                <w:szCs w:val="20"/>
              </w:rPr>
              <w:t xml:space="preserve">Parastatals </w:t>
            </w:r>
            <w:proofErr w:type="gramStart"/>
            <w:r w:rsidRPr="00E03014">
              <w:rPr>
                <w:rFonts w:ascii="Times New Roman" w:eastAsia="Times New Roman" w:hAnsi="Times New Roman"/>
                <w:b w:val="0"/>
                <w:bCs w:val="0"/>
                <w:color w:val="000000"/>
                <w:sz w:val="20"/>
                <w:szCs w:val="20"/>
              </w:rPr>
              <w:t>( Cargo</w:t>
            </w:r>
            <w:proofErr w:type="gramEnd"/>
            <w:r w:rsidRPr="00E03014">
              <w:rPr>
                <w:rFonts w:ascii="Times New Roman" w:eastAsia="Times New Roman" w:hAnsi="Times New Roman"/>
                <w:b w:val="0"/>
                <w:bCs w:val="0"/>
                <w:color w:val="000000"/>
                <w:sz w:val="20"/>
                <w:szCs w:val="20"/>
              </w:rPr>
              <w:t xml:space="preserve"> Tracking/Bollore)</w:t>
            </w:r>
          </w:p>
        </w:tc>
        <w:tc>
          <w:tcPr>
            <w:tcW w:w="1250" w:type="dxa"/>
            <w:noWrap/>
            <w:hideMark/>
          </w:tcPr>
          <w:p w14:paraId="5ABF26DD"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176,332 </w:t>
            </w:r>
          </w:p>
        </w:tc>
        <w:tc>
          <w:tcPr>
            <w:tcW w:w="1250" w:type="dxa"/>
            <w:noWrap/>
            <w:hideMark/>
          </w:tcPr>
          <w:p w14:paraId="7242D39C"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110,159 </w:t>
            </w:r>
          </w:p>
        </w:tc>
        <w:tc>
          <w:tcPr>
            <w:tcW w:w="1284" w:type="dxa"/>
            <w:noWrap/>
            <w:hideMark/>
          </w:tcPr>
          <w:p w14:paraId="08BCF406"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66,173 </w:t>
            </w:r>
          </w:p>
        </w:tc>
        <w:tc>
          <w:tcPr>
            <w:tcW w:w="931" w:type="dxa"/>
            <w:noWrap/>
            <w:hideMark/>
          </w:tcPr>
          <w:p w14:paraId="53EA3078"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60.1%</w:t>
            </w:r>
          </w:p>
        </w:tc>
      </w:tr>
      <w:tr w:rsidR="00E03014" w:rsidRPr="00E03014" w14:paraId="266731B9"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20333107" w14:textId="77777777" w:rsidR="00E03014" w:rsidRPr="00E03014" w:rsidRDefault="00E03014" w:rsidP="00E03014">
            <w:pPr>
              <w:spacing w:line="240" w:lineRule="auto"/>
              <w:ind w:firstLineChars="100" w:firstLine="200"/>
              <w:jc w:val="left"/>
              <w:rPr>
                <w:rFonts w:ascii="Times New Roman" w:eastAsia="Times New Roman" w:hAnsi="Times New Roman"/>
                <w:b w:val="0"/>
                <w:bCs w:val="0"/>
                <w:color w:val="000000"/>
                <w:sz w:val="20"/>
                <w:szCs w:val="20"/>
              </w:rPr>
            </w:pPr>
            <w:r w:rsidRPr="00E03014">
              <w:rPr>
                <w:rFonts w:ascii="Times New Roman" w:eastAsia="Times New Roman" w:hAnsi="Times New Roman"/>
                <w:b w:val="0"/>
                <w:bCs w:val="0"/>
                <w:color w:val="000000"/>
                <w:sz w:val="20"/>
                <w:szCs w:val="20"/>
              </w:rPr>
              <w:t>Other Revenues</w:t>
            </w:r>
          </w:p>
        </w:tc>
        <w:tc>
          <w:tcPr>
            <w:tcW w:w="1250" w:type="dxa"/>
            <w:noWrap/>
            <w:hideMark/>
          </w:tcPr>
          <w:p w14:paraId="66EC8C31"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755,937 </w:t>
            </w:r>
          </w:p>
        </w:tc>
        <w:tc>
          <w:tcPr>
            <w:tcW w:w="1250" w:type="dxa"/>
            <w:noWrap/>
            <w:hideMark/>
          </w:tcPr>
          <w:p w14:paraId="1BCB2BEA"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1,009,766 </w:t>
            </w:r>
          </w:p>
        </w:tc>
        <w:tc>
          <w:tcPr>
            <w:tcW w:w="1284" w:type="dxa"/>
            <w:noWrap/>
            <w:hideMark/>
          </w:tcPr>
          <w:p w14:paraId="5C606A00"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(253,830)</w:t>
            </w:r>
          </w:p>
        </w:tc>
        <w:tc>
          <w:tcPr>
            <w:tcW w:w="931" w:type="dxa"/>
            <w:noWrap/>
            <w:hideMark/>
          </w:tcPr>
          <w:p w14:paraId="79CF7277"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-25.1%</w:t>
            </w:r>
          </w:p>
        </w:tc>
      </w:tr>
      <w:tr w:rsidR="00E03014" w:rsidRPr="00E03014" w14:paraId="3C480DD2" w14:textId="77777777" w:rsidTr="00E0301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5FEB4EA9" w14:textId="77777777" w:rsidR="00E03014" w:rsidRPr="00E03014" w:rsidRDefault="00E03014" w:rsidP="00E03014">
            <w:pPr>
              <w:spacing w:line="240" w:lineRule="auto"/>
              <w:ind w:firstLineChars="200" w:firstLine="400"/>
              <w:jc w:val="left"/>
              <w:rPr>
                <w:rFonts w:ascii="Times New Roman" w:eastAsia="Times New Roman" w:hAnsi="Times New Roman"/>
                <w:b w:val="0"/>
                <w:bCs w:val="0"/>
                <w:i/>
                <w:iCs/>
                <w:color w:val="000000"/>
                <w:sz w:val="20"/>
                <w:szCs w:val="20"/>
              </w:rPr>
            </w:pPr>
            <w:r w:rsidRPr="00E03014">
              <w:rPr>
                <w:rFonts w:ascii="Times New Roman" w:eastAsia="Times New Roman" w:hAnsi="Times New Roman"/>
                <w:b w:val="0"/>
                <w:bCs w:val="0"/>
                <w:i/>
                <w:iCs/>
                <w:color w:val="000000"/>
                <w:sz w:val="20"/>
                <w:szCs w:val="20"/>
              </w:rPr>
              <w:t>o/w TSA</w:t>
            </w:r>
          </w:p>
        </w:tc>
        <w:tc>
          <w:tcPr>
            <w:tcW w:w="1250" w:type="dxa"/>
            <w:noWrap/>
            <w:hideMark/>
          </w:tcPr>
          <w:p w14:paraId="61359C08"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613,272 </w:t>
            </w:r>
          </w:p>
        </w:tc>
        <w:tc>
          <w:tcPr>
            <w:tcW w:w="1250" w:type="dxa"/>
            <w:noWrap/>
            <w:hideMark/>
          </w:tcPr>
          <w:p w14:paraId="60AFDBA9"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445,528 </w:t>
            </w:r>
          </w:p>
        </w:tc>
        <w:tc>
          <w:tcPr>
            <w:tcW w:w="1284" w:type="dxa"/>
            <w:noWrap/>
            <w:hideMark/>
          </w:tcPr>
          <w:p w14:paraId="558ACCCB"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167,744 </w:t>
            </w:r>
          </w:p>
        </w:tc>
        <w:tc>
          <w:tcPr>
            <w:tcW w:w="931" w:type="dxa"/>
            <w:noWrap/>
            <w:hideMark/>
          </w:tcPr>
          <w:p w14:paraId="48DF5EE3"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37.7%</w:t>
            </w:r>
          </w:p>
        </w:tc>
      </w:tr>
      <w:tr w:rsidR="00E03014" w:rsidRPr="00E03014" w14:paraId="062C277C" w14:textId="77777777" w:rsidTr="00E03014">
        <w:trPr>
          <w:trHeight w:val="308"/>
        </w:trPr>
        <w:tc>
          <w:tcPr>
            <w:cnfStyle w:val="001000000000" w:firstRow="0" w:lastRow="0" w:firstColumn="1" w:lastColumn="0" w:oddVBand="0" w:evenVBand="0" w:oddHBand="0" w:evenHBand="0" w:firstRowFirstColumn="0" w:firstRowLastColumn="0" w:lastRowFirstColumn="0" w:lastRowLastColumn="0"/>
            <w:tcW w:w="5406" w:type="dxa"/>
            <w:noWrap/>
            <w:hideMark/>
          </w:tcPr>
          <w:p w14:paraId="33470596" w14:textId="77777777" w:rsidR="00E03014" w:rsidRPr="00E03014" w:rsidRDefault="00E03014" w:rsidP="00E03014">
            <w:pPr>
              <w:spacing w:line="240" w:lineRule="auto"/>
              <w:ind w:firstLineChars="200" w:firstLine="400"/>
              <w:jc w:val="left"/>
              <w:rPr>
                <w:rFonts w:ascii="Times New Roman" w:eastAsia="Times New Roman" w:hAnsi="Times New Roman"/>
                <w:b w:val="0"/>
                <w:bCs w:val="0"/>
                <w:i/>
                <w:iCs/>
                <w:color w:val="000000"/>
                <w:sz w:val="20"/>
                <w:szCs w:val="20"/>
              </w:rPr>
            </w:pPr>
            <w:r w:rsidRPr="00E03014">
              <w:rPr>
                <w:rFonts w:ascii="Times New Roman" w:eastAsia="Times New Roman" w:hAnsi="Times New Roman"/>
                <w:b w:val="0"/>
                <w:bCs w:val="0"/>
                <w:i/>
                <w:iCs/>
                <w:color w:val="000000"/>
                <w:sz w:val="20"/>
                <w:szCs w:val="20"/>
              </w:rPr>
              <w:t>o/w Timber</w:t>
            </w:r>
          </w:p>
        </w:tc>
        <w:tc>
          <w:tcPr>
            <w:tcW w:w="1250" w:type="dxa"/>
            <w:noWrap/>
            <w:hideMark/>
          </w:tcPr>
          <w:p w14:paraId="46AE0C3B"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58,830 </w:t>
            </w:r>
          </w:p>
        </w:tc>
        <w:tc>
          <w:tcPr>
            <w:tcW w:w="1250" w:type="dxa"/>
            <w:noWrap/>
            <w:hideMark/>
          </w:tcPr>
          <w:p w14:paraId="1E180AE1"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352,783 </w:t>
            </w:r>
          </w:p>
        </w:tc>
        <w:tc>
          <w:tcPr>
            <w:tcW w:w="1284" w:type="dxa"/>
            <w:noWrap/>
            <w:hideMark/>
          </w:tcPr>
          <w:p w14:paraId="1B660C3E"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(293,953)</w:t>
            </w:r>
          </w:p>
        </w:tc>
        <w:tc>
          <w:tcPr>
            <w:tcW w:w="931" w:type="dxa"/>
            <w:noWrap/>
            <w:hideMark/>
          </w:tcPr>
          <w:p w14:paraId="34F06A56"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-83.3%</w:t>
            </w:r>
          </w:p>
        </w:tc>
      </w:tr>
      <w:tr w:rsidR="00E03014" w:rsidRPr="00E03014" w14:paraId="48C6D0A4" w14:textId="77777777" w:rsidTr="00E0301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06" w:type="dxa"/>
            <w:noWrap/>
            <w:hideMark/>
          </w:tcPr>
          <w:p w14:paraId="66F36309" w14:textId="77777777" w:rsidR="00E03014" w:rsidRPr="00E03014" w:rsidRDefault="00E03014" w:rsidP="00E03014">
            <w:pPr>
              <w:spacing w:line="240" w:lineRule="auto"/>
              <w:ind w:firstLineChars="200" w:firstLine="400"/>
              <w:jc w:val="left"/>
              <w:rPr>
                <w:rFonts w:ascii="Times New Roman" w:eastAsia="Times New Roman" w:hAnsi="Times New Roman"/>
                <w:b w:val="0"/>
                <w:bCs w:val="0"/>
                <w:i/>
                <w:iCs/>
                <w:color w:val="000000"/>
                <w:sz w:val="20"/>
                <w:szCs w:val="20"/>
              </w:rPr>
            </w:pPr>
            <w:r w:rsidRPr="00E03014">
              <w:rPr>
                <w:rFonts w:ascii="Times New Roman" w:eastAsia="Times New Roman" w:hAnsi="Times New Roman"/>
                <w:b w:val="0"/>
                <w:bCs w:val="0"/>
                <w:i/>
                <w:iCs/>
                <w:color w:val="000000"/>
                <w:sz w:val="20"/>
                <w:szCs w:val="20"/>
              </w:rPr>
              <w:t>o/w Other MDAs</w:t>
            </w:r>
          </w:p>
        </w:tc>
        <w:tc>
          <w:tcPr>
            <w:tcW w:w="1250" w:type="dxa"/>
            <w:noWrap/>
            <w:hideMark/>
          </w:tcPr>
          <w:p w14:paraId="222B49CE"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83,835 </w:t>
            </w:r>
          </w:p>
        </w:tc>
        <w:tc>
          <w:tcPr>
            <w:tcW w:w="1250" w:type="dxa"/>
            <w:noWrap/>
            <w:hideMark/>
          </w:tcPr>
          <w:p w14:paraId="71BB2F23"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 xml:space="preserve">    211,455 </w:t>
            </w:r>
          </w:p>
        </w:tc>
        <w:tc>
          <w:tcPr>
            <w:tcW w:w="1284" w:type="dxa"/>
            <w:noWrap/>
            <w:hideMark/>
          </w:tcPr>
          <w:p w14:paraId="350C409C"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 xml:space="preserve">    (127,620)</w:t>
            </w:r>
          </w:p>
        </w:tc>
        <w:tc>
          <w:tcPr>
            <w:tcW w:w="931" w:type="dxa"/>
            <w:noWrap/>
            <w:hideMark/>
          </w:tcPr>
          <w:p w14:paraId="321773EB" w14:textId="77777777" w:rsidR="00E03014" w:rsidRPr="00E03014" w:rsidRDefault="00E03014" w:rsidP="00E0301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E03014">
              <w:rPr>
                <w:rFonts w:ascii="Times New Roman" w:eastAsia="Times New Roman" w:hAnsi="Times New Roman"/>
                <w:sz w:val="20"/>
                <w:szCs w:val="20"/>
              </w:rPr>
              <w:t>-60.4%</w:t>
            </w:r>
          </w:p>
        </w:tc>
      </w:tr>
      <w:tr w:rsidR="00E03014" w:rsidRPr="00E03014" w14:paraId="23C835EC" w14:textId="77777777" w:rsidTr="00E03014">
        <w:trPr>
          <w:trHeight w:val="315"/>
        </w:trPr>
        <w:tc>
          <w:tcPr>
            <w:cnfStyle w:val="001000000000" w:firstRow="0" w:lastRow="0" w:firstColumn="1" w:lastColumn="0" w:oddVBand="0" w:evenVBand="0" w:oddHBand="0" w:evenHBand="0" w:firstRowFirstColumn="0" w:firstRowLastColumn="0" w:lastRowFirstColumn="0" w:lastRowLastColumn="0"/>
            <w:tcW w:w="5406" w:type="dxa"/>
            <w:noWrap/>
            <w:hideMark/>
          </w:tcPr>
          <w:p w14:paraId="0E3F0E5B" w14:textId="77777777" w:rsidR="00E03014" w:rsidRPr="00E03014" w:rsidRDefault="00E03014" w:rsidP="00E03014">
            <w:pPr>
              <w:spacing w:line="240" w:lineRule="auto"/>
              <w:jc w:val="left"/>
              <w:rPr>
                <w:rFonts w:ascii="Times New Roman" w:eastAsia="Times New Roman" w:hAnsi="Times New Roman"/>
                <w:color w:val="000000"/>
                <w:sz w:val="20"/>
                <w:szCs w:val="20"/>
              </w:rPr>
            </w:pPr>
            <w:r w:rsidRPr="00E03014">
              <w:rPr>
                <w:rFonts w:ascii="Times New Roman" w:eastAsia="Times New Roman" w:hAnsi="Times New Roman"/>
                <w:color w:val="000000"/>
                <w:sz w:val="20"/>
                <w:szCs w:val="20"/>
              </w:rPr>
              <w:t>RUC</w:t>
            </w:r>
          </w:p>
        </w:tc>
        <w:tc>
          <w:tcPr>
            <w:tcW w:w="1250" w:type="dxa"/>
            <w:noWrap/>
            <w:hideMark/>
          </w:tcPr>
          <w:p w14:paraId="24166651"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172,231 </w:t>
            </w:r>
          </w:p>
        </w:tc>
        <w:tc>
          <w:tcPr>
            <w:tcW w:w="1250" w:type="dxa"/>
            <w:noWrap/>
            <w:hideMark/>
          </w:tcPr>
          <w:p w14:paraId="0A60002E"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sz w:val="20"/>
                <w:szCs w:val="20"/>
              </w:rPr>
            </w:pPr>
            <w:r w:rsidRPr="00E03014">
              <w:rPr>
                <w:rFonts w:ascii="Times New Roman" w:eastAsia="Times New Roman" w:hAnsi="Times New Roman"/>
                <w:b/>
                <w:bCs/>
                <w:color w:val="000000"/>
                <w:sz w:val="20"/>
                <w:szCs w:val="20"/>
              </w:rPr>
              <w:t xml:space="preserve">    211,839 </w:t>
            </w:r>
          </w:p>
        </w:tc>
        <w:tc>
          <w:tcPr>
            <w:tcW w:w="1284" w:type="dxa"/>
            <w:noWrap/>
            <w:hideMark/>
          </w:tcPr>
          <w:p w14:paraId="1FF39484"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 xml:space="preserve">      (39,607)</w:t>
            </w:r>
          </w:p>
        </w:tc>
        <w:tc>
          <w:tcPr>
            <w:tcW w:w="931" w:type="dxa"/>
            <w:noWrap/>
            <w:hideMark/>
          </w:tcPr>
          <w:p w14:paraId="5E956172" w14:textId="77777777" w:rsidR="00E03014" w:rsidRPr="00E03014" w:rsidRDefault="00E03014" w:rsidP="00E0301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rPr>
            </w:pPr>
            <w:r w:rsidRPr="00E03014">
              <w:rPr>
                <w:rFonts w:ascii="Times New Roman" w:eastAsia="Times New Roman" w:hAnsi="Times New Roman"/>
                <w:b/>
                <w:bCs/>
                <w:sz w:val="20"/>
                <w:szCs w:val="20"/>
              </w:rPr>
              <w:t>-18.7%</w:t>
            </w:r>
          </w:p>
        </w:tc>
      </w:tr>
    </w:tbl>
    <w:p w14:paraId="2EBB7259" w14:textId="77777777" w:rsidR="00EF2D32" w:rsidRDefault="00EF2D32" w:rsidP="00923467"/>
    <w:p w14:paraId="3D2E686E" w14:textId="700FA6A1" w:rsidR="00D70108" w:rsidRPr="00923467" w:rsidRDefault="00307A50" w:rsidP="00923467">
      <w:r>
        <w:t>Besides Timber, Petroleum revenues, all other major</w:t>
      </w:r>
      <w:r w:rsidR="00D70108" w:rsidRPr="00923467">
        <w:t xml:space="preserve"> key revenue streams </w:t>
      </w:r>
      <w:r>
        <w:t>showed some</w:t>
      </w:r>
      <w:r w:rsidR="00D70108" w:rsidRPr="00923467">
        <w:t xml:space="preserve"> increase</w:t>
      </w:r>
      <w:r>
        <w:t>s in nominal terms in</w:t>
      </w:r>
      <w:r w:rsidR="00D70108" w:rsidRPr="00923467">
        <w:t xml:space="preserve"> 2022</w:t>
      </w:r>
      <w:r>
        <w:t>.</w:t>
      </w:r>
      <w:r w:rsidR="00D70108" w:rsidRPr="00923467">
        <w:t xml:space="preserve"> This means, had it not been for the one-off collections in 2021 (</w:t>
      </w:r>
      <w:r>
        <w:t xml:space="preserve">from </w:t>
      </w:r>
      <w:proofErr w:type="spellStart"/>
      <w:r w:rsidR="00D70108" w:rsidRPr="00923467">
        <w:t>Marampa</w:t>
      </w:r>
      <w:proofErr w:type="spellEnd"/>
      <w:r w:rsidR="00D70108" w:rsidRPr="00923467">
        <w:t xml:space="preserve"> mines and NACOVERC Fees), tax policy changes (Petroleum Excise, RUC, Timber Export) and the global crisis, revenue collection in 2022 would have improved impressively. These challenges are detailed in the next section.</w:t>
      </w:r>
    </w:p>
    <w:p w14:paraId="6A5151BC" w14:textId="77777777" w:rsidR="00180BD5" w:rsidRDefault="00180BD5" w:rsidP="00923467"/>
    <w:p w14:paraId="353259AA" w14:textId="77777777" w:rsidR="00EF2D32" w:rsidRPr="00923467" w:rsidRDefault="00EF2D32" w:rsidP="00923467"/>
    <w:p w14:paraId="7E80A714" w14:textId="1CDC6D60" w:rsidR="00245670" w:rsidRPr="00923467" w:rsidRDefault="00EF2D32" w:rsidP="00923467">
      <w:pPr>
        <w:pStyle w:val="Heading2"/>
      </w:pPr>
      <w:bookmarkStart w:id="16" w:name="_Toc137831064"/>
      <w:r w:rsidRPr="00923467">
        <w:t>CHALLENGES TO 2022 REVENUE PERFORMANCE</w:t>
      </w:r>
      <w:bookmarkEnd w:id="16"/>
    </w:p>
    <w:p w14:paraId="1BFCA51A" w14:textId="30AEF375" w:rsidR="009C088E" w:rsidRDefault="00D70108" w:rsidP="00923467">
      <w:r w:rsidRPr="00923467">
        <w:t>FY2022 was characterized by major challenges that adversely affected revenue collection in the year, such that the positive trajectory seen in 2021 was not sustained in 2022.</w:t>
      </w:r>
      <w:r w:rsidR="009C088E" w:rsidRPr="00923467">
        <w:t xml:space="preserve"> </w:t>
      </w:r>
      <w:r w:rsidRPr="00923467">
        <w:t xml:space="preserve">Overall, the weak performance in the year had arisen from the combination of factors </w:t>
      </w:r>
      <w:r w:rsidR="009C088E" w:rsidRPr="00923467">
        <w:t>including</w:t>
      </w:r>
      <w:r w:rsidRPr="00923467">
        <w:t>:</w:t>
      </w:r>
    </w:p>
    <w:p w14:paraId="76BF7AF0" w14:textId="77777777" w:rsidR="00EF2D32" w:rsidRPr="00923467" w:rsidRDefault="00EF2D32" w:rsidP="00923467"/>
    <w:p w14:paraId="02F38AC0" w14:textId="77777777" w:rsidR="002E29B9" w:rsidRPr="00EF2D32" w:rsidRDefault="002E29B9" w:rsidP="00EF2D32">
      <w:pPr>
        <w:pStyle w:val="Heading3"/>
      </w:pPr>
      <w:bookmarkStart w:id="17" w:name="_Toc137831065"/>
      <w:r w:rsidRPr="00EF2D32">
        <w:t>Twin shocks of COVID and Ukraine crisis:</w:t>
      </w:r>
      <w:bookmarkEnd w:id="17"/>
    </w:p>
    <w:p w14:paraId="541E8738" w14:textId="1CE05DC9" w:rsidR="002E29B9" w:rsidRDefault="002E29B9" w:rsidP="00923467">
      <w:r w:rsidRPr="00923467">
        <w:t xml:space="preserve">Over the past three years, revenue administration has suffered from the twin shocks of </w:t>
      </w:r>
      <w:r w:rsidR="009C088E" w:rsidRPr="00923467">
        <w:t xml:space="preserve">the </w:t>
      </w:r>
      <w:r w:rsidRPr="00923467">
        <w:t>COVID-19 pandemic which commenced in early 2020</w:t>
      </w:r>
      <w:r w:rsidR="009C088E" w:rsidRPr="00923467">
        <w:t>,</w:t>
      </w:r>
      <w:r w:rsidRPr="00923467">
        <w:t xml:space="preserve"> and the </w:t>
      </w:r>
      <w:r w:rsidR="009C088E" w:rsidRPr="00923467">
        <w:t xml:space="preserve">War in </w:t>
      </w:r>
      <w:r w:rsidRPr="00923467">
        <w:t>Ukraine which started in February 2022. The effect of the COVID-19 pandemic on the revenue collection mandate and administration of the NRA has been obvious. The key revenue administration reforms expected to have gone live in 2020 were all delayed due to travel restriction</w:t>
      </w:r>
      <w:r w:rsidR="009C088E" w:rsidRPr="00923467">
        <w:t>s</w:t>
      </w:r>
      <w:r w:rsidRPr="00923467">
        <w:t xml:space="preserve"> of foreign experts or obstruction</w:t>
      </w:r>
      <w:r w:rsidR="009C088E" w:rsidRPr="00923467">
        <w:t>s in the delivery</w:t>
      </w:r>
      <w:r w:rsidRPr="00923467">
        <w:t xml:space="preserve"> of equipment meant for implementation of these reform projects. The effect on domestic revenue collection was also evident as the government had to substantially reduce </w:t>
      </w:r>
      <w:r w:rsidR="009C088E" w:rsidRPr="00923467">
        <w:t xml:space="preserve">its </w:t>
      </w:r>
      <w:r w:rsidRPr="00923467">
        <w:t xml:space="preserve">revenue target by 17% in 2020 to </w:t>
      </w:r>
      <w:r w:rsidR="009C088E" w:rsidRPr="00923467">
        <w:t>account for</w:t>
      </w:r>
      <w:r w:rsidRPr="00923467">
        <w:t xml:space="preserve"> the effect of the pandemic on revenue collection. In addition, global supply chain constrain</w:t>
      </w:r>
      <w:r w:rsidR="009C088E" w:rsidRPr="00923467">
        <w:t>t</w:t>
      </w:r>
      <w:r w:rsidRPr="00923467">
        <w:t>s lead to scarcity in global container availability and enormous increase</w:t>
      </w:r>
      <w:r w:rsidR="009C088E" w:rsidRPr="00923467">
        <w:t>s</w:t>
      </w:r>
      <w:r w:rsidRPr="00923467">
        <w:t xml:space="preserve"> in freight costs.</w:t>
      </w:r>
    </w:p>
    <w:p w14:paraId="000DEFEB" w14:textId="77777777" w:rsidR="00EF2D32" w:rsidRPr="00923467" w:rsidRDefault="00EF2D32" w:rsidP="00923467"/>
    <w:p w14:paraId="32365447" w14:textId="32F33901" w:rsidR="002E29B9" w:rsidRDefault="002E29B9" w:rsidP="00923467">
      <w:r w:rsidRPr="00923467">
        <w:t xml:space="preserve">At the same time, the prolonged Ukraine war which started in early 2022 </w:t>
      </w:r>
      <w:r w:rsidR="009C088E" w:rsidRPr="00923467">
        <w:t xml:space="preserve">created </w:t>
      </w:r>
      <w:r w:rsidRPr="00923467">
        <w:t>challenging econom</w:t>
      </w:r>
      <w:r w:rsidR="009C088E" w:rsidRPr="00923467">
        <w:t>ic conditions</w:t>
      </w:r>
      <w:r w:rsidRPr="00923467">
        <w:t xml:space="preserve"> </w:t>
      </w:r>
      <w:r w:rsidR="009C088E" w:rsidRPr="00923467">
        <w:t xml:space="preserve">that </w:t>
      </w:r>
      <w:r w:rsidRPr="00923467">
        <w:t>affec</w:t>
      </w:r>
      <w:r w:rsidR="009C088E" w:rsidRPr="00923467">
        <w:t>ted</w:t>
      </w:r>
      <w:r w:rsidRPr="00923467">
        <w:t xml:space="preserve"> the tax base</w:t>
      </w:r>
      <w:r w:rsidR="009C088E" w:rsidRPr="00923467">
        <w:t xml:space="preserve">, and thereby restrained the capacity of NRA to </w:t>
      </w:r>
      <w:r w:rsidRPr="00923467">
        <w:t xml:space="preserve">increase revenue collection. Global energy prices soared, </w:t>
      </w:r>
      <w:r w:rsidR="009C088E" w:rsidRPr="00923467">
        <w:t xml:space="preserve">and </w:t>
      </w:r>
      <w:r w:rsidRPr="00923467">
        <w:t xml:space="preserve">domestic prices had to be subsidised by </w:t>
      </w:r>
      <w:r w:rsidR="009C088E" w:rsidRPr="00923467">
        <w:t>reducing</w:t>
      </w:r>
      <w:r w:rsidRPr="00923467">
        <w:t xml:space="preserve"> </w:t>
      </w:r>
      <w:r w:rsidR="009C088E" w:rsidRPr="00923467">
        <w:t xml:space="preserve">the </w:t>
      </w:r>
      <w:r w:rsidRPr="00923467">
        <w:t xml:space="preserve">tax component of </w:t>
      </w:r>
      <w:r w:rsidR="009C088E" w:rsidRPr="00923467">
        <w:t xml:space="preserve">products’ </w:t>
      </w:r>
      <w:r w:rsidRPr="00923467">
        <w:t>pric</w:t>
      </w:r>
      <w:r w:rsidR="009C088E" w:rsidRPr="00923467">
        <w:t>es</w:t>
      </w:r>
      <w:r w:rsidRPr="00923467">
        <w:t xml:space="preserve"> to ensure the impact on consumers is minimised. Similarly, mining revenues significantly declined from companies </w:t>
      </w:r>
      <w:r w:rsidR="00CD704C" w:rsidRPr="00923467">
        <w:t xml:space="preserve">in which </w:t>
      </w:r>
      <w:r w:rsidRPr="00923467">
        <w:t xml:space="preserve">Russian shareholders had been sanctioned or where their market is located within </w:t>
      </w:r>
      <w:r w:rsidR="00CD704C" w:rsidRPr="00923467">
        <w:t>conflict-affected countries</w:t>
      </w:r>
      <w:r w:rsidRPr="00923467">
        <w:t>.</w:t>
      </w:r>
    </w:p>
    <w:p w14:paraId="3E3C196D" w14:textId="77777777" w:rsidR="00EF2D32" w:rsidRPr="00923467" w:rsidRDefault="00EF2D32" w:rsidP="00923467"/>
    <w:p w14:paraId="694BE59B" w14:textId="5BEC1A5C" w:rsidR="002E29B9" w:rsidRPr="00923467" w:rsidRDefault="002E29B9" w:rsidP="00923467">
      <w:r w:rsidRPr="00923467">
        <w:t xml:space="preserve">With </w:t>
      </w:r>
      <w:r w:rsidR="00AA0852">
        <w:t xml:space="preserve">much of </w:t>
      </w:r>
      <w:r w:rsidRPr="00923467">
        <w:t>Africa, and particularly Sierra Leone, being a country dependent on imports and foreign investment for its economic welfare and growth</w:t>
      </w:r>
      <w:r w:rsidR="00CD704C" w:rsidRPr="00923467">
        <w:t xml:space="preserve"> </w:t>
      </w:r>
      <w:r w:rsidRPr="00923467">
        <w:t>meant the impact of this crisis directly affected the economy and by extension our domestic revenue generation.</w:t>
      </w:r>
    </w:p>
    <w:p w14:paraId="1FB465E5" w14:textId="77777777" w:rsidR="002E29B9" w:rsidRPr="00923467" w:rsidRDefault="002E29B9" w:rsidP="00923467"/>
    <w:p w14:paraId="66B5BBF6" w14:textId="77777777" w:rsidR="002E29B9" w:rsidRPr="00923467" w:rsidRDefault="002E29B9" w:rsidP="00EF2D32">
      <w:pPr>
        <w:pStyle w:val="Heading3"/>
      </w:pPr>
      <w:bookmarkStart w:id="18" w:name="_Toc137831066"/>
      <w:r w:rsidRPr="00923467">
        <w:t>Broad Tax Exemptions Regime</w:t>
      </w:r>
      <w:bookmarkEnd w:id="18"/>
    </w:p>
    <w:p w14:paraId="64F8A7ED" w14:textId="77777777" w:rsidR="002E29B9" w:rsidRDefault="002E29B9" w:rsidP="00923467">
      <w:r w:rsidRPr="00923467">
        <w:t xml:space="preserve">Another major challenge that threatened revenue performance </w:t>
      </w:r>
      <w:proofErr w:type="gramStart"/>
      <w:r w:rsidRPr="00923467">
        <w:t>in the course of</w:t>
      </w:r>
      <w:proofErr w:type="gramEnd"/>
      <w:r w:rsidRPr="00923467">
        <w:t xml:space="preserve"> the last five years is the prevalence of tax exemptions in both domestic taxes and import duties. The quest to respond to the challenging global economy and its effects on businesses and consumers meant government had to keep the existing broad exemption and as well introduced new ones thus eroding the tax base.</w:t>
      </w:r>
    </w:p>
    <w:p w14:paraId="2E085AD5" w14:textId="77777777" w:rsidR="00EF2D32" w:rsidRPr="00923467" w:rsidRDefault="00EF2D32" w:rsidP="00923467"/>
    <w:p w14:paraId="15173E87" w14:textId="77777777" w:rsidR="0065680E" w:rsidRPr="00923467" w:rsidRDefault="002E29B9" w:rsidP="00923467">
      <w:r w:rsidRPr="00923467">
        <w:rPr>
          <w:noProof/>
        </w:rPr>
        <w:drawing>
          <wp:inline distT="0" distB="0" distL="0" distR="0" wp14:anchorId="3388B3FC" wp14:editId="567933F1">
            <wp:extent cx="4744016" cy="2769870"/>
            <wp:effectExtent l="0" t="0" r="6350" b="11430"/>
            <wp:docPr id="361433825" name="Chart 1">
              <a:extLst xmlns:a="http://schemas.openxmlformats.org/drawingml/2006/main">
                <a:ext uri="{FF2B5EF4-FFF2-40B4-BE49-F238E27FC236}">
                  <a16:creationId xmlns:a16="http://schemas.microsoft.com/office/drawing/2014/main" id="{DE2CB307-5BBB-9EAD-1318-3C69D3D9CF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4F2DF4" w14:textId="75268FB9" w:rsidR="002E29B9" w:rsidRPr="00923467" w:rsidRDefault="0065680E" w:rsidP="00923467">
      <w:pPr>
        <w:pStyle w:val="Caption"/>
        <w:rPr>
          <w:b/>
          <w:sz w:val="24"/>
          <w:szCs w:val="24"/>
        </w:rPr>
      </w:pPr>
      <w:bookmarkStart w:id="19" w:name="_Toc137831169"/>
      <w:r w:rsidRPr="00923467">
        <w:t xml:space="preserve">Figure </w:t>
      </w:r>
      <w:r w:rsidRPr="00923467">
        <w:fldChar w:fldCharType="begin"/>
      </w:r>
      <w:r w:rsidRPr="00923467">
        <w:instrText xml:space="preserve"> SEQ Figure \* ARABIC </w:instrText>
      </w:r>
      <w:r w:rsidRPr="00923467">
        <w:fldChar w:fldCharType="separate"/>
      </w:r>
      <w:r w:rsidR="00E12E6B">
        <w:rPr>
          <w:noProof/>
        </w:rPr>
        <w:t>6</w:t>
      </w:r>
      <w:r w:rsidRPr="00923467">
        <w:fldChar w:fldCharType="end"/>
      </w:r>
      <w:r w:rsidRPr="00923467">
        <w:t>: Duty Waiver Trend (2017-2022)</w:t>
      </w:r>
      <w:bookmarkEnd w:id="19"/>
    </w:p>
    <w:p w14:paraId="13416069" w14:textId="77777777" w:rsidR="00EF2D32" w:rsidRDefault="00EF2D32" w:rsidP="00923467"/>
    <w:p w14:paraId="22A2B0F9" w14:textId="11916E4E" w:rsidR="002E29B9" w:rsidRPr="00923467" w:rsidRDefault="002E29B9" w:rsidP="00923467">
      <w:r w:rsidRPr="00923467">
        <w:t xml:space="preserve">From Figure </w:t>
      </w:r>
      <w:r w:rsidR="0065680E" w:rsidRPr="00923467">
        <w:t>6</w:t>
      </w:r>
      <w:r w:rsidRPr="00923467">
        <w:t>, it is observed that duty waiver</w:t>
      </w:r>
      <w:r w:rsidR="0065680E" w:rsidRPr="00923467">
        <w:t>s</w:t>
      </w:r>
      <w:r w:rsidRPr="00923467">
        <w:t xml:space="preserve"> granted from 2017 to 2022 ha</w:t>
      </w:r>
      <w:r w:rsidR="0065680E" w:rsidRPr="00923467">
        <w:t>ve</w:t>
      </w:r>
      <w:r w:rsidRPr="00923467">
        <w:t xml:space="preserve"> shown an erratic trend – increasing on to 2019 and declining on to 2021 before rising to significantly higher levels in 2022. Between 2017 and 2022, duty waiver</w:t>
      </w:r>
      <w:r w:rsidR="0065680E" w:rsidRPr="00923467">
        <w:t>s</w:t>
      </w:r>
      <w:r w:rsidRPr="00923467">
        <w:t xml:space="preserve"> increased by 74%.</w:t>
      </w:r>
    </w:p>
    <w:p w14:paraId="7A36AF56" w14:textId="77777777" w:rsidR="0065680E" w:rsidRPr="00923467" w:rsidRDefault="0065680E" w:rsidP="00923467"/>
    <w:p w14:paraId="0BC6AC75" w14:textId="0BBC13D8" w:rsidR="002E29B9" w:rsidRPr="00923467" w:rsidRDefault="002E29B9" w:rsidP="00923467">
      <w:r w:rsidRPr="00923467">
        <w:t xml:space="preserve">In addition, </w:t>
      </w:r>
      <w:r w:rsidR="0065680E" w:rsidRPr="00923467">
        <w:t>m</w:t>
      </w:r>
      <w:r w:rsidRPr="00923467">
        <w:t>ost mining companies as commercial consumers of petroleum products have Parliament</w:t>
      </w:r>
      <w:r w:rsidR="0065680E" w:rsidRPr="00923467">
        <w:t>-</w:t>
      </w:r>
      <w:r w:rsidRPr="00923467">
        <w:t>ratified concessionary agreements substantially limiting the revenues they pa</w:t>
      </w:r>
      <w:r w:rsidR="0065680E" w:rsidRPr="00923467">
        <w:t>y</w:t>
      </w:r>
      <w:r w:rsidRPr="00923467">
        <w:t xml:space="preserve"> with respect to petroleum excise. Based on diesel and petrol consumption data provided by the Petroleum Regulatory Agency for Jan-Sept 2022, NRA estimate</w:t>
      </w:r>
      <w:r w:rsidR="0065680E" w:rsidRPr="00923467">
        <w:t>s</w:t>
      </w:r>
      <w:r w:rsidRPr="00923467">
        <w:t xml:space="preserve"> that commercial tier users should have paid a total of Le138 bn in petroleum excise (from January-September 2022) if they were not given special concession and had used the fully liberalised rates. </w:t>
      </w:r>
    </w:p>
    <w:p w14:paraId="5FD2C2EB" w14:textId="77777777" w:rsidR="002E29B9" w:rsidRPr="00923467" w:rsidRDefault="002E29B9" w:rsidP="00EF2D32">
      <w:pPr>
        <w:pStyle w:val="Heading3"/>
      </w:pPr>
      <w:bookmarkStart w:id="20" w:name="_Toc137831067"/>
      <w:r w:rsidRPr="00923467">
        <w:t>Change Management Challenges</w:t>
      </w:r>
      <w:bookmarkEnd w:id="20"/>
    </w:p>
    <w:p w14:paraId="0293A914" w14:textId="2D79814D" w:rsidR="00565836" w:rsidRPr="00923467" w:rsidRDefault="002E29B9" w:rsidP="00923467">
      <w:r w:rsidRPr="00923467">
        <w:t xml:space="preserve">As major reforms are rolled out, there </w:t>
      </w:r>
      <w:r w:rsidR="0065680E" w:rsidRPr="00923467">
        <w:t xml:space="preserve">often </w:t>
      </w:r>
      <w:r w:rsidRPr="00923467">
        <w:t>emerges change management challenges as staff may be concerned about losing their jobs through redundancies or change</w:t>
      </w:r>
      <w:r w:rsidR="0065680E" w:rsidRPr="00923467">
        <w:t>s to</w:t>
      </w:r>
      <w:r w:rsidRPr="00923467">
        <w:t xml:space="preserve"> business practices. The lack of adequate training of staff and customers on new system creates uncertainties thus </w:t>
      </w:r>
      <w:r w:rsidR="0065680E" w:rsidRPr="00923467">
        <w:t xml:space="preserve">generating </w:t>
      </w:r>
      <w:r w:rsidRPr="00923467">
        <w:t xml:space="preserve">resistance </w:t>
      </w:r>
      <w:r w:rsidR="0065680E" w:rsidRPr="00923467">
        <w:t>to the</w:t>
      </w:r>
      <w:r w:rsidRPr="00923467">
        <w:t xml:space="preserve"> implementation of the reforms. Sierra Leone has been no exception as the NRA faced taxpayer resistance to the roll out of these reforms</w:t>
      </w:r>
      <w:r w:rsidR="0065680E" w:rsidRPr="00923467">
        <w:t xml:space="preserve"> –</w:t>
      </w:r>
      <w:r w:rsidRPr="00923467">
        <w:t xml:space="preserve"> especially the ECR. The lack of adequate training </w:t>
      </w:r>
      <w:r w:rsidR="0065680E" w:rsidRPr="00923467">
        <w:t xml:space="preserve">for </w:t>
      </w:r>
      <w:r w:rsidRPr="00923467">
        <w:t>the taxpayers who were supposed to use the system and as well as to the staff involved in tax administration led to change management challenges which affected tax compliance and consequently revenue mobilization.</w:t>
      </w:r>
      <w:r w:rsidR="0059283A" w:rsidRPr="00923467">
        <w:t xml:space="preserve"> </w:t>
      </w:r>
      <w:r w:rsidR="0065680E" w:rsidRPr="00923467">
        <w:t xml:space="preserve">Furthermore, </w:t>
      </w:r>
      <w:r w:rsidR="00BA0C7F" w:rsidRPr="00923467">
        <w:t>new policies also affect the tax base, such as</w:t>
      </w:r>
      <w:r w:rsidR="0059283A" w:rsidRPr="00923467">
        <w:t xml:space="preserve"> </w:t>
      </w:r>
      <w:r w:rsidR="0059283A" w:rsidRPr="00923467">
        <w:rPr>
          <w:color w:val="000000" w:themeColor="text1"/>
        </w:rPr>
        <w:t xml:space="preserve">the suspension of </w:t>
      </w:r>
      <w:r w:rsidR="00BA0C7F" w:rsidRPr="00923467">
        <w:rPr>
          <w:color w:val="000000" w:themeColor="text1"/>
        </w:rPr>
        <w:t>t</w:t>
      </w:r>
      <w:r w:rsidR="0059283A" w:rsidRPr="00923467">
        <w:rPr>
          <w:color w:val="000000" w:themeColor="text1"/>
        </w:rPr>
        <w:t>imber export</w:t>
      </w:r>
      <w:r w:rsidR="00BA0C7F" w:rsidRPr="00923467">
        <w:rPr>
          <w:color w:val="000000" w:themeColor="text1"/>
        </w:rPr>
        <w:t>s that</w:t>
      </w:r>
      <w:r w:rsidR="0059283A" w:rsidRPr="00923467">
        <w:rPr>
          <w:color w:val="000000" w:themeColor="text1"/>
        </w:rPr>
        <w:t xml:space="preserve"> cost the government as </w:t>
      </w:r>
      <w:r w:rsidR="00BA0C7F" w:rsidRPr="00923467">
        <w:rPr>
          <w:color w:val="000000" w:themeColor="text1"/>
        </w:rPr>
        <w:t xml:space="preserve">much </w:t>
      </w:r>
      <w:r w:rsidR="0059283A" w:rsidRPr="00923467">
        <w:rPr>
          <w:color w:val="000000" w:themeColor="text1"/>
        </w:rPr>
        <w:t>as Le290 bn in timber revenue loss</w:t>
      </w:r>
      <w:r w:rsidR="00BA0C7F" w:rsidRPr="00923467">
        <w:rPr>
          <w:color w:val="000000" w:themeColor="text1"/>
        </w:rPr>
        <w:t>es</w:t>
      </w:r>
      <w:r w:rsidR="0059283A" w:rsidRPr="00923467">
        <w:rPr>
          <w:color w:val="000000" w:themeColor="text1"/>
        </w:rPr>
        <w:t>.</w:t>
      </w:r>
    </w:p>
    <w:p w14:paraId="338C96FA" w14:textId="625FF060" w:rsidR="002E29B9" w:rsidRPr="00923467" w:rsidRDefault="002E29B9" w:rsidP="00923467"/>
    <w:p w14:paraId="5BE07CA7" w14:textId="29623E7E" w:rsidR="0059283A" w:rsidRPr="00923467" w:rsidRDefault="0059283A" w:rsidP="00EF2D32">
      <w:pPr>
        <w:pStyle w:val="Heading3"/>
      </w:pPr>
      <w:bookmarkStart w:id="21" w:name="_Toc137831068"/>
      <w:r w:rsidRPr="00923467">
        <w:t>Non-implementation of revenue enhancing policies</w:t>
      </w:r>
      <w:bookmarkEnd w:id="21"/>
    </w:p>
    <w:p w14:paraId="3F43507C" w14:textId="6012CEDE" w:rsidR="008D34A3" w:rsidRPr="00923467" w:rsidRDefault="008D34A3" w:rsidP="00923467">
      <w:r w:rsidRPr="00923467">
        <w:t>In 2022, there were policy assumptions upon which the revenue target was partly based. These policy measures were either delayed or</w:t>
      </w:r>
      <w:r w:rsidR="00BA0C7F" w:rsidRPr="00923467">
        <w:t xml:space="preserve"> </w:t>
      </w:r>
      <w:r w:rsidRPr="00923467">
        <w:t xml:space="preserve">not fully implemented </w:t>
      </w:r>
      <w:proofErr w:type="gramStart"/>
      <w:r w:rsidRPr="00923467">
        <w:t>in the course of</w:t>
      </w:r>
      <w:proofErr w:type="gramEnd"/>
      <w:r w:rsidRPr="00923467">
        <w:t xml:space="preserve"> the year thus costing government as </w:t>
      </w:r>
      <w:r w:rsidR="00BA0C7F" w:rsidRPr="00923467">
        <w:t xml:space="preserve">much </w:t>
      </w:r>
      <w:r w:rsidRPr="00923467">
        <w:t xml:space="preserve">as Le457 billion in revenue collection. </w:t>
      </w:r>
    </w:p>
    <w:p w14:paraId="7929B1D2" w14:textId="7DE781A8" w:rsidR="0059283A" w:rsidRPr="00923467" w:rsidRDefault="0059283A" w:rsidP="00923467"/>
    <w:tbl>
      <w:tblPr>
        <w:tblStyle w:val="GridTable4-Accent5"/>
        <w:tblW w:w="7933" w:type="dxa"/>
        <w:tblLook w:val="04A0" w:firstRow="1" w:lastRow="0" w:firstColumn="1" w:lastColumn="0" w:noHBand="0" w:noVBand="1"/>
      </w:tblPr>
      <w:tblGrid>
        <w:gridCol w:w="6516"/>
        <w:gridCol w:w="1417"/>
      </w:tblGrid>
      <w:tr w:rsidR="00542064" w:rsidRPr="00923467" w14:paraId="30C458D0" w14:textId="77777777" w:rsidTr="0054206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516" w:type="dxa"/>
          </w:tcPr>
          <w:p w14:paraId="090DCC27" w14:textId="6845980E" w:rsidR="00542064" w:rsidRPr="004248EC" w:rsidRDefault="00542064" w:rsidP="00923467">
            <w:pPr>
              <w:rPr>
                <w:b w:val="0"/>
                <w:bCs w:val="0"/>
                <w:sz w:val="18"/>
                <w:szCs w:val="18"/>
              </w:rPr>
            </w:pPr>
            <w:r w:rsidRPr="004248EC">
              <w:rPr>
                <w:sz w:val="18"/>
                <w:szCs w:val="18"/>
              </w:rPr>
              <w:t>Policy Measure</w:t>
            </w:r>
            <w:r w:rsidR="0005120F">
              <w:rPr>
                <w:sz w:val="18"/>
                <w:szCs w:val="18"/>
              </w:rPr>
              <w:t>s</w:t>
            </w:r>
            <w:r w:rsidRPr="004248EC">
              <w:rPr>
                <w:sz w:val="18"/>
                <w:szCs w:val="18"/>
              </w:rPr>
              <w:t xml:space="preserve"> </w:t>
            </w:r>
            <w:r w:rsidR="0005120F">
              <w:rPr>
                <w:sz w:val="18"/>
                <w:szCs w:val="18"/>
              </w:rPr>
              <w:t>N</w:t>
            </w:r>
            <w:r w:rsidRPr="004248EC">
              <w:rPr>
                <w:sz w:val="18"/>
                <w:szCs w:val="18"/>
              </w:rPr>
              <w:t xml:space="preserve">ot </w:t>
            </w:r>
            <w:r w:rsidR="0005120F">
              <w:rPr>
                <w:sz w:val="18"/>
                <w:szCs w:val="18"/>
              </w:rPr>
              <w:t>I</w:t>
            </w:r>
            <w:r w:rsidRPr="004248EC">
              <w:rPr>
                <w:sz w:val="18"/>
                <w:szCs w:val="18"/>
              </w:rPr>
              <w:t>mplemented</w:t>
            </w:r>
          </w:p>
        </w:tc>
        <w:tc>
          <w:tcPr>
            <w:tcW w:w="1417" w:type="dxa"/>
          </w:tcPr>
          <w:p w14:paraId="77671A80" w14:textId="77777777" w:rsidR="00542064" w:rsidRDefault="00542064"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48EC">
              <w:rPr>
                <w:sz w:val="18"/>
                <w:szCs w:val="18"/>
              </w:rPr>
              <w:t xml:space="preserve">Revenue Loss </w:t>
            </w:r>
          </w:p>
          <w:p w14:paraId="715DA65E" w14:textId="726A69BB" w:rsidR="00542064" w:rsidRPr="004248EC" w:rsidRDefault="00542064"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48EC">
              <w:rPr>
                <w:sz w:val="18"/>
                <w:szCs w:val="18"/>
              </w:rPr>
              <w:t>(Old Le Bn)</w:t>
            </w:r>
          </w:p>
        </w:tc>
      </w:tr>
      <w:tr w:rsidR="00542064" w:rsidRPr="00923467" w14:paraId="23D5338E" w14:textId="77777777" w:rsidTr="005420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516" w:type="dxa"/>
          </w:tcPr>
          <w:p w14:paraId="68EAF63F" w14:textId="77777777" w:rsidR="00542064" w:rsidRPr="00542064" w:rsidRDefault="00542064" w:rsidP="00923467">
            <w:pPr>
              <w:rPr>
                <w:b w:val="0"/>
                <w:bCs w:val="0"/>
                <w:sz w:val="18"/>
                <w:szCs w:val="18"/>
              </w:rPr>
            </w:pPr>
            <w:r w:rsidRPr="00542064">
              <w:rPr>
                <w:b w:val="0"/>
                <w:bCs w:val="0"/>
                <w:sz w:val="18"/>
                <w:szCs w:val="18"/>
              </w:rPr>
              <w:t>Digital ID card (15% government share)</w:t>
            </w:r>
          </w:p>
        </w:tc>
        <w:tc>
          <w:tcPr>
            <w:tcW w:w="1417" w:type="dxa"/>
          </w:tcPr>
          <w:p w14:paraId="18F5AC06" w14:textId="77777777" w:rsidR="00542064" w:rsidRPr="004248EC" w:rsidRDefault="00542064" w:rsidP="00923467">
            <w:pPr>
              <w:cnfStyle w:val="000000100000" w:firstRow="0" w:lastRow="0" w:firstColumn="0" w:lastColumn="0" w:oddVBand="0" w:evenVBand="0" w:oddHBand="1" w:evenHBand="0" w:firstRowFirstColumn="0" w:firstRowLastColumn="0" w:lastRowFirstColumn="0" w:lastRowLastColumn="0"/>
              <w:rPr>
                <w:sz w:val="18"/>
                <w:szCs w:val="18"/>
              </w:rPr>
            </w:pPr>
            <w:r w:rsidRPr="004248EC">
              <w:rPr>
                <w:sz w:val="18"/>
                <w:szCs w:val="18"/>
              </w:rPr>
              <w:t>10.5</w:t>
            </w:r>
          </w:p>
        </w:tc>
      </w:tr>
      <w:tr w:rsidR="00542064" w:rsidRPr="00923467" w14:paraId="42DA2348" w14:textId="77777777" w:rsidTr="00542064">
        <w:trPr>
          <w:trHeight w:val="340"/>
        </w:trPr>
        <w:tc>
          <w:tcPr>
            <w:cnfStyle w:val="001000000000" w:firstRow="0" w:lastRow="0" w:firstColumn="1" w:lastColumn="0" w:oddVBand="0" w:evenVBand="0" w:oddHBand="0" w:evenHBand="0" w:firstRowFirstColumn="0" w:firstRowLastColumn="0" w:lastRowFirstColumn="0" w:lastRowLastColumn="0"/>
            <w:tcW w:w="6516" w:type="dxa"/>
          </w:tcPr>
          <w:p w14:paraId="5FAAE8C9" w14:textId="77777777" w:rsidR="00542064" w:rsidRPr="00542064" w:rsidRDefault="00542064" w:rsidP="00923467">
            <w:pPr>
              <w:rPr>
                <w:b w:val="0"/>
                <w:bCs w:val="0"/>
                <w:sz w:val="18"/>
                <w:szCs w:val="18"/>
              </w:rPr>
            </w:pPr>
            <w:r w:rsidRPr="00542064">
              <w:rPr>
                <w:b w:val="0"/>
                <w:bCs w:val="0"/>
                <w:sz w:val="18"/>
                <w:szCs w:val="18"/>
              </w:rPr>
              <w:t>Delayed implementation of wage policies for security sector and judges (was to commence in April 2022)</w:t>
            </w:r>
          </w:p>
        </w:tc>
        <w:tc>
          <w:tcPr>
            <w:tcW w:w="1417" w:type="dxa"/>
          </w:tcPr>
          <w:p w14:paraId="3D1AA935" w14:textId="77777777" w:rsidR="00542064" w:rsidRPr="004248EC" w:rsidRDefault="00542064" w:rsidP="00923467">
            <w:pPr>
              <w:cnfStyle w:val="000000000000" w:firstRow="0" w:lastRow="0" w:firstColumn="0" w:lastColumn="0" w:oddVBand="0" w:evenVBand="0" w:oddHBand="0" w:evenHBand="0" w:firstRowFirstColumn="0" w:firstRowLastColumn="0" w:lastRowFirstColumn="0" w:lastRowLastColumn="0"/>
              <w:rPr>
                <w:sz w:val="18"/>
                <w:szCs w:val="18"/>
              </w:rPr>
            </w:pPr>
            <w:r w:rsidRPr="004248EC">
              <w:rPr>
                <w:sz w:val="18"/>
                <w:szCs w:val="18"/>
              </w:rPr>
              <w:t>24</w:t>
            </w:r>
          </w:p>
        </w:tc>
      </w:tr>
      <w:tr w:rsidR="00542064" w:rsidRPr="00923467" w14:paraId="5F5F5E31" w14:textId="77777777" w:rsidTr="005420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516" w:type="dxa"/>
          </w:tcPr>
          <w:p w14:paraId="19854C6B" w14:textId="77777777" w:rsidR="00542064" w:rsidRPr="00542064" w:rsidRDefault="00542064" w:rsidP="00923467">
            <w:pPr>
              <w:rPr>
                <w:b w:val="0"/>
                <w:bCs w:val="0"/>
                <w:sz w:val="18"/>
                <w:szCs w:val="18"/>
              </w:rPr>
            </w:pPr>
            <w:r w:rsidRPr="00542064">
              <w:rPr>
                <w:b w:val="0"/>
                <w:bCs w:val="0"/>
                <w:sz w:val="18"/>
                <w:szCs w:val="18"/>
              </w:rPr>
              <w:t>Adjustments in import duty rates for selected companies</w:t>
            </w:r>
          </w:p>
        </w:tc>
        <w:tc>
          <w:tcPr>
            <w:tcW w:w="1417" w:type="dxa"/>
          </w:tcPr>
          <w:p w14:paraId="29D15966" w14:textId="77777777" w:rsidR="00542064" w:rsidRPr="004248EC" w:rsidRDefault="00542064" w:rsidP="00923467">
            <w:pPr>
              <w:cnfStyle w:val="000000100000" w:firstRow="0" w:lastRow="0" w:firstColumn="0" w:lastColumn="0" w:oddVBand="0" w:evenVBand="0" w:oddHBand="1" w:evenHBand="0" w:firstRowFirstColumn="0" w:firstRowLastColumn="0" w:lastRowFirstColumn="0" w:lastRowLastColumn="0"/>
              <w:rPr>
                <w:sz w:val="18"/>
                <w:szCs w:val="18"/>
              </w:rPr>
            </w:pPr>
            <w:r w:rsidRPr="004248EC">
              <w:rPr>
                <w:sz w:val="18"/>
                <w:szCs w:val="18"/>
              </w:rPr>
              <w:t>60</w:t>
            </w:r>
          </w:p>
        </w:tc>
      </w:tr>
      <w:tr w:rsidR="00542064" w:rsidRPr="00923467" w14:paraId="6C21C416" w14:textId="77777777" w:rsidTr="00542064">
        <w:trPr>
          <w:trHeight w:val="340"/>
        </w:trPr>
        <w:tc>
          <w:tcPr>
            <w:cnfStyle w:val="001000000000" w:firstRow="0" w:lastRow="0" w:firstColumn="1" w:lastColumn="0" w:oddVBand="0" w:evenVBand="0" w:oddHBand="0" w:evenHBand="0" w:firstRowFirstColumn="0" w:firstRowLastColumn="0" w:lastRowFirstColumn="0" w:lastRowLastColumn="0"/>
            <w:tcW w:w="6516" w:type="dxa"/>
          </w:tcPr>
          <w:p w14:paraId="5FD0E02D" w14:textId="77777777" w:rsidR="00542064" w:rsidRPr="00542064" w:rsidRDefault="00542064" w:rsidP="00923467">
            <w:pPr>
              <w:rPr>
                <w:b w:val="0"/>
                <w:bCs w:val="0"/>
                <w:sz w:val="18"/>
                <w:szCs w:val="18"/>
              </w:rPr>
            </w:pPr>
            <w:r w:rsidRPr="00542064">
              <w:rPr>
                <w:b w:val="0"/>
                <w:bCs w:val="0"/>
                <w:sz w:val="18"/>
                <w:szCs w:val="18"/>
              </w:rPr>
              <w:t>Subsidy of petroleum excise and effect of reduced consumption due to increased prices</w:t>
            </w:r>
          </w:p>
        </w:tc>
        <w:tc>
          <w:tcPr>
            <w:tcW w:w="1417" w:type="dxa"/>
          </w:tcPr>
          <w:p w14:paraId="6B350586" w14:textId="77777777" w:rsidR="00542064" w:rsidRPr="004248EC" w:rsidRDefault="00542064" w:rsidP="00923467">
            <w:pPr>
              <w:cnfStyle w:val="000000000000" w:firstRow="0" w:lastRow="0" w:firstColumn="0" w:lastColumn="0" w:oddVBand="0" w:evenVBand="0" w:oddHBand="0" w:evenHBand="0" w:firstRowFirstColumn="0" w:firstRowLastColumn="0" w:lastRowFirstColumn="0" w:lastRowLastColumn="0"/>
              <w:rPr>
                <w:sz w:val="18"/>
                <w:szCs w:val="18"/>
              </w:rPr>
            </w:pPr>
            <w:r w:rsidRPr="004248EC">
              <w:rPr>
                <w:sz w:val="18"/>
                <w:szCs w:val="18"/>
              </w:rPr>
              <w:t>205</w:t>
            </w:r>
          </w:p>
        </w:tc>
      </w:tr>
      <w:tr w:rsidR="00542064" w:rsidRPr="00923467" w14:paraId="29A9E8AE" w14:textId="77777777" w:rsidTr="005420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516" w:type="dxa"/>
          </w:tcPr>
          <w:p w14:paraId="6ABB58B4" w14:textId="77777777" w:rsidR="00542064" w:rsidRPr="00542064" w:rsidRDefault="00542064" w:rsidP="00923467">
            <w:pPr>
              <w:rPr>
                <w:b w:val="0"/>
                <w:bCs w:val="0"/>
                <w:sz w:val="18"/>
                <w:szCs w:val="18"/>
              </w:rPr>
            </w:pPr>
            <w:r w:rsidRPr="00542064">
              <w:rPr>
                <w:b w:val="0"/>
                <w:bCs w:val="0"/>
                <w:sz w:val="18"/>
                <w:szCs w:val="18"/>
              </w:rPr>
              <w:t>Subsidy of RUC and effect of reduced consumption</w:t>
            </w:r>
          </w:p>
        </w:tc>
        <w:tc>
          <w:tcPr>
            <w:tcW w:w="1417" w:type="dxa"/>
          </w:tcPr>
          <w:p w14:paraId="3046DD70" w14:textId="77777777" w:rsidR="00542064" w:rsidRPr="004248EC" w:rsidRDefault="00542064" w:rsidP="00923467">
            <w:pPr>
              <w:cnfStyle w:val="000000100000" w:firstRow="0" w:lastRow="0" w:firstColumn="0" w:lastColumn="0" w:oddVBand="0" w:evenVBand="0" w:oddHBand="1" w:evenHBand="0" w:firstRowFirstColumn="0" w:firstRowLastColumn="0" w:lastRowFirstColumn="0" w:lastRowLastColumn="0"/>
              <w:rPr>
                <w:sz w:val="18"/>
                <w:szCs w:val="18"/>
              </w:rPr>
            </w:pPr>
            <w:r w:rsidRPr="004248EC">
              <w:rPr>
                <w:sz w:val="18"/>
                <w:szCs w:val="18"/>
              </w:rPr>
              <w:t>97.6</w:t>
            </w:r>
          </w:p>
        </w:tc>
      </w:tr>
      <w:tr w:rsidR="00542064" w:rsidRPr="00923467" w14:paraId="6253D0D6" w14:textId="77777777" w:rsidTr="00542064">
        <w:trPr>
          <w:trHeight w:val="340"/>
        </w:trPr>
        <w:tc>
          <w:tcPr>
            <w:cnfStyle w:val="001000000000" w:firstRow="0" w:lastRow="0" w:firstColumn="1" w:lastColumn="0" w:oddVBand="0" w:evenVBand="0" w:oddHBand="0" w:evenHBand="0" w:firstRowFirstColumn="0" w:firstRowLastColumn="0" w:lastRowFirstColumn="0" w:lastRowLastColumn="0"/>
            <w:tcW w:w="6516" w:type="dxa"/>
          </w:tcPr>
          <w:p w14:paraId="7D666D05" w14:textId="77777777" w:rsidR="00542064" w:rsidRPr="00542064" w:rsidRDefault="00542064" w:rsidP="00923467">
            <w:pPr>
              <w:rPr>
                <w:b w:val="0"/>
                <w:bCs w:val="0"/>
                <w:sz w:val="18"/>
                <w:szCs w:val="18"/>
              </w:rPr>
            </w:pPr>
            <w:r w:rsidRPr="00542064">
              <w:rPr>
                <w:b w:val="0"/>
                <w:bCs w:val="0"/>
                <w:sz w:val="18"/>
                <w:szCs w:val="18"/>
              </w:rPr>
              <w:t xml:space="preserve">Mobile data tax </w:t>
            </w:r>
          </w:p>
        </w:tc>
        <w:tc>
          <w:tcPr>
            <w:tcW w:w="1417" w:type="dxa"/>
          </w:tcPr>
          <w:p w14:paraId="5D71659B" w14:textId="77777777" w:rsidR="00542064" w:rsidRPr="004248EC" w:rsidRDefault="00542064" w:rsidP="00923467">
            <w:pPr>
              <w:cnfStyle w:val="000000000000" w:firstRow="0" w:lastRow="0" w:firstColumn="0" w:lastColumn="0" w:oddVBand="0" w:evenVBand="0" w:oddHBand="0" w:evenHBand="0" w:firstRowFirstColumn="0" w:firstRowLastColumn="0" w:lastRowFirstColumn="0" w:lastRowLastColumn="0"/>
              <w:rPr>
                <w:sz w:val="18"/>
                <w:szCs w:val="18"/>
              </w:rPr>
            </w:pPr>
            <w:r w:rsidRPr="004248EC">
              <w:rPr>
                <w:sz w:val="18"/>
                <w:szCs w:val="18"/>
              </w:rPr>
              <w:t>60</w:t>
            </w:r>
          </w:p>
        </w:tc>
      </w:tr>
      <w:tr w:rsidR="00542064" w:rsidRPr="00923467" w14:paraId="6CCDCA48" w14:textId="77777777" w:rsidTr="005420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516" w:type="dxa"/>
          </w:tcPr>
          <w:p w14:paraId="6A69ECA7" w14:textId="77777777" w:rsidR="00542064" w:rsidRPr="00542064" w:rsidRDefault="00542064" w:rsidP="00923467">
            <w:pPr>
              <w:rPr>
                <w:sz w:val="18"/>
                <w:szCs w:val="18"/>
              </w:rPr>
            </w:pPr>
            <w:r w:rsidRPr="00542064">
              <w:rPr>
                <w:sz w:val="18"/>
                <w:szCs w:val="18"/>
              </w:rPr>
              <w:t>Total Revenue Loss</w:t>
            </w:r>
          </w:p>
        </w:tc>
        <w:tc>
          <w:tcPr>
            <w:tcW w:w="1417" w:type="dxa"/>
          </w:tcPr>
          <w:p w14:paraId="7CA8A4F8" w14:textId="77777777" w:rsidR="00542064" w:rsidRPr="004248EC" w:rsidRDefault="00542064"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4248EC">
              <w:rPr>
                <w:b/>
                <w:bCs/>
                <w:sz w:val="18"/>
                <w:szCs w:val="18"/>
              </w:rPr>
              <w:t>457.1</w:t>
            </w:r>
          </w:p>
        </w:tc>
      </w:tr>
    </w:tbl>
    <w:p w14:paraId="04719FA1" w14:textId="7A5E7A15" w:rsidR="004D70EE" w:rsidRPr="004248EC" w:rsidRDefault="00BA0C7F" w:rsidP="00923467">
      <w:pPr>
        <w:rPr>
          <w:i/>
          <w:iCs/>
          <w:color w:val="44546A" w:themeColor="text2"/>
          <w:sz w:val="18"/>
          <w:szCs w:val="18"/>
        </w:rPr>
      </w:pPr>
      <w:bookmarkStart w:id="22" w:name="_Toc137831133"/>
      <w:r w:rsidRPr="004248EC">
        <w:rPr>
          <w:i/>
          <w:iCs/>
          <w:color w:val="44546A" w:themeColor="text2"/>
          <w:sz w:val="18"/>
          <w:szCs w:val="18"/>
        </w:rPr>
        <w:t xml:space="preserve">Table </w:t>
      </w:r>
      <w:r w:rsidRPr="004248EC">
        <w:rPr>
          <w:i/>
          <w:iCs/>
          <w:color w:val="44546A" w:themeColor="text2"/>
          <w:sz w:val="18"/>
          <w:szCs w:val="18"/>
        </w:rPr>
        <w:fldChar w:fldCharType="begin"/>
      </w:r>
      <w:r w:rsidRPr="004248EC">
        <w:rPr>
          <w:i/>
          <w:iCs/>
          <w:color w:val="44546A" w:themeColor="text2"/>
          <w:sz w:val="18"/>
          <w:szCs w:val="18"/>
        </w:rPr>
        <w:instrText xml:space="preserve"> SEQ Table \* ARABIC </w:instrText>
      </w:r>
      <w:r w:rsidRPr="004248EC">
        <w:rPr>
          <w:i/>
          <w:iCs/>
          <w:color w:val="44546A" w:themeColor="text2"/>
          <w:sz w:val="18"/>
          <w:szCs w:val="18"/>
        </w:rPr>
        <w:fldChar w:fldCharType="separate"/>
      </w:r>
      <w:r w:rsidR="00E12E6B">
        <w:rPr>
          <w:i/>
          <w:iCs/>
          <w:noProof/>
          <w:color w:val="44546A" w:themeColor="text2"/>
          <w:sz w:val="18"/>
          <w:szCs w:val="18"/>
        </w:rPr>
        <w:t>4</w:t>
      </w:r>
      <w:r w:rsidRPr="004248EC">
        <w:rPr>
          <w:i/>
          <w:iCs/>
          <w:color w:val="44546A" w:themeColor="text2"/>
          <w:sz w:val="18"/>
          <w:szCs w:val="18"/>
        </w:rPr>
        <w:fldChar w:fldCharType="end"/>
      </w:r>
      <w:r w:rsidRPr="004248EC">
        <w:rPr>
          <w:i/>
          <w:iCs/>
          <w:color w:val="44546A" w:themeColor="text2"/>
          <w:sz w:val="18"/>
          <w:szCs w:val="18"/>
        </w:rPr>
        <w:t>: Revenue Loss from Non-Implementation of Revenue Enhancing Policies in 2022</w:t>
      </w:r>
      <w:bookmarkEnd w:id="22"/>
    </w:p>
    <w:p w14:paraId="501830D1" w14:textId="77777777" w:rsidR="00BF069E" w:rsidRDefault="00BF069E" w:rsidP="00EF2D32">
      <w:pPr>
        <w:pStyle w:val="Heading3"/>
      </w:pPr>
    </w:p>
    <w:p w14:paraId="516360E1" w14:textId="77777777" w:rsidR="0005120F" w:rsidRPr="0005120F" w:rsidRDefault="0005120F" w:rsidP="0005120F"/>
    <w:p w14:paraId="791C3140" w14:textId="679B6901" w:rsidR="0059283A" w:rsidRPr="00923467" w:rsidRDefault="00C32648" w:rsidP="00EF2D32">
      <w:pPr>
        <w:pStyle w:val="Heading3"/>
      </w:pPr>
      <w:bookmarkStart w:id="23" w:name="_Toc137831069"/>
      <w:r w:rsidRPr="00923467">
        <w:t>A</w:t>
      </w:r>
      <w:r w:rsidR="0059283A" w:rsidRPr="00923467">
        <w:t>ccumulation of Tax arrears</w:t>
      </w:r>
      <w:bookmarkEnd w:id="23"/>
      <w:r w:rsidR="0059283A" w:rsidRPr="00923467">
        <w:t xml:space="preserve"> </w:t>
      </w:r>
    </w:p>
    <w:p w14:paraId="04181BDB" w14:textId="6C88709A" w:rsidR="004D70EE" w:rsidRDefault="00C32648" w:rsidP="00923467">
      <w:r w:rsidRPr="00923467">
        <w:t xml:space="preserve">Parastatal arrears continue to be a major constraint to revenue mobilisation in 2022. Because central government sometimes owe these parastatals payments in respect of utility bills, they in turn hold on to government tax revenues, thus affecting the set revenue target. One major parastatal alone owed tax revenue in the region of </w:t>
      </w:r>
      <w:r w:rsidR="0059283A" w:rsidRPr="00923467">
        <w:rPr>
          <w:b/>
          <w:bCs/>
        </w:rPr>
        <w:t>Le77.785 billion</w:t>
      </w:r>
      <w:r w:rsidRPr="00923467">
        <w:rPr>
          <w:b/>
          <w:bCs/>
        </w:rPr>
        <w:t xml:space="preserve"> for 2022.</w:t>
      </w:r>
      <w:r w:rsidR="0059283A" w:rsidRPr="00923467">
        <w:t xml:space="preserve"> </w:t>
      </w:r>
    </w:p>
    <w:p w14:paraId="66AEA5C5" w14:textId="77777777" w:rsidR="00AA0852" w:rsidRPr="00923467" w:rsidRDefault="00AA0852" w:rsidP="00923467"/>
    <w:p w14:paraId="44F24DBC" w14:textId="499A6D25" w:rsidR="007E283F" w:rsidRPr="00427CBF" w:rsidRDefault="00600D0A" w:rsidP="00EF2D32">
      <w:pPr>
        <w:pStyle w:val="Heading3"/>
        <w:rPr>
          <w:i w:val="0"/>
          <w:iCs w:val="0"/>
        </w:rPr>
      </w:pPr>
      <w:bookmarkStart w:id="24" w:name="_Toc137831070"/>
      <w:r w:rsidRPr="00427CBF">
        <w:rPr>
          <w:i w:val="0"/>
          <w:iCs w:val="0"/>
        </w:rPr>
        <w:t>Comparative Duty- Waiver Performance (2021 Vs 2022)</w:t>
      </w:r>
      <w:bookmarkEnd w:id="24"/>
    </w:p>
    <w:p w14:paraId="06A75546" w14:textId="051C990B" w:rsidR="004D70EE" w:rsidRPr="00923467" w:rsidRDefault="00554652" w:rsidP="00923467">
      <w:r w:rsidRPr="00923467">
        <w:t xml:space="preserve">As shown by the comparative analysis in Table </w:t>
      </w:r>
      <w:r w:rsidR="00BA0C7F" w:rsidRPr="00923467">
        <w:t>5</w:t>
      </w:r>
      <w:r w:rsidRPr="00923467">
        <w:t xml:space="preserve">, the </w:t>
      </w:r>
      <w:r w:rsidR="00BA0C7F" w:rsidRPr="00923467">
        <w:t xml:space="preserve">total </w:t>
      </w:r>
      <w:r w:rsidRPr="00923467">
        <w:t>value of duty waived increased from Le443,511 billion in 2021 to Le703,639 billion in 2022 or by 59%. The rise in the 2022 duty waiver was</w:t>
      </w:r>
      <w:r w:rsidR="00BA0C7F" w:rsidRPr="00923467">
        <w:t xml:space="preserve"> driven by waivers</w:t>
      </w:r>
      <w:r w:rsidRPr="00923467">
        <w:t xml:space="preserve"> granted to </w:t>
      </w:r>
      <w:r w:rsidR="00BA0C7F" w:rsidRPr="00923467">
        <w:t>n</w:t>
      </w:r>
      <w:r w:rsidRPr="00923467">
        <w:t>on-governmental organization</w:t>
      </w:r>
      <w:r w:rsidR="00BA0C7F" w:rsidRPr="00923467">
        <w:t>s</w:t>
      </w:r>
      <w:r w:rsidRPr="00923467">
        <w:t>, private entities, and the Government. However, a significant decrease was identified in public international organization</w:t>
      </w:r>
      <w:r w:rsidR="00BA0C7F" w:rsidRPr="00923467">
        <w:t>s</w:t>
      </w:r>
      <w:r w:rsidRPr="00923467">
        <w:t>.</w:t>
      </w:r>
      <w:r w:rsidR="004D70EE" w:rsidRPr="00923467">
        <w:t xml:space="preserve"> NGOs that attracted the highest increase can be related to various sectors based on the contract MOU with the government. In addition, the private category that attracted the second most duty waiver values, table 2 pointed out that the sector that attracted the highest value composition was the manufacturing sector.  See table 2 for a further breakdown of duty waiver analysis by sector. </w:t>
      </w:r>
    </w:p>
    <w:p w14:paraId="3980B4FD" w14:textId="25047E05" w:rsidR="004D70EE" w:rsidRDefault="004D70EE" w:rsidP="00923467"/>
    <w:p w14:paraId="50A89D93" w14:textId="77777777" w:rsidR="0005120F" w:rsidRPr="00923467" w:rsidRDefault="0005120F" w:rsidP="00923467"/>
    <w:tbl>
      <w:tblPr>
        <w:tblStyle w:val="GridTable4-Accent5"/>
        <w:tblW w:w="0" w:type="auto"/>
        <w:tblLook w:val="04A0" w:firstRow="1" w:lastRow="0" w:firstColumn="1" w:lastColumn="0" w:noHBand="0" w:noVBand="1"/>
      </w:tblPr>
      <w:tblGrid>
        <w:gridCol w:w="1122"/>
        <w:gridCol w:w="791"/>
        <w:gridCol w:w="791"/>
        <w:gridCol w:w="849"/>
        <w:gridCol w:w="982"/>
      </w:tblGrid>
      <w:tr w:rsidR="00BA0C7F" w:rsidRPr="00923467" w14:paraId="0309598E" w14:textId="77777777" w:rsidTr="0054206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22" w:type="dxa"/>
          </w:tcPr>
          <w:p w14:paraId="52C70111" w14:textId="765091F4" w:rsidR="00BA0C7F" w:rsidRPr="00542064" w:rsidRDefault="00BA0C7F" w:rsidP="00923467">
            <w:pPr>
              <w:rPr>
                <w:sz w:val="18"/>
                <w:szCs w:val="18"/>
              </w:rPr>
            </w:pPr>
            <w:r w:rsidRPr="00542064">
              <w:rPr>
                <w:sz w:val="18"/>
                <w:szCs w:val="18"/>
              </w:rPr>
              <w:t>Category</w:t>
            </w:r>
          </w:p>
        </w:tc>
        <w:tc>
          <w:tcPr>
            <w:tcW w:w="790" w:type="dxa"/>
          </w:tcPr>
          <w:p w14:paraId="3780BD3F" w14:textId="343939C6" w:rsidR="00BA0C7F" w:rsidRPr="004248EC" w:rsidRDefault="00BA0C7F"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48EC">
              <w:rPr>
                <w:sz w:val="18"/>
                <w:szCs w:val="18"/>
              </w:rPr>
              <w:t>2022</w:t>
            </w:r>
          </w:p>
        </w:tc>
        <w:tc>
          <w:tcPr>
            <w:tcW w:w="790" w:type="dxa"/>
          </w:tcPr>
          <w:p w14:paraId="60E8EC15" w14:textId="3CE5A209" w:rsidR="00BA0C7F" w:rsidRPr="004248EC" w:rsidRDefault="00BA0C7F"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48EC">
              <w:rPr>
                <w:sz w:val="18"/>
                <w:szCs w:val="18"/>
              </w:rPr>
              <w:t>2021</w:t>
            </w:r>
          </w:p>
        </w:tc>
        <w:tc>
          <w:tcPr>
            <w:tcW w:w="848" w:type="dxa"/>
          </w:tcPr>
          <w:p w14:paraId="62B5C56E" w14:textId="56F362B2" w:rsidR="00BA0C7F" w:rsidRPr="004248EC" w:rsidRDefault="00BA0C7F"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48EC">
              <w:rPr>
                <w:sz w:val="18"/>
                <w:szCs w:val="18"/>
              </w:rPr>
              <w:t>Variance</w:t>
            </w:r>
          </w:p>
        </w:tc>
        <w:tc>
          <w:tcPr>
            <w:tcW w:w="981" w:type="dxa"/>
          </w:tcPr>
          <w:p w14:paraId="72640B10" w14:textId="46D49899" w:rsidR="00BA0C7F" w:rsidRPr="004248EC" w:rsidRDefault="00BA0C7F"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4248EC">
              <w:rPr>
                <w:sz w:val="18"/>
                <w:szCs w:val="18"/>
              </w:rPr>
              <w:t>%Variance</w:t>
            </w:r>
          </w:p>
        </w:tc>
      </w:tr>
      <w:tr w:rsidR="00BA0C7F" w:rsidRPr="00923467" w14:paraId="3ACF0238" w14:textId="77777777" w:rsidTr="005420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22" w:type="dxa"/>
          </w:tcPr>
          <w:p w14:paraId="18BD5010" w14:textId="0E372886" w:rsidR="00BA0C7F" w:rsidRPr="00542064" w:rsidRDefault="00BA0C7F" w:rsidP="00923467">
            <w:pPr>
              <w:rPr>
                <w:b w:val="0"/>
                <w:bCs w:val="0"/>
                <w:sz w:val="18"/>
                <w:szCs w:val="18"/>
              </w:rPr>
            </w:pPr>
            <w:r w:rsidRPr="00542064">
              <w:rPr>
                <w:b w:val="0"/>
                <w:bCs w:val="0"/>
                <w:sz w:val="18"/>
                <w:szCs w:val="18"/>
              </w:rPr>
              <w:t>Embassy</w:t>
            </w:r>
          </w:p>
        </w:tc>
        <w:tc>
          <w:tcPr>
            <w:tcW w:w="790" w:type="dxa"/>
          </w:tcPr>
          <w:p w14:paraId="31B5477D" w14:textId="0F6B43BF" w:rsidR="00BA0C7F" w:rsidRPr="004248EC" w:rsidRDefault="00BA0C7F" w:rsidP="00923467">
            <w:pPr>
              <w:cnfStyle w:val="000000100000" w:firstRow="0" w:lastRow="0" w:firstColumn="0" w:lastColumn="0" w:oddVBand="0" w:evenVBand="0" w:oddHBand="1" w:evenHBand="0" w:firstRowFirstColumn="0" w:firstRowLastColumn="0" w:lastRowFirstColumn="0" w:lastRowLastColumn="0"/>
              <w:rPr>
                <w:sz w:val="18"/>
                <w:szCs w:val="18"/>
              </w:rPr>
            </w:pPr>
            <w:r w:rsidRPr="004248EC">
              <w:rPr>
                <w:sz w:val="18"/>
                <w:szCs w:val="18"/>
              </w:rPr>
              <w:t>16,590</w:t>
            </w:r>
          </w:p>
        </w:tc>
        <w:tc>
          <w:tcPr>
            <w:tcW w:w="790" w:type="dxa"/>
          </w:tcPr>
          <w:p w14:paraId="12845071" w14:textId="74A4D453" w:rsidR="00BA0C7F" w:rsidRPr="004248EC" w:rsidRDefault="00BA0C7F" w:rsidP="00923467">
            <w:pPr>
              <w:cnfStyle w:val="000000100000" w:firstRow="0" w:lastRow="0" w:firstColumn="0" w:lastColumn="0" w:oddVBand="0" w:evenVBand="0" w:oddHBand="1" w:evenHBand="0" w:firstRowFirstColumn="0" w:firstRowLastColumn="0" w:lastRowFirstColumn="0" w:lastRowLastColumn="0"/>
              <w:rPr>
                <w:sz w:val="18"/>
                <w:szCs w:val="18"/>
              </w:rPr>
            </w:pPr>
            <w:r w:rsidRPr="004248EC">
              <w:rPr>
                <w:sz w:val="18"/>
                <w:szCs w:val="18"/>
              </w:rPr>
              <w:t>15,315</w:t>
            </w:r>
          </w:p>
        </w:tc>
        <w:tc>
          <w:tcPr>
            <w:tcW w:w="848" w:type="dxa"/>
          </w:tcPr>
          <w:p w14:paraId="790EC435" w14:textId="7997EB42" w:rsidR="00BA0C7F" w:rsidRPr="004248EC" w:rsidRDefault="00BA0C7F" w:rsidP="00923467">
            <w:pPr>
              <w:cnfStyle w:val="000000100000" w:firstRow="0" w:lastRow="0" w:firstColumn="0" w:lastColumn="0" w:oddVBand="0" w:evenVBand="0" w:oddHBand="1" w:evenHBand="0" w:firstRowFirstColumn="0" w:firstRowLastColumn="0" w:lastRowFirstColumn="0" w:lastRowLastColumn="0"/>
              <w:rPr>
                <w:sz w:val="18"/>
                <w:szCs w:val="18"/>
              </w:rPr>
            </w:pPr>
            <w:r w:rsidRPr="004248EC">
              <w:rPr>
                <w:sz w:val="18"/>
                <w:szCs w:val="18"/>
              </w:rPr>
              <w:t>1,275</w:t>
            </w:r>
          </w:p>
        </w:tc>
        <w:tc>
          <w:tcPr>
            <w:tcW w:w="981" w:type="dxa"/>
          </w:tcPr>
          <w:p w14:paraId="468A1832" w14:textId="6B13EAC7" w:rsidR="00BA0C7F" w:rsidRPr="004248EC" w:rsidRDefault="00BA0C7F" w:rsidP="00923467">
            <w:pPr>
              <w:cnfStyle w:val="000000100000" w:firstRow="0" w:lastRow="0" w:firstColumn="0" w:lastColumn="0" w:oddVBand="0" w:evenVBand="0" w:oddHBand="1" w:evenHBand="0" w:firstRowFirstColumn="0" w:firstRowLastColumn="0" w:lastRowFirstColumn="0" w:lastRowLastColumn="0"/>
              <w:rPr>
                <w:sz w:val="18"/>
                <w:szCs w:val="18"/>
              </w:rPr>
            </w:pPr>
            <w:r w:rsidRPr="004248EC">
              <w:rPr>
                <w:sz w:val="18"/>
                <w:szCs w:val="18"/>
              </w:rPr>
              <w:t>8%</w:t>
            </w:r>
          </w:p>
        </w:tc>
      </w:tr>
      <w:tr w:rsidR="00BA0C7F" w:rsidRPr="00923467" w14:paraId="4CA74BEC" w14:textId="77777777" w:rsidTr="00542064">
        <w:trPr>
          <w:trHeight w:val="340"/>
        </w:trPr>
        <w:tc>
          <w:tcPr>
            <w:cnfStyle w:val="001000000000" w:firstRow="0" w:lastRow="0" w:firstColumn="1" w:lastColumn="0" w:oddVBand="0" w:evenVBand="0" w:oddHBand="0" w:evenHBand="0" w:firstRowFirstColumn="0" w:firstRowLastColumn="0" w:lastRowFirstColumn="0" w:lastRowLastColumn="0"/>
            <w:tcW w:w="1122" w:type="dxa"/>
          </w:tcPr>
          <w:p w14:paraId="3294DFD5" w14:textId="2B747CD1" w:rsidR="00BA0C7F" w:rsidRPr="00542064" w:rsidRDefault="00BA0C7F" w:rsidP="00923467">
            <w:pPr>
              <w:rPr>
                <w:b w:val="0"/>
                <w:bCs w:val="0"/>
                <w:sz w:val="18"/>
                <w:szCs w:val="18"/>
              </w:rPr>
            </w:pPr>
            <w:r w:rsidRPr="00542064">
              <w:rPr>
                <w:b w:val="0"/>
                <w:bCs w:val="0"/>
                <w:sz w:val="18"/>
                <w:szCs w:val="18"/>
              </w:rPr>
              <w:t>Government</w:t>
            </w:r>
          </w:p>
        </w:tc>
        <w:tc>
          <w:tcPr>
            <w:tcW w:w="790" w:type="dxa"/>
          </w:tcPr>
          <w:p w14:paraId="145BBEC8" w14:textId="6236EC9E" w:rsidR="00BA0C7F" w:rsidRPr="004248EC" w:rsidRDefault="00BA0C7F" w:rsidP="00923467">
            <w:pPr>
              <w:cnfStyle w:val="000000000000" w:firstRow="0" w:lastRow="0" w:firstColumn="0" w:lastColumn="0" w:oddVBand="0" w:evenVBand="0" w:oddHBand="0" w:evenHBand="0" w:firstRowFirstColumn="0" w:firstRowLastColumn="0" w:lastRowFirstColumn="0" w:lastRowLastColumn="0"/>
              <w:rPr>
                <w:sz w:val="18"/>
                <w:szCs w:val="18"/>
              </w:rPr>
            </w:pPr>
            <w:r w:rsidRPr="004248EC">
              <w:rPr>
                <w:sz w:val="18"/>
                <w:szCs w:val="18"/>
              </w:rPr>
              <w:t>347,594</w:t>
            </w:r>
          </w:p>
        </w:tc>
        <w:tc>
          <w:tcPr>
            <w:tcW w:w="790" w:type="dxa"/>
          </w:tcPr>
          <w:p w14:paraId="1EB2AE50" w14:textId="2F5DAB40" w:rsidR="00BA0C7F" w:rsidRPr="004248EC" w:rsidRDefault="00BA0C7F" w:rsidP="00923467">
            <w:pPr>
              <w:cnfStyle w:val="000000000000" w:firstRow="0" w:lastRow="0" w:firstColumn="0" w:lastColumn="0" w:oddVBand="0" w:evenVBand="0" w:oddHBand="0" w:evenHBand="0" w:firstRowFirstColumn="0" w:firstRowLastColumn="0" w:lastRowFirstColumn="0" w:lastRowLastColumn="0"/>
              <w:rPr>
                <w:sz w:val="18"/>
                <w:szCs w:val="18"/>
              </w:rPr>
            </w:pPr>
            <w:r w:rsidRPr="004248EC">
              <w:rPr>
                <w:sz w:val="18"/>
                <w:szCs w:val="18"/>
              </w:rPr>
              <w:t>192,637</w:t>
            </w:r>
          </w:p>
        </w:tc>
        <w:tc>
          <w:tcPr>
            <w:tcW w:w="848" w:type="dxa"/>
          </w:tcPr>
          <w:p w14:paraId="47D5FA9E" w14:textId="7C743662" w:rsidR="00BA0C7F" w:rsidRPr="004248EC" w:rsidRDefault="00BA0C7F" w:rsidP="00923467">
            <w:pPr>
              <w:cnfStyle w:val="000000000000" w:firstRow="0" w:lastRow="0" w:firstColumn="0" w:lastColumn="0" w:oddVBand="0" w:evenVBand="0" w:oddHBand="0" w:evenHBand="0" w:firstRowFirstColumn="0" w:firstRowLastColumn="0" w:lastRowFirstColumn="0" w:lastRowLastColumn="0"/>
              <w:rPr>
                <w:sz w:val="18"/>
                <w:szCs w:val="18"/>
              </w:rPr>
            </w:pPr>
            <w:r w:rsidRPr="004248EC">
              <w:rPr>
                <w:sz w:val="18"/>
                <w:szCs w:val="18"/>
              </w:rPr>
              <w:t>154,9</w:t>
            </w:r>
            <w:r w:rsidR="004D70EE" w:rsidRPr="004248EC">
              <w:rPr>
                <w:sz w:val="18"/>
                <w:szCs w:val="18"/>
              </w:rPr>
              <w:t>57</w:t>
            </w:r>
          </w:p>
        </w:tc>
        <w:tc>
          <w:tcPr>
            <w:tcW w:w="981" w:type="dxa"/>
          </w:tcPr>
          <w:p w14:paraId="76FC6B24" w14:textId="14CF5200" w:rsidR="00BA0C7F" w:rsidRPr="004248EC" w:rsidRDefault="004D70EE" w:rsidP="00923467">
            <w:pPr>
              <w:cnfStyle w:val="000000000000" w:firstRow="0" w:lastRow="0" w:firstColumn="0" w:lastColumn="0" w:oddVBand="0" w:evenVBand="0" w:oddHBand="0" w:evenHBand="0" w:firstRowFirstColumn="0" w:firstRowLastColumn="0" w:lastRowFirstColumn="0" w:lastRowLastColumn="0"/>
              <w:rPr>
                <w:sz w:val="18"/>
                <w:szCs w:val="18"/>
              </w:rPr>
            </w:pPr>
            <w:r w:rsidRPr="004248EC">
              <w:rPr>
                <w:sz w:val="18"/>
                <w:szCs w:val="18"/>
              </w:rPr>
              <w:t>80%</w:t>
            </w:r>
          </w:p>
        </w:tc>
      </w:tr>
      <w:tr w:rsidR="00BA0C7F" w:rsidRPr="00923467" w14:paraId="3BB605F0" w14:textId="77777777" w:rsidTr="005420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22" w:type="dxa"/>
          </w:tcPr>
          <w:p w14:paraId="491882B6" w14:textId="585461A2" w:rsidR="00BA0C7F" w:rsidRPr="00542064" w:rsidRDefault="004D70EE" w:rsidP="00923467">
            <w:pPr>
              <w:rPr>
                <w:b w:val="0"/>
                <w:bCs w:val="0"/>
                <w:sz w:val="18"/>
                <w:szCs w:val="18"/>
              </w:rPr>
            </w:pPr>
            <w:r w:rsidRPr="00542064">
              <w:rPr>
                <w:b w:val="0"/>
                <w:bCs w:val="0"/>
                <w:sz w:val="18"/>
                <w:szCs w:val="18"/>
              </w:rPr>
              <w:t>Mining</w:t>
            </w:r>
          </w:p>
        </w:tc>
        <w:tc>
          <w:tcPr>
            <w:tcW w:w="790" w:type="dxa"/>
          </w:tcPr>
          <w:p w14:paraId="4C5B621F" w14:textId="0ADE2050" w:rsidR="00BA0C7F" w:rsidRPr="004248EC" w:rsidRDefault="004D70EE" w:rsidP="00923467">
            <w:pPr>
              <w:cnfStyle w:val="000000100000" w:firstRow="0" w:lastRow="0" w:firstColumn="0" w:lastColumn="0" w:oddVBand="0" w:evenVBand="0" w:oddHBand="1" w:evenHBand="0" w:firstRowFirstColumn="0" w:firstRowLastColumn="0" w:lastRowFirstColumn="0" w:lastRowLastColumn="0"/>
              <w:rPr>
                <w:sz w:val="18"/>
                <w:szCs w:val="18"/>
              </w:rPr>
            </w:pPr>
            <w:r w:rsidRPr="004248EC">
              <w:rPr>
                <w:sz w:val="18"/>
                <w:szCs w:val="18"/>
              </w:rPr>
              <w:t>26,736</w:t>
            </w:r>
          </w:p>
        </w:tc>
        <w:tc>
          <w:tcPr>
            <w:tcW w:w="790" w:type="dxa"/>
          </w:tcPr>
          <w:p w14:paraId="68D02F94" w14:textId="7A6339B6" w:rsidR="00BA0C7F" w:rsidRPr="004248EC" w:rsidRDefault="004D70EE" w:rsidP="00923467">
            <w:pPr>
              <w:cnfStyle w:val="000000100000" w:firstRow="0" w:lastRow="0" w:firstColumn="0" w:lastColumn="0" w:oddVBand="0" w:evenVBand="0" w:oddHBand="1" w:evenHBand="0" w:firstRowFirstColumn="0" w:firstRowLastColumn="0" w:lastRowFirstColumn="0" w:lastRowLastColumn="0"/>
              <w:rPr>
                <w:sz w:val="18"/>
                <w:szCs w:val="18"/>
              </w:rPr>
            </w:pPr>
            <w:r w:rsidRPr="004248EC">
              <w:rPr>
                <w:sz w:val="18"/>
                <w:szCs w:val="18"/>
              </w:rPr>
              <w:t>17,866</w:t>
            </w:r>
          </w:p>
        </w:tc>
        <w:tc>
          <w:tcPr>
            <w:tcW w:w="848" w:type="dxa"/>
          </w:tcPr>
          <w:p w14:paraId="15BE2553" w14:textId="31B2EC95" w:rsidR="00BA0C7F" w:rsidRPr="004248EC" w:rsidRDefault="004D70EE" w:rsidP="00923467">
            <w:pPr>
              <w:cnfStyle w:val="000000100000" w:firstRow="0" w:lastRow="0" w:firstColumn="0" w:lastColumn="0" w:oddVBand="0" w:evenVBand="0" w:oddHBand="1" w:evenHBand="0" w:firstRowFirstColumn="0" w:firstRowLastColumn="0" w:lastRowFirstColumn="0" w:lastRowLastColumn="0"/>
              <w:rPr>
                <w:sz w:val="18"/>
                <w:szCs w:val="18"/>
              </w:rPr>
            </w:pPr>
            <w:r w:rsidRPr="004248EC">
              <w:rPr>
                <w:sz w:val="18"/>
                <w:szCs w:val="18"/>
              </w:rPr>
              <w:t>8,870</w:t>
            </w:r>
          </w:p>
        </w:tc>
        <w:tc>
          <w:tcPr>
            <w:tcW w:w="981" w:type="dxa"/>
          </w:tcPr>
          <w:p w14:paraId="3AAA8B7D" w14:textId="43117340" w:rsidR="00BA0C7F" w:rsidRPr="004248EC" w:rsidRDefault="004D70EE" w:rsidP="00923467">
            <w:pPr>
              <w:cnfStyle w:val="000000100000" w:firstRow="0" w:lastRow="0" w:firstColumn="0" w:lastColumn="0" w:oddVBand="0" w:evenVBand="0" w:oddHBand="1" w:evenHBand="0" w:firstRowFirstColumn="0" w:firstRowLastColumn="0" w:lastRowFirstColumn="0" w:lastRowLastColumn="0"/>
              <w:rPr>
                <w:sz w:val="18"/>
                <w:szCs w:val="18"/>
              </w:rPr>
            </w:pPr>
            <w:r w:rsidRPr="004248EC">
              <w:rPr>
                <w:sz w:val="18"/>
                <w:szCs w:val="18"/>
              </w:rPr>
              <w:t>50%</w:t>
            </w:r>
          </w:p>
        </w:tc>
      </w:tr>
      <w:tr w:rsidR="00BA0C7F" w:rsidRPr="00923467" w14:paraId="21D3A4FF" w14:textId="77777777" w:rsidTr="00542064">
        <w:trPr>
          <w:trHeight w:val="340"/>
        </w:trPr>
        <w:tc>
          <w:tcPr>
            <w:cnfStyle w:val="001000000000" w:firstRow="0" w:lastRow="0" w:firstColumn="1" w:lastColumn="0" w:oddVBand="0" w:evenVBand="0" w:oddHBand="0" w:evenHBand="0" w:firstRowFirstColumn="0" w:firstRowLastColumn="0" w:lastRowFirstColumn="0" w:lastRowLastColumn="0"/>
            <w:tcW w:w="1122" w:type="dxa"/>
          </w:tcPr>
          <w:p w14:paraId="510EA59F" w14:textId="2173A430" w:rsidR="00BA0C7F" w:rsidRPr="00542064" w:rsidRDefault="004D70EE" w:rsidP="00923467">
            <w:pPr>
              <w:rPr>
                <w:b w:val="0"/>
                <w:bCs w:val="0"/>
                <w:sz w:val="18"/>
                <w:szCs w:val="18"/>
              </w:rPr>
            </w:pPr>
            <w:r w:rsidRPr="00542064">
              <w:rPr>
                <w:b w:val="0"/>
                <w:bCs w:val="0"/>
                <w:sz w:val="18"/>
                <w:szCs w:val="18"/>
              </w:rPr>
              <w:t>NGO</w:t>
            </w:r>
          </w:p>
        </w:tc>
        <w:tc>
          <w:tcPr>
            <w:tcW w:w="790" w:type="dxa"/>
          </w:tcPr>
          <w:p w14:paraId="39F4B202" w14:textId="4B1FA211" w:rsidR="00BA0C7F" w:rsidRPr="004248EC" w:rsidRDefault="004D70EE" w:rsidP="00923467">
            <w:pPr>
              <w:cnfStyle w:val="000000000000" w:firstRow="0" w:lastRow="0" w:firstColumn="0" w:lastColumn="0" w:oddVBand="0" w:evenVBand="0" w:oddHBand="0" w:evenHBand="0" w:firstRowFirstColumn="0" w:firstRowLastColumn="0" w:lastRowFirstColumn="0" w:lastRowLastColumn="0"/>
              <w:rPr>
                <w:sz w:val="18"/>
                <w:szCs w:val="18"/>
              </w:rPr>
            </w:pPr>
            <w:r w:rsidRPr="004248EC">
              <w:rPr>
                <w:sz w:val="18"/>
                <w:szCs w:val="18"/>
              </w:rPr>
              <w:t>79,158</w:t>
            </w:r>
          </w:p>
        </w:tc>
        <w:tc>
          <w:tcPr>
            <w:tcW w:w="790" w:type="dxa"/>
          </w:tcPr>
          <w:p w14:paraId="7B5DCA1E" w14:textId="22511D88" w:rsidR="00BA0C7F" w:rsidRPr="004248EC" w:rsidRDefault="004D70EE" w:rsidP="00923467">
            <w:pPr>
              <w:cnfStyle w:val="000000000000" w:firstRow="0" w:lastRow="0" w:firstColumn="0" w:lastColumn="0" w:oddVBand="0" w:evenVBand="0" w:oddHBand="0" w:evenHBand="0" w:firstRowFirstColumn="0" w:firstRowLastColumn="0" w:lastRowFirstColumn="0" w:lastRowLastColumn="0"/>
              <w:rPr>
                <w:sz w:val="18"/>
                <w:szCs w:val="18"/>
              </w:rPr>
            </w:pPr>
            <w:r w:rsidRPr="004248EC">
              <w:rPr>
                <w:sz w:val="18"/>
                <w:szCs w:val="18"/>
              </w:rPr>
              <w:t>25,118</w:t>
            </w:r>
          </w:p>
        </w:tc>
        <w:tc>
          <w:tcPr>
            <w:tcW w:w="848" w:type="dxa"/>
          </w:tcPr>
          <w:p w14:paraId="581FE778" w14:textId="21F8BDA3" w:rsidR="00BA0C7F" w:rsidRPr="004248EC" w:rsidRDefault="004D70EE" w:rsidP="00923467">
            <w:pPr>
              <w:cnfStyle w:val="000000000000" w:firstRow="0" w:lastRow="0" w:firstColumn="0" w:lastColumn="0" w:oddVBand="0" w:evenVBand="0" w:oddHBand="0" w:evenHBand="0" w:firstRowFirstColumn="0" w:firstRowLastColumn="0" w:lastRowFirstColumn="0" w:lastRowLastColumn="0"/>
              <w:rPr>
                <w:sz w:val="18"/>
                <w:szCs w:val="18"/>
              </w:rPr>
            </w:pPr>
            <w:r w:rsidRPr="004248EC">
              <w:rPr>
                <w:sz w:val="18"/>
                <w:szCs w:val="18"/>
              </w:rPr>
              <w:t>54,040</w:t>
            </w:r>
          </w:p>
        </w:tc>
        <w:tc>
          <w:tcPr>
            <w:tcW w:w="981" w:type="dxa"/>
          </w:tcPr>
          <w:p w14:paraId="5AFFC920" w14:textId="68DAE07B" w:rsidR="00BA0C7F" w:rsidRPr="004248EC" w:rsidRDefault="004D70EE" w:rsidP="00923467">
            <w:pPr>
              <w:cnfStyle w:val="000000000000" w:firstRow="0" w:lastRow="0" w:firstColumn="0" w:lastColumn="0" w:oddVBand="0" w:evenVBand="0" w:oddHBand="0" w:evenHBand="0" w:firstRowFirstColumn="0" w:firstRowLastColumn="0" w:lastRowFirstColumn="0" w:lastRowLastColumn="0"/>
              <w:rPr>
                <w:sz w:val="18"/>
                <w:szCs w:val="18"/>
              </w:rPr>
            </w:pPr>
            <w:r w:rsidRPr="004248EC">
              <w:rPr>
                <w:sz w:val="18"/>
                <w:szCs w:val="18"/>
              </w:rPr>
              <w:t>215%</w:t>
            </w:r>
          </w:p>
        </w:tc>
      </w:tr>
      <w:tr w:rsidR="00BA0C7F" w:rsidRPr="00923467" w14:paraId="3EED5255" w14:textId="77777777" w:rsidTr="005420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22" w:type="dxa"/>
          </w:tcPr>
          <w:p w14:paraId="4F6D9258" w14:textId="7AFE89F3" w:rsidR="00BA0C7F" w:rsidRPr="00542064" w:rsidRDefault="004D70EE" w:rsidP="00923467">
            <w:pPr>
              <w:rPr>
                <w:b w:val="0"/>
                <w:bCs w:val="0"/>
                <w:sz w:val="18"/>
                <w:szCs w:val="18"/>
              </w:rPr>
            </w:pPr>
            <w:r w:rsidRPr="00542064">
              <w:rPr>
                <w:b w:val="0"/>
                <w:bCs w:val="0"/>
                <w:sz w:val="18"/>
                <w:szCs w:val="18"/>
              </w:rPr>
              <w:t>PIO</w:t>
            </w:r>
          </w:p>
        </w:tc>
        <w:tc>
          <w:tcPr>
            <w:tcW w:w="790" w:type="dxa"/>
          </w:tcPr>
          <w:p w14:paraId="39940D4A" w14:textId="247E3143" w:rsidR="00BA0C7F" w:rsidRPr="004248EC" w:rsidRDefault="004D70EE" w:rsidP="00923467">
            <w:pPr>
              <w:cnfStyle w:val="000000100000" w:firstRow="0" w:lastRow="0" w:firstColumn="0" w:lastColumn="0" w:oddVBand="0" w:evenVBand="0" w:oddHBand="1" w:evenHBand="0" w:firstRowFirstColumn="0" w:firstRowLastColumn="0" w:lastRowFirstColumn="0" w:lastRowLastColumn="0"/>
              <w:rPr>
                <w:sz w:val="18"/>
                <w:szCs w:val="18"/>
              </w:rPr>
            </w:pPr>
            <w:r w:rsidRPr="004248EC">
              <w:rPr>
                <w:sz w:val="18"/>
                <w:szCs w:val="18"/>
              </w:rPr>
              <w:t>44,636</w:t>
            </w:r>
          </w:p>
        </w:tc>
        <w:tc>
          <w:tcPr>
            <w:tcW w:w="790" w:type="dxa"/>
          </w:tcPr>
          <w:p w14:paraId="7FCEA91E" w14:textId="3E8DFDB7" w:rsidR="00BA0C7F" w:rsidRPr="004248EC" w:rsidRDefault="004D70EE" w:rsidP="00923467">
            <w:pPr>
              <w:cnfStyle w:val="000000100000" w:firstRow="0" w:lastRow="0" w:firstColumn="0" w:lastColumn="0" w:oddVBand="0" w:evenVBand="0" w:oddHBand="1" w:evenHBand="0" w:firstRowFirstColumn="0" w:firstRowLastColumn="0" w:lastRowFirstColumn="0" w:lastRowLastColumn="0"/>
              <w:rPr>
                <w:sz w:val="18"/>
                <w:szCs w:val="18"/>
              </w:rPr>
            </w:pPr>
            <w:r w:rsidRPr="004248EC">
              <w:rPr>
                <w:sz w:val="18"/>
                <w:szCs w:val="18"/>
              </w:rPr>
              <w:t>92,629</w:t>
            </w:r>
          </w:p>
        </w:tc>
        <w:tc>
          <w:tcPr>
            <w:tcW w:w="848" w:type="dxa"/>
          </w:tcPr>
          <w:p w14:paraId="363AF0EA" w14:textId="4833E6EC" w:rsidR="00BA0C7F" w:rsidRPr="004248EC" w:rsidRDefault="004D70EE" w:rsidP="00923467">
            <w:pPr>
              <w:cnfStyle w:val="000000100000" w:firstRow="0" w:lastRow="0" w:firstColumn="0" w:lastColumn="0" w:oddVBand="0" w:evenVBand="0" w:oddHBand="1" w:evenHBand="0" w:firstRowFirstColumn="0" w:firstRowLastColumn="0" w:lastRowFirstColumn="0" w:lastRowLastColumn="0"/>
              <w:rPr>
                <w:sz w:val="18"/>
                <w:szCs w:val="18"/>
              </w:rPr>
            </w:pPr>
            <w:r w:rsidRPr="004248EC">
              <w:rPr>
                <w:sz w:val="18"/>
                <w:szCs w:val="18"/>
              </w:rPr>
              <w:t>-47,993</w:t>
            </w:r>
          </w:p>
        </w:tc>
        <w:tc>
          <w:tcPr>
            <w:tcW w:w="981" w:type="dxa"/>
          </w:tcPr>
          <w:p w14:paraId="0E391528" w14:textId="6B11382F" w:rsidR="00BA0C7F" w:rsidRPr="004248EC" w:rsidRDefault="004D70EE" w:rsidP="00923467">
            <w:pPr>
              <w:cnfStyle w:val="000000100000" w:firstRow="0" w:lastRow="0" w:firstColumn="0" w:lastColumn="0" w:oddVBand="0" w:evenVBand="0" w:oddHBand="1" w:evenHBand="0" w:firstRowFirstColumn="0" w:firstRowLastColumn="0" w:lastRowFirstColumn="0" w:lastRowLastColumn="0"/>
              <w:rPr>
                <w:sz w:val="18"/>
                <w:szCs w:val="18"/>
              </w:rPr>
            </w:pPr>
            <w:r w:rsidRPr="004248EC">
              <w:rPr>
                <w:sz w:val="18"/>
                <w:szCs w:val="18"/>
              </w:rPr>
              <w:t>-52%</w:t>
            </w:r>
          </w:p>
        </w:tc>
      </w:tr>
      <w:tr w:rsidR="00BA0C7F" w:rsidRPr="00923467" w14:paraId="08C1020E" w14:textId="77777777" w:rsidTr="00542064">
        <w:trPr>
          <w:trHeight w:val="340"/>
        </w:trPr>
        <w:tc>
          <w:tcPr>
            <w:cnfStyle w:val="001000000000" w:firstRow="0" w:lastRow="0" w:firstColumn="1" w:lastColumn="0" w:oddVBand="0" w:evenVBand="0" w:oddHBand="0" w:evenHBand="0" w:firstRowFirstColumn="0" w:firstRowLastColumn="0" w:lastRowFirstColumn="0" w:lastRowLastColumn="0"/>
            <w:tcW w:w="1122" w:type="dxa"/>
          </w:tcPr>
          <w:p w14:paraId="317C6690" w14:textId="37A1F89C" w:rsidR="00BA0C7F" w:rsidRPr="00542064" w:rsidRDefault="004D70EE" w:rsidP="00923467">
            <w:pPr>
              <w:rPr>
                <w:b w:val="0"/>
                <w:bCs w:val="0"/>
                <w:sz w:val="18"/>
                <w:szCs w:val="18"/>
              </w:rPr>
            </w:pPr>
            <w:r w:rsidRPr="00542064">
              <w:rPr>
                <w:b w:val="0"/>
                <w:bCs w:val="0"/>
                <w:sz w:val="18"/>
                <w:szCs w:val="18"/>
              </w:rPr>
              <w:t>Private</w:t>
            </w:r>
          </w:p>
        </w:tc>
        <w:tc>
          <w:tcPr>
            <w:tcW w:w="790" w:type="dxa"/>
          </w:tcPr>
          <w:p w14:paraId="0C777A6F" w14:textId="5516C4C7" w:rsidR="00BA0C7F" w:rsidRPr="004248EC" w:rsidRDefault="004D70EE" w:rsidP="00923467">
            <w:pPr>
              <w:cnfStyle w:val="000000000000" w:firstRow="0" w:lastRow="0" w:firstColumn="0" w:lastColumn="0" w:oddVBand="0" w:evenVBand="0" w:oddHBand="0" w:evenHBand="0" w:firstRowFirstColumn="0" w:firstRowLastColumn="0" w:lastRowFirstColumn="0" w:lastRowLastColumn="0"/>
              <w:rPr>
                <w:sz w:val="18"/>
                <w:szCs w:val="18"/>
              </w:rPr>
            </w:pPr>
            <w:r w:rsidRPr="004248EC">
              <w:rPr>
                <w:sz w:val="18"/>
                <w:szCs w:val="18"/>
              </w:rPr>
              <w:t>188,925</w:t>
            </w:r>
          </w:p>
        </w:tc>
        <w:tc>
          <w:tcPr>
            <w:tcW w:w="790" w:type="dxa"/>
          </w:tcPr>
          <w:p w14:paraId="5EA098D0" w14:textId="3AEEA683" w:rsidR="00BA0C7F" w:rsidRPr="004248EC" w:rsidRDefault="004D70EE" w:rsidP="00923467">
            <w:pPr>
              <w:cnfStyle w:val="000000000000" w:firstRow="0" w:lastRow="0" w:firstColumn="0" w:lastColumn="0" w:oddVBand="0" w:evenVBand="0" w:oddHBand="0" w:evenHBand="0" w:firstRowFirstColumn="0" w:firstRowLastColumn="0" w:lastRowFirstColumn="0" w:lastRowLastColumn="0"/>
              <w:rPr>
                <w:sz w:val="18"/>
                <w:szCs w:val="18"/>
              </w:rPr>
            </w:pPr>
            <w:r w:rsidRPr="004248EC">
              <w:rPr>
                <w:sz w:val="18"/>
                <w:szCs w:val="18"/>
              </w:rPr>
              <w:t>99,946</w:t>
            </w:r>
          </w:p>
        </w:tc>
        <w:tc>
          <w:tcPr>
            <w:tcW w:w="848" w:type="dxa"/>
          </w:tcPr>
          <w:p w14:paraId="52134F02" w14:textId="0ADF4C1F" w:rsidR="00BA0C7F" w:rsidRPr="004248EC" w:rsidRDefault="004D70EE" w:rsidP="00923467">
            <w:pPr>
              <w:cnfStyle w:val="000000000000" w:firstRow="0" w:lastRow="0" w:firstColumn="0" w:lastColumn="0" w:oddVBand="0" w:evenVBand="0" w:oddHBand="0" w:evenHBand="0" w:firstRowFirstColumn="0" w:firstRowLastColumn="0" w:lastRowFirstColumn="0" w:lastRowLastColumn="0"/>
              <w:rPr>
                <w:sz w:val="18"/>
                <w:szCs w:val="18"/>
              </w:rPr>
            </w:pPr>
            <w:r w:rsidRPr="004248EC">
              <w:rPr>
                <w:sz w:val="18"/>
                <w:szCs w:val="18"/>
              </w:rPr>
              <w:t>88,979</w:t>
            </w:r>
          </w:p>
        </w:tc>
        <w:tc>
          <w:tcPr>
            <w:tcW w:w="981" w:type="dxa"/>
          </w:tcPr>
          <w:p w14:paraId="49CAEBB3" w14:textId="61CCA091" w:rsidR="00BA0C7F" w:rsidRPr="004248EC" w:rsidRDefault="004D70EE" w:rsidP="00923467">
            <w:pPr>
              <w:cnfStyle w:val="000000000000" w:firstRow="0" w:lastRow="0" w:firstColumn="0" w:lastColumn="0" w:oddVBand="0" w:evenVBand="0" w:oddHBand="0" w:evenHBand="0" w:firstRowFirstColumn="0" w:firstRowLastColumn="0" w:lastRowFirstColumn="0" w:lastRowLastColumn="0"/>
              <w:rPr>
                <w:sz w:val="18"/>
                <w:szCs w:val="18"/>
              </w:rPr>
            </w:pPr>
            <w:r w:rsidRPr="004248EC">
              <w:rPr>
                <w:sz w:val="18"/>
                <w:szCs w:val="18"/>
              </w:rPr>
              <w:t>89%</w:t>
            </w:r>
          </w:p>
        </w:tc>
      </w:tr>
      <w:tr w:rsidR="004D70EE" w:rsidRPr="00923467" w14:paraId="31BA47F5" w14:textId="77777777" w:rsidTr="005420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22" w:type="dxa"/>
          </w:tcPr>
          <w:p w14:paraId="51A47094" w14:textId="3A9FF7AB" w:rsidR="004D70EE" w:rsidRPr="004248EC" w:rsidRDefault="004D70EE" w:rsidP="00923467">
            <w:pPr>
              <w:rPr>
                <w:b w:val="0"/>
                <w:sz w:val="18"/>
                <w:szCs w:val="18"/>
              </w:rPr>
            </w:pPr>
            <w:r w:rsidRPr="004248EC">
              <w:rPr>
                <w:sz w:val="18"/>
                <w:szCs w:val="18"/>
              </w:rPr>
              <w:t>Total</w:t>
            </w:r>
          </w:p>
        </w:tc>
        <w:tc>
          <w:tcPr>
            <w:tcW w:w="790" w:type="dxa"/>
          </w:tcPr>
          <w:p w14:paraId="2C7FB4E9" w14:textId="23E51AF3" w:rsidR="004D70EE" w:rsidRPr="00542064" w:rsidRDefault="004D70EE"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542064">
              <w:rPr>
                <w:b/>
                <w:bCs/>
                <w:sz w:val="18"/>
                <w:szCs w:val="18"/>
              </w:rPr>
              <w:t>703,639</w:t>
            </w:r>
          </w:p>
        </w:tc>
        <w:tc>
          <w:tcPr>
            <w:tcW w:w="790" w:type="dxa"/>
          </w:tcPr>
          <w:p w14:paraId="3A4C0BA3" w14:textId="793B4BD6" w:rsidR="004D70EE" w:rsidRPr="00542064" w:rsidRDefault="004D70EE"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542064">
              <w:rPr>
                <w:b/>
                <w:bCs/>
                <w:sz w:val="18"/>
                <w:szCs w:val="18"/>
              </w:rPr>
              <w:t>443,511</w:t>
            </w:r>
          </w:p>
        </w:tc>
        <w:tc>
          <w:tcPr>
            <w:tcW w:w="848" w:type="dxa"/>
          </w:tcPr>
          <w:p w14:paraId="12674083" w14:textId="10DB077D" w:rsidR="004D70EE" w:rsidRPr="00542064" w:rsidRDefault="004D70EE"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542064">
              <w:rPr>
                <w:b/>
                <w:bCs/>
                <w:sz w:val="18"/>
                <w:szCs w:val="18"/>
              </w:rPr>
              <w:t>260,128</w:t>
            </w:r>
          </w:p>
        </w:tc>
        <w:tc>
          <w:tcPr>
            <w:tcW w:w="981" w:type="dxa"/>
          </w:tcPr>
          <w:p w14:paraId="1E22A255" w14:textId="7B92F069" w:rsidR="004D70EE" w:rsidRPr="00542064" w:rsidRDefault="004D70EE"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542064">
              <w:rPr>
                <w:b/>
                <w:bCs/>
                <w:sz w:val="18"/>
                <w:szCs w:val="18"/>
              </w:rPr>
              <w:t>59%</w:t>
            </w:r>
          </w:p>
        </w:tc>
      </w:tr>
    </w:tbl>
    <w:p w14:paraId="3651C822" w14:textId="5540E28B" w:rsidR="00565836" w:rsidRPr="004248EC" w:rsidRDefault="004D70EE" w:rsidP="00923467">
      <w:pPr>
        <w:rPr>
          <w:i/>
          <w:iCs/>
          <w:color w:val="44546A" w:themeColor="text2"/>
          <w:sz w:val="18"/>
          <w:szCs w:val="18"/>
        </w:rPr>
      </w:pPr>
      <w:bookmarkStart w:id="25" w:name="_Toc137831134"/>
      <w:r w:rsidRPr="004248EC">
        <w:rPr>
          <w:i/>
          <w:iCs/>
          <w:color w:val="44546A" w:themeColor="text2"/>
          <w:sz w:val="18"/>
          <w:szCs w:val="18"/>
        </w:rPr>
        <w:t xml:space="preserve">Table </w:t>
      </w:r>
      <w:r w:rsidRPr="004248EC">
        <w:rPr>
          <w:i/>
          <w:iCs/>
          <w:color w:val="44546A" w:themeColor="text2"/>
          <w:sz w:val="18"/>
          <w:szCs w:val="18"/>
        </w:rPr>
        <w:fldChar w:fldCharType="begin"/>
      </w:r>
      <w:r w:rsidRPr="004248EC">
        <w:rPr>
          <w:i/>
          <w:iCs/>
          <w:color w:val="44546A" w:themeColor="text2"/>
          <w:sz w:val="18"/>
          <w:szCs w:val="18"/>
        </w:rPr>
        <w:instrText xml:space="preserve"> SEQ Table \* ARABIC </w:instrText>
      </w:r>
      <w:r w:rsidRPr="004248EC">
        <w:rPr>
          <w:i/>
          <w:iCs/>
          <w:color w:val="44546A" w:themeColor="text2"/>
          <w:sz w:val="18"/>
          <w:szCs w:val="18"/>
        </w:rPr>
        <w:fldChar w:fldCharType="separate"/>
      </w:r>
      <w:r w:rsidR="00E12E6B">
        <w:rPr>
          <w:i/>
          <w:iCs/>
          <w:noProof/>
          <w:color w:val="44546A" w:themeColor="text2"/>
          <w:sz w:val="18"/>
          <w:szCs w:val="18"/>
        </w:rPr>
        <w:t>5</w:t>
      </w:r>
      <w:r w:rsidRPr="004248EC">
        <w:rPr>
          <w:i/>
          <w:iCs/>
          <w:color w:val="44546A" w:themeColor="text2"/>
          <w:sz w:val="18"/>
          <w:szCs w:val="18"/>
        </w:rPr>
        <w:fldChar w:fldCharType="end"/>
      </w:r>
      <w:r w:rsidRPr="004248EC">
        <w:rPr>
          <w:i/>
          <w:iCs/>
          <w:color w:val="44546A" w:themeColor="text2"/>
          <w:sz w:val="18"/>
          <w:szCs w:val="18"/>
        </w:rPr>
        <w:t>: Duty Waiver by Category, 2021 and 2022</w:t>
      </w:r>
      <w:bookmarkEnd w:id="25"/>
    </w:p>
    <w:p w14:paraId="6EBBA4C1" w14:textId="77777777" w:rsidR="00716512" w:rsidRDefault="00716512" w:rsidP="005771C8"/>
    <w:p w14:paraId="003FBCED" w14:textId="77777777" w:rsidR="00A65C88" w:rsidRDefault="00A65C88" w:rsidP="005771C8"/>
    <w:p w14:paraId="28A184D3" w14:textId="77777777" w:rsidR="00A65C88" w:rsidRDefault="00A65C88" w:rsidP="005771C8"/>
    <w:p w14:paraId="3575CE48" w14:textId="77777777" w:rsidR="00A65C88" w:rsidRDefault="00A65C88" w:rsidP="005771C8"/>
    <w:p w14:paraId="19AF9BE3" w14:textId="77777777" w:rsidR="00A65C88" w:rsidRDefault="00A65C88" w:rsidP="005771C8"/>
    <w:tbl>
      <w:tblPr>
        <w:tblStyle w:val="GridTable4-Accent5"/>
        <w:tblW w:w="0" w:type="auto"/>
        <w:tblLook w:val="04A0" w:firstRow="1" w:lastRow="0" w:firstColumn="1" w:lastColumn="0" w:noHBand="0" w:noVBand="1"/>
      </w:tblPr>
      <w:tblGrid>
        <w:gridCol w:w="1838"/>
        <w:gridCol w:w="851"/>
        <w:gridCol w:w="850"/>
        <w:gridCol w:w="851"/>
        <w:gridCol w:w="1134"/>
      </w:tblGrid>
      <w:tr w:rsidR="0048671D" w14:paraId="51296687" w14:textId="77777777" w:rsidTr="00F504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5105483" w14:textId="0EBF42A8" w:rsidR="0048671D" w:rsidRPr="00F5044E" w:rsidRDefault="0048671D" w:rsidP="005771C8">
            <w:pPr>
              <w:rPr>
                <w:sz w:val="18"/>
                <w:szCs w:val="18"/>
              </w:rPr>
            </w:pPr>
            <w:r w:rsidRPr="00F5044E">
              <w:rPr>
                <w:sz w:val="18"/>
                <w:szCs w:val="18"/>
              </w:rPr>
              <w:t>Sector</w:t>
            </w:r>
          </w:p>
        </w:tc>
        <w:tc>
          <w:tcPr>
            <w:tcW w:w="851" w:type="dxa"/>
          </w:tcPr>
          <w:p w14:paraId="4E86FBFB" w14:textId="09826AE8" w:rsidR="0048671D" w:rsidRPr="00F5044E" w:rsidRDefault="0048671D" w:rsidP="005771C8">
            <w:pPr>
              <w:cnfStyle w:val="100000000000" w:firstRow="1" w:lastRow="0" w:firstColumn="0" w:lastColumn="0" w:oddVBand="0" w:evenVBand="0" w:oddHBand="0" w:evenHBand="0" w:firstRowFirstColumn="0" w:firstRowLastColumn="0" w:lastRowFirstColumn="0" w:lastRowLastColumn="0"/>
              <w:rPr>
                <w:sz w:val="18"/>
                <w:szCs w:val="18"/>
              </w:rPr>
            </w:pPr>
            <w:r w:rsidRPr="00F5044E">
              <w:rPr>
                <w:sz w:val="18"/>
                <w:szCs w:val="18"/>
              </w:rPr>
              <w:t>2022</w:t>
            </w:r>
          </w:p>
        </w:tc>
        <w:tc>
          <w:tcPr>
            <w:tcW w:w="850" w:type="dxa"/>
          </w:tcPr>
          <w:p w14:paraId="2B7DB695" w14:textId="236161EC" w:rsidR="0048671D" w:rsidRPr="00F5044E" w:rsidRDefault="0048671D" w:rsidP="005771C8">
            <w:pPr>
              <w:cnfStyle w:val="100000000000" w:firstRow="1" w:lastRow="0" w:firstColumn="0" w:lastColumn="0" w:oddVBand="0" w:evenVBand="0" w:oddHBand="0" w:evenHBand="0" w:firstRowFirstColumn="0" w:firstRowLastColumn="0" w:lastRowFirstColumn="0" w:lastRowLastColumn="0"/>
              <w:rPr>
                <w:sz w:val="18"/>
                <w:szCs w:val="18"/>
              </w:rPr>
            </w:pPr>
            <w:r w:rsidRPr="00F5044E">
              <w:rPr>
                <w:sz w:val="18"/>
                <w:szCs w:val="18"/>
              </w:rPr>
              <w:t>2021</w:t>
            </w:r>
          </w:p>
        </w:tc>
        <w:tc>
          <w:tcPr>
            <w:tcW w:w="851" w:type="dxa"/>
          </w:tcPr>
          <w:p w14:paraId="10D24946" w14:textId="0D0E57EA" w:rsidR="0048671D" w:rsidRPr="00F5044E" w:rsidRDefault="0048671D" w:rsidP="005771C8">
            <w:pPr>
              <w:cnfStyle w:val="100000000000" w:firstRow="1" w:lastRow="0" w:firstColumn="0" w:lastColumn="0" w:oddVBand="0" w:evenVBand="0" w:oddHBand="0" w:evenHBand="0" w:firstRowFirstColumn="0" w:firstRowLastColumn="0" w:lastRowFirstColumn="0" w:lastRowLastColumn="0"/>
              <w:rPr>
                <w:sz w:val="18"/>
                <w:szCs w:val="18"/>
              </w:rPr>
            </w:pPr>
            <w:r w:rsidRPr="00F5044E">
              <w:rPr>
                <w:sz w:val="18"/>
                <w:szCs w:val="18"/>
              </w:rPr>
              <w:t>Variance</w:t>
            </w:r>
          </w:p>
        </w:tc>
        <w:tc>
          <w:tcPr>
            <w:tcW w:w="1134" w:type="dxa"/>
          </w:tcPr>
          <w:p w14:paraId="6E51BF6B" w14:textId="27239DF6" w:rsidR="0048671D" w:rsidRPr="00F5044E" w:rsidRDefault="0048671D" w:rsidP="005771C8">
            <w:pPr>
              <w:cnfStyle w:val="100000000000" w:firstRow="1" w:lastRow="0" w:firstColumn="0" w:lastColumn="0" w:oddVBand="0" w:evenVBand="0" w:oddHBand="0" w:evenHBand="0" w:firstRowFirstColumn="0" w:firstRowLastColumn="0" w:lastRowFirstColumn="0" w:lastRowLastColumn="0"/>
              <w:rPr>
                <w:sz w:val="18"/>
                <w:szCs w:val="18"/>
              </w:rPr>
            </w:pPr>
            <w:r w:rsidRPr="00F5044E">
              <w:rPr>
                <w:sz w:val="18"/>
                <w:szCs w:val="18"/>
              </w:rPr>
              <w:t>% Variance</w:t>
            </w:r>
          </w:p>
        </w:tc>
      </w:tr>
      <w:tr w:rsidR="0048671D" w14:paraId="358F1D76" w14:textId="77777777" w:rsidTr="00F5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1E85A56" w14:textId="0A3B7FCB" w:rsidR="0048671D" w:rsidRPr="00F5044E" w:rsidRDefault="0048671D" w:rsidP="005771C8">
            <w:pPr>
              <w:rPr>
                <w:b w:val="0"/>
                <w:bCs w:val="0"/>
                <w:sz w:val="18"/>
                <w:szCs w:val="18"/>
              </w:rPr>
            </w:pPr>
            <w:r w:rsidRPr="00F5044E">
              <w:rPr>
                <w:b w:val="0"/>
                <w:bCs w:val="0"/>
                <w:sz w:val="18"/>
                <w:szCs w:val="18"/>
              </w:rPr>
              <w:t>Agricultural</w:t>
            </w:r>
          </w:p>
        </w:tc>
        <w:tc>
          <w:tcPr>
            <w:tcW w:w="851" w:type="dxa"/>
          </w:tcPr>
          <w:p w14:paraId="79DE9118" w14:textId="6558B136"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44,725</w:t>
            </w:r>
          </w:p>
        </w:tc>
        <w:tc>
          <w:tcPr>
            <w:tcW w:w="850" w:type="dxa"/>
          </w:tcPr>
          <w:p w14:paraId="6A714FA9" w14:textId="0F887892"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34,317</w:t>
            </w:r>
          </w:p>
        </w:tc>
        <w:tc>
          <w:tcPr>
            <w:tcW w:w="851" w:type="dxa"/>
          </w:tcPr>
          <w:p w14:paraId="1809EFAC" w14:textId="2552891D"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10,408</w:t>
            </w:r>
          </w:p>
        </w:tc>
        <w:tc>
          <w:tcPr>
            <w:tcW w:w="1134" w:type="dxa"/>
          </w:tcPr>
          <w:p w14:paraId="503C54D4" w14:textId="5A635831"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30%</w:t>
            </w:r>
          </w:p>
        </w:tc>
      </w:tr>
      <w:tr w:rsidR="0048671D" w14:paraId="32EBA121" w14:textId="77777777" w:rsidTr="00F5044E">
        <w:tc>
          <w:tcPr>
            <w:cnfStyle w:val="001000000000" w:firstRow="0" w:lastRow="0" w:firstColumn="1" w:lastColumn="0" w:oddVBand="0" w:evenVBand="0" w:oddHBand="0" w:evenHBand="0" w:firstRowFirstColumn="0" w:firstRowLastColumn="0" w:lastRowFirstColumn="0" w:lastRowLastColumn="0"/>
            <w:tcW w:w="1838" w:type="dxa"/>
          </w:tcPr>
          <w:p w14:paraId="37666546" w14:textId="245B1502" w:rsidR="0048671D" w:rsidRPr="00F5044E" w:rsidRDefault="0048671D" w:rsidP="005771C8">
            <w:pPr>
              <w:rPr>
                <w:b w:val="0"/>
                <w:bCs w:val="0"/>
                <w:sz w:val="18"/>
                <w:szCs w:val="18"/>
              </w:rPr>
            </w:pPr>
            <w:r w:rsidRPr="00F5044E">
              <w:rPr>
                <w:b w:val="0"/>
                <w:bCs w:val="0"/>
                <w:sz w:val="18"/>
                <w:szCs w:val="18"/>
              </w:rPr>
              <w:t>Communication</w:t>
            </w:r>
          </w:p>
        </w:tc>
        <w:tc>
          <w:tcPr>
            <w:tcW w:w="851" w:type="dxa"/>
          </w:tcPr>
          <w:p w14:paraId="6E480100" w14:textId="6A626334"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1,277</w:t>
            </w:r>
          </w:p>
        </w:tc>
        <w:tc>
          <w:tcPr>
            <w:tcW w:w="850" w:type="dxa"/>
          </w:tcPr>
          <w:p w14:paraId="5B5B3D48" w14:textId="3ADBE232"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4,168</w:t>
            </w:r>
          </w:p>
        </w:tc>
        <w:tc>
          <w:tcPr>
            <w:tcW w:w="851" w:type="dxa"/>
          </w:tcPr>
          <w:p w14:paraId="564ADCBB" w14:textId="65A6DA0E"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-2,891</w:t>
            </w:r>
          </w:p>
        </w:tc>
        <w:tc>
          <w:tcPr>
            <w:tcW w:w="1134" w:type="dxa"/>
          </w:tcPr>
          <w:p w14:paraId="1102C927" w14:textId="10631029"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-69%</w:t>
            </w:r>
          </w:p>
        </w:tc>
      </w:tr>
      <w:tr w:rsidR="0048671D" w14:paraId="0EDD9F02" w14:textId="77777777" w:rsidTr="00F5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30F591" w14:textId="23E952A7" w:rsidR="0048671D" w:rsidRPr="00F5044E" w:rsidRDefault="0048671D" w:rsidP="005771C8">
            <w:pPr>
              <w:rPr>
                <w:b w:val="0"/>
                <w:bCs w:val="0"/>
                <w:sz w:val="18"/>
                <w:szCs w:val="18"/>
              </w:rPr>
            </w:pPr>
            <w:r w:rsidRPr="00F5044E">
              <w:rPr>
                <w:b w:val="0"/>
                <w:bCs w:val="0"/>
                <w:sz w:val="18"/>
                <w:szCs w:val="18"/>
              </w:rPr>
              <w:t>Construction</w:t>
            </w:r>
          </w:p>
        </w:tc>
        <w:tc>
          <w:tcPr>
            <w:tcW w:w="851" w:type="dxa"/>
          </w:tcPr>
          <w:p w14:paraId="0349A089" w14:textId="4C5F1952"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49,737</w:t>
            </w:r>
          </w:p>
        </w:tc>
        <w:tc>
          <w:tcPr>
            <w:tcW w:w="850" w:type="dxa"/>
          </w:tcPr>
          <w:p w14:paraId="3AA0479D" w14:textId="19CA9B39"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55,360</w:t>
            </w:r>
          </w:p>
        </w:tc>
        <w:tc>
          <w:tcPr>
            <w:tcW w:w="851" w:type="dxa"/>
          </w:tcPr>
          <w:p w14:paraId="31E83372" w14:textId="33F69C14"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-5,623</w:t>
            </w:r>
          </w:p>
        </w:tc>
        <w:tc>
          <w:tcPr>
            <w:tcW w:w="1134" w:type="dxa"/>
          </w:tcPr>
          <w:p w14:paraId="340A6BFD" w14:textId="60C261C5"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-10%</w:t>
            </w:r>
          </w:p>
        </w:tc>
      </w:tr>
      <w:tr w:rsidR="0048671D" w14:paraId="0DEEFDA7" w14:textId="77777777" w:rsidTr="00F5044E">
        <w:tc>
          <w:tcPr>
            <w:cnfStyle w:val="001000000000" w:firstRow="0" w:lastRow="0" w:firstColumn="1" w:lastColumn="0" w:oddVBand="0" w:evenVBand="0" w:oddHBand="0" w:evenHBand="0" w:firstRowFirstColumn="0" w:firstRowLastColumn="0" w:lastRowFirstColumn="0" w:lastRowLastColumn="0"/>
            <w:tcW w:w="1838" w:type="dxa"/>
          </w:tcPr>
          <w:p w14:paraId="132B3A1E" w14:textId="2BB9CB39" w:rsidR="0048671D" w:rsidRPr="00F5044E" w:rsidRDefault="0048671D" w:rsidP="005771C8">
            <w:pPr>
              <w:rPr>
                <w:b w:val="0"/>
                <w:bCs w:val="0"/>
                <w:sz w:val="18"/>
                <w:szCs w:val="18"/>
              </w:rPr>
            </w:pPr>
            <w:r w:rsidRPr="00F5044E">
              <w:rPr>
                <w:b w:val="0"/>
                <w:bCs w:val="0"/>
                <w:sz w:val="18"/>
                <w:szCs w:val="18"/>
              </w:rPr>
              <w:t>Diplomatic</w:t>
            </w:r>
          </w:p>
        </w:tc>
        <w:tc>
          <w:tcPr>
            <w:tcW w:w="851" w:type="dxa"/>
          </w:tcPr>
          <w:p w14:paraId="7C613D2D" w14:textId="77F3D6E2"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38,264</w:t>
            </w:r>
          </w:p>
        </w:tc>
        <w:tc>
          <w:tcPr>
            <w:tcW w:w="850" w:type="dxa"/>
          </w:tcPr>
          <w:p w14:paraId="3974F4F6" w14:textId="05985D52"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79,760</w:t>
            </w:r>
          </w:p>
        </w:tc>
        <w:tc>
          <w:tcPr>
            <w:tcW w:w="851" w:type="dxa"/>
          </w:tcPr>
          <w:p w14:paraId="56E666BE" w14:textId="57E5C8EE"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-41,396</w:t>
            </w:r>
          </w:p>
        </w:tc>
        <w:tc>
          <w:tcPr>
            <w:tcW w:w="1134" w:type="dxa"/>
          </w:tcPr>
          <w:p w14:paraId="60007E02" w14:textId="39793A9E"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-52%</w:t>
            </w:r>
          </w:p>
        </w:tc>
      </w:tr>
      <w:tr w:rsidR="0048671D" w14:paraId="48406F6C" w14:textId="77777777" w:rsidTr="00F5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CAD0378" w14:textId="51013FD0" w:rsidR="0048671D" w:rsidRPr="00F5044E" w:rsidRDefault="0048671D" w:rsidP="005771C8">
            <w:pPr>
              <w:rPr>
                <w:b w:val="0"/>
                <w:bCs w:val="0"/>
                <w:sz w:val="18"/>
                <w:szCs w:val="18"/>
              </w:rPr>
            </w:pPr>
            <w:r w:rsidRPr="00F5044E">
              <w:rPr>
                <w:b w:val="0"/>
                <w:bCs w:val="0"/>
                <w:sz w:val="18"/>
                <w:szCs w:val="18"/>
              </w:rPr>
              <w:t>Education</w:t>
            </w:r>
          </w:p>
        </w:tc>
        <w:tc>
          <w:tcPr>
            <w:tcW w:w="851" w:type="dxa"/>
          </w:tcPr>
          <w:p w14:paraId="446AF3ED" w14:textId="47CD6634"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13,879</w:t>
            </w:r>
          </w:p>
        </w:tc>
        <w:tc>
          <w:tcPr>
            <w:tcW w:w="850" w:type="dxa"/>
          </w:tcPr>
          <w:p w14:paraId="561CA323" w14:textId="47174107"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2,776</w:t>
            </w:r>
          </w:p>
        </w:tc>
        <w:tc>
          <w:tcPr>
            <w:tcW w:w="851" w:type="dxa"/>
          </w:tcPr>
          <w:p w14:paraId="23AB5FF7" w14:textId="2061F8A0"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11,103</w:t>
            </w:r>
          </w:p>
        </w:tc>
        <w:tc>
          <w:tcPr>
            <w:tcW w:w="1134" w:type="dxa"/>
          </w:tcPr>
          <w:p w14:paraId="008D4FF1" w14:textId="74B96BAE"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400%</w:t>
            </w:r>
          </w:p>
        </w:tc>
      </w:tr>
      <w:tr w:rsidR="0048671D" w14:paraId="5CAC7CF0" w14:textId="77777777" w:rsidTr="00F5044E">
        <w:tc>
          <w:tcPr>
            <w:cnfStyle w:val="001000000000" w:firstRow="0" w:lastRow="0" w:firstColumn="1" w:lastColumn="0" w:oddVBand="0" w:evenVBand="0" w:oddHBand="0" w:evenHBand="0" w:firstRowFirstColumn="0" w:firstRowLastColumn="0" w:lastRowFirstColumn="0" w:lastRowLastColumn="0"/>
            <w:tcW w:w="1838" w:type="dxa"/>
          </w:tcPr>
          <w:p w14:paraId="436DD50F" w14:textId="3C6AEC49" w:rsidR="0048671D" w:rsidRPr="00F5044E" w:rsidRDefault="0048671D" w:rsidP="005771C8">
            <w:pPr>
              <w:rPr>
                <w:b w:val="0"/>
                <w:bCs w:val="0"/>
                <w:sz w:val="18"/>
                <w:szCs w:val="18"/>
              </w:rPr>
            </w:pPr>
            <w:r w:rsidRPr="00F5044E">
              <w:rPr>
                <w:b w:val="0"/>
                <w:bCs w:val="0"/>
                <w:sz w:val="18"/>
                <w:szCs w:val="18"/>
              </w:rPr>
              <w:t>Elections</w:t>
            </w:r>
          </w:p>
        </w:tc>
        <w:tc>
          <w:tcPr>
            <w:tcW w:w="851" w:type="dxa"/>
          </w:tcPr>
          <w:p w14:paraId="67937185" w14:textId="77777777"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p>
        </w:tc>
        <w:tc>
          <w:tcPr>
            <w:tcW w:w="850" w:type="dxa"/>
          </w:tcPr>
          <w:p w14:paraId="1E76E9B0" w14:textId="78146F11"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195</w:t>
            </w:r>
          </w:p>
        </w:tc>
        <w:tc>
          <w:tcPr>
            <w:tcW w:w="851" w:type="dxa"/>
          </w:tcPr>
          <w:p w14:paraId="52EFCDC4" w14:textId="73DE2513"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-195</w:t>
            </w:r>
          </w:p>
        </w:tc>
        <w:tc>
          <w:tcPr>
            <w:tcW w:w="1134" w:type="dxa"/>
          </w:tcPr>
          <w:p w14:paraId="54B5C752" w14:textId="2F299A8D"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-100%</w:t>
            </w:r>
          </w:p>
        </w:tc>
      </w:tr>
      <w:tr w:rsidR="0048671D" w14:paraId="67FA84B8" w14:textId="77777777" w:rsidTr="00F5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578C021" w14:textId="4EBC8BEF" w:rsidR="0048671D" w:rsidRPr="00F5044E" w:rsidRDefault="0048671D" w:rsidP="005771C8">
            <w:pPr>
              <w:rPr>
                <w:b w:val="0"/>
                <w:bCs w:val="0"/>
                <w:sz w:val="18"/>
                <w:szCs w:val="18"/>
              </w:rPr>
            </w:pPr>
            <w:r w:rsidRPr="00F5044E">
              <w:rPr>
                <w:b w:val="0"/>
                <w:bCs w:val="0"/>
                <w:sz w:val="18"/>
                <w:szCs w:val="18"/>
              </w:rPr>
              <w:t>Energy</w:t>
            </w:r>
          </w:p>
        </w:tc>
        <w:tc>
          <w:tcPr>
            <w:tcW w:w="851" w:type="dxa"/>
          </w:tcPr>
          <w:p w14:paraId="546F76B2" w14:textId="09F46EDE"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167,082</w:t>
            </w:r>
          </w:p>
        </w:tc>
        <w:tc>
          <w:tcPr>
            <w:tcW w:w="850" w:type="dxa"/>
          </w:tcPr>
          <w:p w14:paraId="53297A28" w14:textId="26FF1A77"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43,706</w:t>
            </w:r>
          </w:p>
        </w:tc>
        <w:tc>
          <w:tcPr>
            <w:tcW w:w="851" w:type="dxa"/>
          </w:tcPr>
          <w:p w14:paraId="79403528" w14:textId="5DC77FC7"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123,376</w:t>
            </w:r>
          </w:p>
        </w:tc>
        <w:tc>
          <w:tcPr>
            <w:tcW w:w="1134" w:type="dxa"/>
          </w:tcPr>
          <w:p w14:paraId="2F443D90" w14:textId="1308C176"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282%</w:t>
            </w:r>
          </w:p>
        </w:tc>
      </w:tr>
      <w:tr w:rsidR="0048671D" w14:paraId="5D6E8DF8" w14:textId="77777777" w:rsidTr="00F5044E">
        <w:tc>
          <w:tcPr>
            <w:cnfStyle w:val="001000000000" w:firstRow="0" w:lastRow="0" w:firstColumn="1" w:lastColumn="0" w:oddVBand="0" w:evenVBand="0" w:oddHBand="0" w:evenHBand="0" w:firstRowFirstColumn="0" w:firstRowLastColumn="0" w:lastRowFirstColumn="0" w:lastRowLastColumn="0"/>
            <w:tcW w:w="1838" w:type="dxa"/>
          </w:tcPr>
          <w:p w14:paraId="40B7D7DF" w14:textId="7DEF0F0C" w:rsidR="0048671D" w:rsidRPr="00F5044E" w:rsidRDefault="0048671D" w:rsidP="005771C8">
            <w:pPr>
              <w:rPr>
                <w:b w:val="0"/>
                <w:bCs w:val="0"/>
                <w:sz w:val="18"/>
                <w:szCs w:val="18"/>
              </w:rPr>
            </w:pPr>
            <w:r w:rsidRPr="00F5044E">
              <w:rPr>
                <w:b w:val="0"/>
                <w:bCs w:val="0"/>
                <w:sz w:val="18"/>
                <w:szCs w:val="18"/>
              </w:rPr>
              <w:t>Financial</w:t>
            </w:r>
          </w:p>
        </w:tc>
        <w:tc>
          <w:tcPr>
            <w:tcW w:w="851" w:type="dxa"/>
          </w:tcPr>
          <w:p w14:paraId="67E14FAA" w14:textId="77777777"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p>
        </w:tc>
        <w:tc>
          <w:tcPr>
            <w:tcW w:w="850" w:type="dxa"/>
          </w:tcPr>
          <w:p w14:paraId="49BA1BCD" w14:textId="57212C87"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0</w:t>
            </w:r>
          </w:p>
        </w:tc>
        <w:tc>
          <w:tcPr>
            <w:tcW w:w="851" w:type="dxa"/>
          </w:tcPr>
          <w:p w14:paraId="03C968A9" w14:textId="2EB629E9"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0</w:t>
            </w:r>
          </w:p>
        </w:tc>
        <w:tc>
          <w:tcPr>
            <w:tcW w:w="1134" w:type="dxa"/>
          </w:tcPr>
          <w:p w14:paraId="60C0BF0F" w14:textId="4FBACFCD"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0%</w:t>
            </w:r>
          </w:p>
        </w:tc>
      </w:tr>
      <w:tr w:rsidR="0048671D" w14:paraId="20A0D858" w14:textId="77777777" w:rsidTr="00F5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A154F5" w14:textId="427ECBBE" w:rsidR="0048671D" w:rsidRPr="00F5044E" w:rsidRDefault="0048671D" w:rsidP="005771C8">
            <w:pPr>
              <w:rPr>
                <w:b w:val="0"/>
                <w:bCs w:val="0"/>
                <w:sz w:val="18"/>
                <w:szCs w:val="18"/>
              </w:rPr>
            </w:pPr>
            <w:r w:rsidRPr="00F5044E">
              <w:rPr>
                <w:b w:val="0"/>
                <w:bCs w:val="0"/>
                <w:sz w:val="18"/>
                <w:szCs w:val="18"/>
              </w:rPr>
              <w:t>Fishery</w:t>
            </w:r>
          </w:p>
        </w:tc>
        <w:tc>
          <w:tcPr>
            <w:tcW w:w="851" w:type="dxa"/>
          </w:tcPr>
          <w:p w14:paraId="5A44FE5D" w14:textId="226B7687"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216</w:t>
            </w:r>
          </w:p>
        </w:tc>
        <w:tc>
          <w:tcPr>
            <w:tcW w:w="850" w:type="dxa"/>
          </w:tcPr>
          <w:p w14:paraId="23DF1AF1" w14:textId="54E40FE4"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330</w:t>
            </w:r>
          </w:p>
        </w:tc>
        <w:tc>
          <w:tcPr>
            <w:tcW w:w="851" w:type="dxa"/>
          </w:tcPr>
          <w:p w14:paraId="41194B45" w14:textId="112804AC"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-114</w:t>
            </w:r>
          </w:p>
        </w:tc>
        <w:tc>
          <w:tcPr>
            <w:tcW w:w="1134" w:type="dxa"/>
          </w:tcPr>
          <w:p w14:paraId="026966FE" w14:textId="373A336F"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-35%</w:t>
            </w:r>
          </w:p>
        </w:tc>
      </w:tr>
      <w:tr w:rsidR="0048671D" w14:paraId="24388E6B" w14:textId="77777777" w:rsidTr="00F5044E">
        <w:tc>
          <w:tcPr>
            <w:cnfStyle w:val="001000000000" w:firstRow="0" w:lastRow="0" w:firstColumn="1" w:lastColumn="0" w:oddVBand="0" w:evenVBand="0" w:oddHBand="0" w:evenHBand="0" w:firstRowFirstColumn="0" w:firstRowLastColumn="0" w:lastRowFirstColumn="0" w:lastRowLastColumn="0"/>
            <w:tcW w:w="1838" w:type="dxa"/>
          </w:tcPr>
          <w:p w14:paraId="632A9E92" w14:textId="767832C5" w:rsidR="0048671D" w:rsidRPr="00F5044E" w:rsidRDefault="0048671D" w:rsidP="005771C8">
            <w:pPr>
              <w:rPr>
                <w:b w:val="0"/>
                <w:bCs w:val="0"/>
                <w:sz w:val="18"/>
                <w:szCs w:val="18"/>
              </w:rPr>
            </w:pPr>
            <w:r w:rsidRPr="00F5044E">
              <w:rPr>
                <w:b w:val="0"/>
                <w:bCs w:val="0"/>
                <w:sz w:val="18"/>
                <w:szCs w:val="18"/>
              </w:rPr>
              <w:t>Governance</w:t>
            </w:r>
          </w:p>
        </w:tc>
        <w:tc>
          <w:tcPr>
            <w:tcW w:w="851" w:type="dxa"/>
          </w:tcPr>
          <w:p w14:paraId="751239AD" w14:textId="77777777"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p>
        </w:tc>
        <w:tc>
          <w:tcPr>
            <w:tcW w:w="850" w:type="dxa"/>
          </w:tcPr>
          <w:p w14:paraId="573B9E9A" w14:textId="58FFE62C"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94</w:t>
            </w:r>
          </w:p>
        </w:tc>
        <w:tc>
          <w:tcPr>
            <w:tcW w:w="851" w:type="dxa"/>
          </w:tcPr>
          <w:p w14:paraId="2540646C" w14:textId="30A9B76F"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-94</w:t>
            </w:r>
          </w:p>
        </w:tc>
        <w:tc>
          <w:tcPr>
            <w:tcW w:w="1134" w:type="dxa"/>
          </w:tcPr>
          <w:p w14:paraId="32593AFB" w14:textId="4D74ABB1"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-100%</w:t>
            </w:r>
          </w:p>
        </w:tc>
      </w:tr>
      <w:tr w:rsidR="0048671D" w14:paraId="4220B160" w14:textId="77777777" w:rsidTr="00F5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24AF795" w14:textId="662D64C9" w:rsidR="0048671D" w:rsidRPr="00F5044E" w:rsidRDefault="0048671D" w:rsidP="005771C8">
            <w:pPr>
              <w:rPr>
                <w:b w:val="0"/>
                <w:bCs w:val="0"/>
                <w:sz w:val="18"/>
                <w:szCs w:val="18"/>
              </w:rPr>
            </w:pPr>
            <w:r w:rsidRPr="00F5044E">
              <w:rPr>
                <w:b w:val="0"/>
                <w:bCs w:val="0"/>
                <w:sz w:val="18"/>
                <w:szCs w:val="18"/>
              </w:rPr>
              <w:t>Health</w:t>
            </w:r>
          </w:p>
        </w:tc>
        <w:tc>
          <w:tcPr>
            <w:tcW w:w="851" w:type="dxa"/>
          </w:tcPr>
          <w:p w14:paraId="6108CD65" w14:textId="21CEF875"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135,283</w:t>
            </w:r>
          </w:p>
        </w:tc>
        <w:tc>
          <w:tcPr>
            <w:tcW w:w="850" w:type="dxa"/>
          </w:tcPr>
          <w:p w14:paraId="29BC735C" w14:textId="7688DB0D"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118,387</w:t>
            </w:r>
          </w:p>
        </w:tc>
        <w:tc>
          <w:tcPr>
            <w:tcW w:w="851" w:type="dxa"/>
          </w:tcPr>
          <w:p w14:paraId="3DA257D4" w14:textId="3EBCB9E1"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16,896</w:t>
            </w:r>
          </w:p>
        </w:tc>
        <w:tc>
          <w:tcPr>
            <w:tcW w:w="1134" w:type="dxa"/>
          </w:tcPr>
          <w:p w14:paraId="18103DD4" w14:textId="3FEE063C"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14%</w:t>
            </w:r>
          </w:p>
        </w:tc>
      </w:tr>
      <w:tr w:rsidR="0048671D" w14:paraId="756D2ABC" w14:textId="77777777" w:rsidTr="00F5044E">
        <w:tc>
          <w:tcPr>
            <w:cnfStyle w:val="001000000000" w:firstRow="0" w:lastRow="0" w:firstColumn="1" w:lastColumn="0" w:oddVBand="0" w:evenVBand="0" w:oddHBand="0" w:evenHBand="0" w:firstRowFirstColumn="0" w:firstRowLastColumn="0" w:lastRowFirstColumn="0" w:lastRowLastColumn="0"/>
            <w:tcW w:w="1838" w:type="dxa"/>
          </w:tcPr>
          <w:p w14:paraId="5668070B" w14:textId="3C71309F" w:rsidR="0048671D" w:rsidRPr="00F5044E" w:rsidRDefault="0048671D" w:rsidP="005771C8">
            <w:pPr>
              <w:rPr>
                <w:b w:val="0"/>
                <w:bCs w:val="0"/>
                <w:sz w:val="18"/>
                <w:szCs w:val="18"/>
              </w:rPr>
            </w:pPr>
            <w:r w:rsidRPr="00F5044E">
              <w:rPr>
                <w:b w:val="0"/>
                <w:bCs w:val="0"/>
                <w:sz w:val="18"/>
                <w:szCs w:val="18"/>
              </w:rPr>
              <w:t>Justice</w:t>
            </w:r>
          </w:p>
        </w:tc>
        <w:tc>
          <w:tcPr>
            <w:tcW w:w="851" w:type="dxa"/>
          </w:tcPr>
          <w:p w14:paraId="6FE3244F" w14:textId="3DE974D3"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88</w:t>
            </w:r>
          </w:p>
        </w:tc>
        <w:tc>
          <w:tcPr>
            <w:tcW w:w="850" w:type="dxa"/>
          </w:tcPr>
          <w:p w14:paraId="77F4D971" w14:textId="77777777"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p>
        </w:tc>
        <w:tc>
          <w:tcPr>
            <w:tcW w:w="851" w:type="dxa"/>
          </w:tcPr>
          <w:p w14:paraId="0746AFBA" w14:textId="17DC15E1"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88</w:t>
            </w:r>
          </w:p>
        </w:tc>
        <w:tc>
          <w:tcPr>
            <w:tcW w:w="1134" w:type="dxa"/>
          </w:tcPr>
          <w:p w14:paraId="3DD026CC" w14:textId="57AC04DF"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NAN</w:t>
            </w:r>
          </w:p>
        </w:tc>
      </w:tr>
      <w:tr w:rsidR="0048671D" w14:paraId="54B7952E" w14:textId="77777777" w:rsidTr="00F5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6631CB7" w14:textId="3A7389BE" w:rsidR="0048671D" w:rsidRPr="00F5044E" w:rsidRDefault="00F5044E" w:rsidP="005771C8">
            <w:pPr>
              <w:rPr>
                <w:b w:val="0"/>
                <w:bCs w:val="0"/>
                <w:sz w:val="18"/>
                <w:szCs w:val="18"/>
              </w:rPr>
            </w:pPr>
            <w:r w:rsidRPr="00F5044E">
              <w:rPr>
                <w:b w:val="0"/>
                <w:bCs w:val="0"/>
                <w:sz w:val="18"/>
                <w:szCs w:val="18"/>
              </w:rPr>
              <w:t>Local Government</w:t>
            </w:r>
          </w:p>
        </w:tc>
        <w:tc>
          <w:tcPr>
            <w:tcW w:w="851" w:type="dxa"/>
          </w:tcPr>
          <w:p w14:paraId="63516D26" w14:textId="5CDF383B"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868</w:t>
            </w:r>
          </w:p>
        </w:tc>
        <w:tc>
          <w:tcPr>
            <w:tcW w:w="850" w:type="dxa"/>
          </w:tcPr>
          <w:p w14:paraId="45D52E62" w14:textId="1BC54B52"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782</w:t>
            </w:r>
          </w:p>
        </w:tc>
        <w:tc>
          <w:tcPr>
            <w:tcW w:w="851" w:type="dxa"/>
          </w:tcPr>
          <w:p w14:paraId="1E614ECE" w14:textId="18A8B8B5"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86</w:t>
            </w:r>
          </w:p>
        </w:tc>
        <w:tc>
          <w:tcPr>
            <w:tcW w:w="1134" w:type="dxa"/>
          </w:tcPr>
          <w:p w14:paraId="1618E937" w14:textId="37DF6A3D"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11%</w:t>
            </w:r>
          </w:p>
        </w:tc>
      </w:tr>
      <w:tr w:rsidR="0048671D" w14:paraId="0B54CF76" w14:textId="77777777" w:rsidTr="00F5044E">
        <w:tc>
          <w:tcPr>
            <w:cnfStyle w:val="001000000000" w:firstRow="0" w:lastRow="0" w:firstColumn="1" w:lastColumn="0" w:oddVBand="0" w:evenVBand="0" w:oddHBand="0" w:evenHBand="0" w:firstRowFirstColumn="0" w:firstRowLastColumn="0" w:lastRowFirstColumn="0" w:lastRowLastColumn="0"/>
            <w:tcW w:w="1838" w:type="dxa"/>
          </w:tcPr>
          <w:p w14:paraId="0F13DB6C" w14:textId="241229B0" w:rsidR="0048671D" w:rsidRPr="00F5044E" w:rsidRDefault="00F5044E" w:rsidP="005771C8">
            <w:pPr>
              <w:rPr>
                <w:b w:val="0"/>
                <w:bCs w:val="0"/>
                <w:sz w:val="18"/>
                <w:szCs w:val="18"/>
              </w:rPr>
            </w:pPr>
            <w:r w:rsidRPr="00F5044E">
              <w:rPr>
                <w:b w:val="0"/>
                <w:bCs w:val="0"/>
                <w:sz w:val="18"/>
                <w:szCs w:val="18"/>
              </w:rPr>
              <w:t>Manufacturing</w:t>
            </w:r>
          </w:p>
        </w:tc>
        <w:tc>
          <w:tcPr>
            <w:tcW w:w="851" w:type="dxa"/>
          </w:tcPr>
          <w:p w14:paraId="07D5662D" w14:textId="6DB514EA"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118,902</w:t>
            </w:r>
          </w:p>
        </w:tc>
        <w:tc>
          <w:tcPr>
            <w:tcW w:w="850" w:type="dxa"/>
          </w:tcPr>
          <w:p w14:paraId="20BD78B5" w14:textId="7E4B9231"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41,144</w:t>
            </w:r>
          </w:p>
        </w:tc>
        <w:tc>
          <w:tcPr>
            <w:tcW w:w="851" w:type="dxa"/>
          </w:tcPr>
          <w:p w14:paraId="1FCC7F9D" w14:textId="48C79DBF"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77,758</w:t>
            </w:r>
          </w:p>
        </w:tc>
        <w:tc>
          <w:tcPr>
            <w:tcW w:w="1134" w:type="dxa"/>
          </w:tcPr>
          <w:p w14:paraId="034864EF" w14:textId="050D5A09"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189%</w:t>
            </w:r>
          </w:p>
        </w:tc>
      </w:tr>
      <w:tr w:rsidR="0048671D" w14:paraId="47C21CDC" w14:textId="77777777" w:rsidTr="00F5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F2DED29" w14:textId="768BC54A" w:rsidR="0048671D" w:rsidRPr="00F5044E" w:rsidRDefault="00F5044E" w:rsidP="005771C8">
            <w:pPr>
              <w:rPr>
                <w:b w:val="0"/>
                <w:bCs w:val="0"/>
                <w:sz w:val="18"/>
                <w:szCs w:val="18"/>
              </w:rPr>
            </w:pPr>
            <w:r w:rsidRPr="00F5044E">
              <w:rPr>
                <w:b w:val="0"/>
                <w:bCs w:val="0"/>
                <w:sz w:val="18"/>
                <w:szCs w:val="18"/>
              </w:rPr>
              <w:t>Migration</w:t>
            </w:r>
          </w:p>
        </w:tc>
        <w:tc>
          <w:tcPr>
            <w:tcW w:w="851" w:type="dxa"/>
          </w:tcPr>
          <w:p w14:paraId="0FEFFB0A" w14:textId="45BC81EA"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59</w:t>
            </w:r>
          </w:p>
        </w:tc>
        <w:tc>
          <w:tcPr>
            <w:tcW w:w="850" w:type="dxa"/>
          </w:tcPr>
          <w:p w14:paraId="047E6A81" w14:textId="77777777"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p>
        </w:tc>
        <w:tc>
          <w:tcPr>
            <w:tcW w:w="851" w:type="dxa"/>
          </w:tcPr>
          <w:p w14:paraId="00C88F5D" w14:textId="42D7A9C8"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59</w:t>
            </w:r>
          </w:p>
        </w:tc>
        <w:tc>
          <w:tcPr>
            <w:tcW w:w="1134" w:type="dxa"/>
          </w:tcPr>
          <w:p w14:paraId="2930949D" w14:textId="3D99EE3E"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NAN</w:t>
            </w:r>
          </w:p>
        </w:tc>
      </w:tr>
      <w:tr w:rsidR="0048671D" w14:paraId="26173B2F" w14:textId="77777777" w:rsidTr="00F5044E">
        <w:tc>
          <w:tcPr>
            <w:cnfStyle w:val="001000000000" w:firstRow="0" w:lastRow="0" w:firstColumn="1" w:lastColumn="0" w:oddVBand="0" w:evenVBand="0" w:oddHBand="0" w:evenHBand="0" w:firstRowFirstColumn="0" w:firstRowLastColumn="0" w:lastRowFirstColumn="0" w:lastRowLastColumn="0"/>
            <w:tcW w:w="1838" w:type="dxa"/>
          </w:tcPr>
          <w:p w14:paraId="79BF6D83" w14:textId="3A7CEC69" w:rsidR="0048671D" w:rsidRPr="00F5044E" w:rsidRDefault="00F5044E" w:rsidP="005771C8">
            <w:pPr>
              <w:rPr>
                <w:b w:val="0"/>
                <w:bCs w:val="0"/>
                <w:sz w:val="18"/>
                <w:szCs w:val="18"/>
              </w:rPr>
            </w:pPr>
            <w:r w:rsidRPr="00F5044E">
              <w:rPr>
                <w:b w:val="0"/>
                <w:bCs w:val="0"/>
                <w:sz w:val="18"/>
                <w:szCs w:val="18"/>
              </w:rPr>
              <w:t>Mineral</w:t>
            </w:r>
          </w:p>
        </w:tc>
        <w:tc>
          <w:tcPr>
            <w:tcW w:w="851" w:type="dxa"/>
          </w:tcPr>
          <w:p w14:paraId="3FD9370C" w14:textId="3A924A09"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26,736</w:t>
            </w:r>
          </w:p>
        </w:tc>
        <w:tc>
          <w:tcPr>
            <w:tcW w:w="850" w:type="dxa"/>
          </w:tcPr>
          <w:p w14:paraId="0B2195F6" w14:textId="74A55976"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20,888</w:t>
            </w:r>
          </w:p>
        </w:tc>
        <w:tc>
          <w:tcPr>
            <w:tcW w:w="851" w:type="dxa"/>
          </w:tcPr>
          <w:p w14:paraId="2282C69A" w14:textId="3A6F7C73"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5,848</w:t>
            </w:r>
          </w:p>
        </w:tc>
        <w:tc>
          <w:tcPr>
            <w:tcW w:w="1134" w:type="dxa"/>
          </w:tcPr>
          <w:p w14:paraId="0E09B952" w14:textId="5755DDCB"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28%</w:t>
            </w:r>
          </w:p>
        </w:tc>
      </w:tr>
      <w:tr w:rsidR="0048671D" w14:paraId="785B1223" w14:textId="77777777" w:rsidTr="00F5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103AA87" w14:textId="709C91C8" w:rsidR="0048671D" w:rsidRPr="00F5044E" w:rsidRDefault="00F5044E" w:rsidP="005771C8">
            <w:pPr>
              <w:rPr>
                <w:b w:val="0"/>
                <w:bCs w:val="0"/>
                <w:sz w:val="18"/>
                <w:szCs w:val="18"/>
              </w:rPr>
            </w:pPr>
            <w:r w:rsidRPr="00F5044E">
              <w:rPr>
                <w:b w:val="0"/>
                <w:bCs w:val="0"/>
                <w:sz w:val="18"/>
                <w:szCs w:val="18"/>
              </w:rPr>
              <w:t>NCRA</w:t>
            </w:r>
          </w:p>
        </w:tc>
        <w:tc>
          <w:tcPr>
            <w:tcW w:w="851" w:type="dxa"/>
          </w:tcPr>
          <w:p w14:paraId="14B1F0A9" w14:textId="43A4DBD9"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2,236</w:t>
            </w:r>
          </w:p>
        </w:tc>
        <w:tc>
          <w:tcPr>
            <w:tcW w:w="850" w:type="dxa"/>
          </w:tcPr>
          <w:p w14:paraId="096A414A" w14:textId="77777777"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p>
        </w:tc>
        <w:tc>
          <w:tcPr>
            <w:tcW w:w="851" w:type="dxa"/>
          </w:tcPr>
          <w:p w14:paraId="4C5768B5" w14:textId="3C95494F"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2,236</w:t>
            </w:r>
          </w:p>
        </w:tc>
        <w:tc>
          <w:tcPr>
            <w:tcW w:w="1134" w:type="dxa"/>
          </w:tcPr>
          <w:p w14:paraId="5058C3C4" w14:textId="6E18ADCF"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NAN</w:t>
            </w:r>
          </w:p>
        </w:tc>
      </w:tr>
      <w:tr w:rsidR="0048671D" w14:paraId="3D3B5D23" w14:textId="77777777" w:rsidTr="00F5044E">
        <w:tc>
          <w:tcPr>
            <w:cnfStyle w:val="001000000000" w:firstRow="0" w:lastRow="0" w:firstColumn="1" w:lastColumn="0" w:oddVBand="0" w:evenVBand="0" w:oddHBand="0" w:evenHBand="0" w:firstRowFirstColumn="0" w:firstRowLastColumn="0" w:lastRowFirstColumn="0" w:lastRowLastColumn="0"/>
            <w:tcW w:w="1838" w:type="dxa"/>
          </w:tcPr>
          <w:p w14:paraId="70CC3444" w14:textId="710B83D5" w:rsidR="0048671D" w:rsidRPr="00F5044E" w:rsidRDefault="00F5044E" w:rsidP="005771C8">
            <w:pPr>
              <w:rPr>
                <w:b w:val="0"/>
                <w:bCs w:val="0"/>
                <w:sz w:val="18"/>
                <w:szCs w:val="18"/>
              </w:rPr>
            </w:pPr>
            <w:r w:rsidRPr="00F5044E">
              <w:rPr>
                <w:b w:val="0"/>
                <w:bCs w:val="0"/>
                <w:sz w:val="18"/>
                <w:szCs w:val="18"/>
              </w:rPr>
              <w:t>Office of the President</w:t>
            </w:r>
          </w:p>
        </w:tc>
        <w:tc>
          <w:tcPr>
            <w:tcW w:w="851" w:type="dxa"/>
          </w:tcPr>
          <w:p w14:paraId="64FDF6DB" w14:textId="587FFB35"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2,464</w:t>
            </w:r>
          </w:p>
        </w:tc>
        <w:tc>
          <w:tcPr>
            <w:tcW w:w="850" w:type="dxa"/>
          </w:tcPr>
          <w:p w14:paraId="7DF42DCF" w14:textId="0F0F13B3"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249</w:t>
            </w:r>
          </w:p>
        </w:tc>
        <w:tc>
          <w:tcPr>
            <w:tcW w:w="851" w:type="dxa"/>
          </w:tcPr>
          <w:p w14:paraId="1B8E60E0" w14:textId="1128DD14"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2,215</w:t>
            </w:r>
          </w:p>
        </w:tc>
        <w:tc>
          <w:tcPr>
            <w:tcW w:w="1134" w:type="dxa"/>
          </w:tcPr>
          <w:p w14:paraId="402742D3" w14:textId="27DE5A55"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890%</w:t>
            </w:r>
          </w:p>
        </w:tc>
      </w:tr>
      <w:tr w:rsidR="0048671D" w14:paraId="18619668" w14:textId="77777777" w:rsidTr="00F5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FA19A93" w14:textId="4F16B722" w:rsidR="0048671D" w:rsidRPr="00F5044E" w:rsidRDefault="00F5044E" w:rsidP="005771C8">
            <w:pPr>
              <w:rPr>
                <w:b w:val="0"/>
                <w:bCs w:val="0"/>
                <w:sz w:val="18"/>
                <w:szCs w:val="18"/>
              </w:rPr>
            </w:pPr>
            <w:r w:rsidRPr="00F5044E">
              <w:rPr>
                <w:b w:val="0"/>
                <w:bCs w:val="0"/>
                <w:sz w:val="18"/>
                <w:szCs w:val="18"/>
              </w:rPr>
              <w:t>Oil</w:t>
            </w:r>
          </w:p>
        </w:tc>
        <w:tc>
          <w:tcPr>
            <w:tcW w:w="851" w:type="dxa"/>
          </w:tcPr>
          <w:p w14:paraId="35B3DEA2" w14:textId="4163DBC7"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636</w:t>
            </w:r>
          </w:p>
        </w:tc>
        <w:tc>
          <w:tcPr>
            <w:tcW w:w="850" w:type="dxa"/>
          </w:tcPr>
          <w:p w14:paraId="5070AF89" w14:textId="66E2EEF1"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5,720</w:t>
            </w:r>
          </w:p>
        </w:tc>
        <w:tc>
          <w:tcPr>
            <w:tcW w:w="851" w:type="dxa"/>
          </w:tcPr>
          <w:p w14:paraId="0E0B0DF0" w14:textId="11D6D513"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-5,084</w:t>
            </w:r>
          </w:p>
        </w:tc>
        <w:tc>
          <w:tcPr>
            <w:tcW w:w="1134" w:type="dxa"/>
          </w:tcPr>
          <w:p w14:paraId="59226AA1" w14:textId="09FBD83B"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-89%</w:t>
            </w:r>
          </w:p>
        </w:tc>
      </w:tr>
      <w:tr w:rsidR="0048671D" w14:paraId="1D81F268" w14:textId="77777777" w:rsidTr="00F5044E">
        <w:tc>
          <w:tcPr>
            <w:cnfStyle w:val="001000000000" w:firstRow="0" w:lastRow="0" w:firstColumn="1" w:lastColumn="0" w:oddVBand="0" w:evenVBand="0" w:oddHBand="0" w:evenHBand="0" w:firstRowFirstColumn="0" w:firstRowLastColumn="0" w:lastRowFirstColumn="0" w:lastRowLastColumn="0"/>
            <w:tcW w:w="1838" w:type="dxa"/>
          </w:tcPr>
          <w:p w14:paraId="72D3C72E" w14:textId="105661E1" w:rsidR="0048671D" w:rsidRPr="00F5044E" w:rsidRDefault="00F5044E" w:rsidP="005771C8">
            <w:pPr>
              <w:rPr>
                <w:b w:val="0"/>
                <w:bCs w:val="0"/>
                <w:sz w:val="18"/>
                <w:szCs w:val="18"/>
              </w:rPr>
            </w:pPr>
            <w:r w:rsidRPr="00F5044E">
              <w:rPr>
                <w:b w:val="0"/>
                <w:bCs w:val="0"/>
                <w:sz w:val="18"/>
                <w:szCs w:val="18"/>
              </w:rPr>
              <w:t>Parliament</w:t>
            </w:r>
          </w:p>
        </w:tc>
        <w:tc>
          <w:tcPr>
            <w:tcW w:w="851" w:type="dxa"/>
          </w:tcPr>
          <w:p w14:paraId="418D20C7" w14:textId="475FABDD"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563</w:t>
            </w:r>
          </w:p>
        </w:tc>
        <w:tc>
          <w:tcPr>
            <w:tcW w:w="850" w:type="dxa"/>
          </w:tcPr>
          <w:p w14:paraId="5E2F4FE0" w14:textId="235ADBF2"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231</w:t>
            </w:r>
          </w:p>
        </w:tc>
        <w:tc>
          <w:tcPr>
            <w:tcW w:w="851" w:type="dxa"/>
          </w:tcPr>
          <w:p w14:paraId="58183F8E" w14:textId="377AA31C"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332</w:t>
            </w:r>
          </w:p>
        </w:tc>
        <w:tc>
          <w:tcPr>
            <w:tcW w:w="1134" w:type="dxa"/>
          </w:tcPr>
          <w:p w14:paraId="354B1C1A" w14:textId="21AF610A"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144%</w:t>
            </w:r>
          </w:p>
        </w:tc>
      </w:tr>
      <w:tr w:rsidR="0048671D" w14:paraId="324EA10D" w14:textId="77777777" w:rsidTr="00F5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D3D34E8" w14:textId="296D2466" w:rsidR="0048671D" w:rsidRPr="00F5044E" w:rsidRDefault="00F5044E" w:rsidP="005771C8">
            <w:pPr>
              <w:rPr>
                <w:b w:val="0"/>
                <w:bCs w:val="0"/>
                <w:sz w:val="18"/>
                <w:szCs w:val="18"/>
              </w:rPr>
            </w:pPr>
            <w:r w:rsidRPr="00F5044E">
              <w:rPr>
                <w:b w:val="0"/>
                <w:bCs w:val="0"/>
                <w:sz w:val="18"/>
                <w:szCs w:val="18"/>
              </w:rPr>
              <w:t>Privatisation</w:t>
            </w:r>
          </w:p>
        </w:tc>
        <w:tc>
          <w:tcPr>
            <w:tcW w:w="851" w:type="dxa"/>
          </w:tcPr>
          <w:p w14:paraId="502379CD" w14:textId="1590D9B2"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37</w:t>
            </w:r>
          </w:p>
        </w:tc>
        <w:tc>
          <w:tcPr>
            <w:tcW w:w="850" w:type="dxa"/>
          </w:tcPr>
          <w:p w14:paraId="7C049F49" w14:textId="70FC4CAA"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0</w:t>
            </w:r>
          </w:p>
        </w:tc>
        <w:tc>
          <w:tcPr>
            <w:tcW w:w="851" w:type="dxa"/>
          </w:tcPr>
          <w:p w14:paraId="585FB059" w14:textId="5B4FBBCE"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37</w:t>
            </w:r>
          </w:p>
        </w:tc>
        <w:tc>
          <w:tcPr>
            <w:tcW w:w="1134" w:type="dxa"/>
          </w:tcPr>
          <w:p w14:paraId="69FD37B2" w14:textId="3DC5A7F5"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NAN</w:t>
            </w:r>
          </w:p>
        </w:tc>
      </w:tr>
      <w:tr w:rsidR="0048671D" w14:paraId="5BDB7EDE" w14:textId="77777777" w:rsidTr="00F5044E">
        <w:tc>
          <w:tcPr>
            <w:cnfStyle w:val="001000000000" w:firstRow="0" w:lastRow="0" w:firstColumn="1" w:lastColumn="0" w:oddVBand="0" w:evenVBand="0" w:oddHBand="0" w:evenHBand="0" w:firstRowFirstColumn="0" w:firstRowLastColumn="0" w:lastRowFirstColumn="0" w:lastRowLastColumn="0"/>
            <w:tcW w:w="1838" w:type="dxa"/>
          </w:tcPr>
          <w:p w14:paraId="0D852D18" w14:textId="42D2626A" w:rsidR="0048671D" w:rsidRPr="00F5044E" w:rsidRDefault="00F5044E" w:rsidP="005771C8">
            <w:pPr>
              <w:rPr>
                <w:b w:val="0"/>
                <w:bCs w:val="0"/>
                <w:sz w:val="18"/>
                <w:szCs w:val="18"/>
              </w:rPr>
            </w:pPr>
            <w:r w:rsidRPr="00F5044E">
              <w:rPr>
                <w:b w:val="0"/>
                <w:bCs w:val="0"/>
                <w:sz w:val="18"/>
                <w:szCs w:val="18"/>
              </w:rPr>
              <w:t>Security</w:t>
            </w:r>
          </w:p>
        </w:tc>
        <w:tc>
          <w:tcPr>
            <w:tcW w:w="851" w:type="dxa"/>
          </w:tcPr>
          <w:p w14:paraId="491F9C21" w14:textId="63EC4E19"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1,290</w:t>
            </w:r>
          </w:p>
        </w:tc>
        <w:tc>
          <w:tcPr>
            <w:tcW w:w="850" w:type="dxa"/>
          </w:tcPr>
          <w:p w14:paraId="5CB5707C" w14:textId="43E87A3F"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2,636</w:t>
            </w:r>
          </w:p>
        </w:tc>
        <w:tc>
          <w:tcPr>
            <w:tcW w:w="851" w:type="dxa"/>
          </w:tcPr>
          <w:p w14:paraId="37A91E5D" w14:textId="283DBBE3"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-1,346</w:t>
            </w:r>
          </w:p>
        </w:tc>
        <w:tc>
          <w:tcPr>
            <w:tcW w:w="1134" w:type="dxa"/>
          </w:tcPr>
          <w:p w14:paraId="6DFE9D0A" w14:textId="49F4BCA6"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-51%</w:t>
            </w:r>
          </w:p>
        </w:tc>
      </w:tr>
      <w:tr w:rsidR="0048671D" w14:paraId="30D7709A" w14:textId="77777777" w:rsidTr="00F5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E9EFC9E" w14:textId="38EB390C" w:rsidR="0048671D" w:rsidRPr="00F5044E" w:rsidRDefault="00F5044E" w:rsidP="005771C8">
            <w:pPr>
              <w:rPr>
                <w:b w:val="0"/>
                <w:bCs w:val="0"/>
                <w:sz w:val="18"/>
                <w:szCs w:val="18"/>
              </w:rPr>
            </w:pPr>
            <w:r w:rsidRPr="00F5044E">
              <w:rPr>
                <w:b w:val="0"/>
                <w:bCs w:val="0"/>
                <w:sz w:val="18"/>
                <w:szCs w:val="18"/>
              </w:rPr>
              <w:t>Social Welfare</w:t>
            </w:r>
          </w:p>
        </w:tc>
        <w:tc>
          <w:tcPr>
            <w:tcW w:w="851" w:type="dxa"/>
          </w:tcPr>
          <w:p w14:paraId="044DF771" w14:textId="7214BDD1"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48,037</w:t>
            </w:r>
          </w:p>
        </w:tc>
        <w:tc>
          <w:tcPr>
            <w:tcW w:w="850" w:type="dxa"/>
          </w:tcPr>
          <w:p w14:paraId="3E1A6CD0" w14:textId="7E952620"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11,388</w:t>
            </w:r>
          </w:p>
        </w:tc>
        <w:tc>
          <w:tcPr>
            <w:tcW w:w="851" w:type="dxa"/>
          </w:tcPr>
          <w:p w14:paraId="16CD3B56" w14:textId="18C6778C"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36,649</w:t>
            </w:r>
          </w:p>
        </w:tc>
        <w:tc>
          <w:tcPr>
            <w:tcW w:w="1134" w:type="dxa"/>
          </w:tcPr>
          <w:p w14:paraId="5A6A0890" w14:textId="19CB6411"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322%</w:t>
            </w:r>
          </w:p>
        </w:tc>
      </w:tr>
      <w:tr w:rsidR="0048671D" w14:paraId="74BA1893" w14:textId="77777777" w:rsidTr="00F5044E">
        <w:tc>
          <w:tcPr>
            <w:cnfStyle w:val="001000000000" w:firstRow="0" w:lastRow="0" w:firstColumn="1" w:lastColumn="0" w:oddVBand="0" w:evenVBand="0" w:oddHBand="0" w:evenHBand="0" w:firstRowFirstColumn="0" w:firstRowLastColumn="0" w:lastRowFirstColumn="0" w:lastRowLastColumn="0"/>
            <w:tcW w:w="1838" w:type="dxa"/>
          </w:tcPr>
          <w:p w14:paraId="54079A30" w14:textId="2641A3EF" w:rsidR="0048671D" w:rsidRPr="00F5044E" w:rsidRDefault="00F5044E" w:rsidP="005771C8">
            <w:pPr>
              <w:rPr>
                <w:b w:val="0"/>
                <w:bCs w:val="0"/>
                <w:sz w:val="18"/>
                <w:szCs w:val="18"/>
              </w:rPr>
            </w:pPr>
            <w:r w:rsidRPr="00F5044E">
              <w:rPr>
                <w:b w:val="0"/>
                <w:bCs w:val="0"/>
                <w:sz w:val="18"/>
                <w:szCs w:val="18"/>
              </w:rPr>
              <w:t>Sports</w:t>
            </w:r>
          </w:p>
        </w:tc>
        <w:tc>
          <w:tcPr>
            <w:tcW w:w="851" w:type="dxa"/>
          </w:tcPr>
          <w:p w14:paraId="42B2FFE6" w14:textId="6AFFC5FA"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13,355</w:t>
            </w:r>
          </w:p>
        </w:tc>
        <w:tc>
          <w:tcPr>
            <w:tcW w:w="850" w:type="dxa"/>
          </w:tcPr>
          <w:p w14:paraId="680FF9F0" w14:textId="69F32F8E"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1,236</w:t>
            </w:r>
          </w:p>
        </w:tc>
        <w:tc>
          <w:tcPr>
            <w:tcW w:w="851" w:type="dxa"/>
          </w:tcPr>
          <w:p w14:paraId="47F44ECB" w14:textId="23A4B42C"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12,199</w:t>
            </w:r>
          </w:p>
        </w:tc>
        <w:tc>
          <w:tcPr>
            <w:tcW w:w="1134" w:type="dxa"/>
          </w:tcPr>
          <w:p w14:paraId="027F9D16" w14:textId="24BED517"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981%</w:t>
            </w:r>
          </w:p>
        </w:tc>
      </w:tr>
      <w:tr w:rsidR="0048671D" w14:paraId="10870375" w14:textId="77777777" w:rsidTr="00F5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24DB977" w14:textId="04075577" w:rsidR="0048671D" w:rsidRPr="00F5044E" w:rsidRDefault="00F5044E" w:rsidP="005771C8">
            <w:pPr>
              <w:rPr>
                <w:b w:val="0"/>
                <w:bCs w:val="0"/>
                <w:sz w:val="18"/>
                <w:szCs w:val="18"/>
              </w:rPr>
            </w:pPr>
            <w:r w:rsidRPr="00F5044E">
              <w:rPr>
                <w:b w:val="0"/>
                <w:bCs w:val="0"/>
                <w:sz w:val="18"/>
                <w:szCs w:val="18"/>
              </w:rPr>
              <w:t>Statistics</w:t>
            </w:r>
          </w:p>
        </w:tc>
        <w:tc>
          <w:tcPr>
            <w:tcW w:w="851" w:type="dxa"/>
          </w:tcPr>
          <w:p w14:paraId="1AD0D097" w14:textId="77777777" w:rsidR="0048671D" w:rsidRPr="00F5044E" w:rsidRDefault="0048671D" w:rsidP="005771C8">
            <w:pPr>
              <w:cnfStyle w:val="000000100000" w:firstRow="0" w:lastRow="0" w:firstColumn="0" w:lastColumn="0" w:oddVBand="0" w:evenVBand="0" w:oddHBand="1" w:evenHBand="0" w:firstRowFirstColumn="0" w:firstRowLastColumn="0" w:lastRowFirstColumn="0" w:lastRowLastColumn="0"/>
              <w:rPr>
                <w:sz w:val="18"/>
                <w:szCs w:val="18"/>
              </w:rPr>
            </w:pPr>
          </w:p>
        </w:tc>
        <w:tc>
          <w:tcPr>
            <w:tcW w:w="850" w:type="dxa"/>
          </w:tcPr>
          <w:p w14:paraId="57DEF9D6" w14:textId="7A3D3874"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53</w:t>
            </w:r>
          </w:p>
        </w:tc>
        <w:tc>
          <w:tcPr>
            <w:tcW w:w="851" w:type="dxa"/>
          </w:tcPr>
          <w:p w14:paraId="20235D70" w14:textId="23D36F98"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-53</w:t>
            </w:r>
          </w:p>
        </w:tc>
        <w:tc>
          <w:tcPr>
            <w:tcW w:w="1134" w:type="dxa"/>
          </w:tcPr>
          <w:p w14:paraId="07C44B3C" w14:textId="5F95215F" w:rsidR="0048671D"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-100%</w:t>
            </w:r>
          </w:p>
        </w:tc>
      </w:tr>
      <w:tr w:rsidR="0048671D" w14:paraId="1D5786A0" w14:textId="77777777" w:rsidTr="00F5044E">
        <w:tc>
          <w:tcPr>
            <w:cnfStyle w:val="001000000000" w:firstRow="0" w:lastRow="0" w:firstColumn="1" w:lastColumn="0" w:oddVBand="0" w:evenVBand="0" w:oddHBand="0" w:evenHBand="0" w:firstRowFirstColumn="0" w:firstRowLastColumn="0" w:lastRowFirstColumn="0" w:lastRowLastColumn="0"/>
            <w:tcW w:w="1838" w:type="dxa"/>
          </w:tcPr>
          <w:p w14:paraId="269C5DFF" w14:textId="3FD50A2E" w:rsidR="0048671D" w:rsidRPr="00F5044E" w:rsidRDefault="00F5044E" w:rsidP="005771C8">
            <w:pPr>
              <w:rPr>
                <w:b w:val="0"/>
                <w:bCs w:val="0"/>
                <w:sz w:val="18"/>
                <w:szCs w:val="18"/>
              </w:rPr>
            </w:pPr>
            <w:r w:rsidRPr="00F5044E">
              <w:rPr>
                <w:b w:val="0"/>
                <w:bCs w:val="0"/>
                <w:sz w:val="18"/>
                <w:szCs w:val="18"/>
              </w:rPr>
              <w:t>Tourism</w:t>
            </w:r>
          </w:p>
        </w:tc>
        <w:tc>
          <w:tcPr>
            <w:tcW w:w="851" w:type="dxa"/>
          </w:tcPr>
          <w:p w14:paraId="57CEC5D8" w14:textId="77777777" w:rsidR="0048671D" w:rsidRPr="00F5044E" w:rsidRDefault="0048671D" w:rsidP="005771C8">
            <w:pPr>
              <w:cnfStyle w:val="000000000000" w:firstRow="0" w:lastRow="0" w:firstColumn="0" w:lastColumn="0" w:oddVBand="0" w:evenVBand="0" w:oddHBand="0" w:evenHBand="0" w:firstRowFirstColumn="0" w:firstRowLastColumn="0" w:lastRowFirstColumn="0" w:lastRowLastColumn="0"/>
              <w:rPr>
                <w:sz w:val="18"/>
                <w:szCs w:val="18"/>
              </w:rPr>
            </w:pPr>
          </w:p>
        </w:tc>
        <w:tc>
          <w:tcPr>
            <w:tcW w:w="850" w:type="dxa"/>
          </w:tcPr>
          <w:p w14:paraId="3288D0E0" w14:textId="27D54772"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2,916</w:t>
            </w:r>
          </w:p>
        </w:tc>
        <w:tc>
          <w:tcPr>
            <w:tcW w:w="851" w:type="dxa"/>
          </w:tcPr>
          <w:p w14:paraId="45C2004F" w14:textId="4F7FFC10"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-2,916</w:t>
            </w:r>
          </w:p>
        </w:tc>
        <w:tc>
          <w:tcPr>
            <w:tcW w:w="1134" w:type="dxa"/>
          </w:tcPr>
          <w:p w14:paraId="3E92B5DC" w14:textId="5F3A0288" w:rsidR="0048671D"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-100%</w:t>
            </w:r>
          </w:p>
        </w:tc>
      </w:tr>
      <w:tr w:rsidR="00F5044E" w14:paraId="1F6C8A33" w14:textId="77777777" w:rsidTr="00F5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B07974" w14:textId="25200582" w:rsidR="00F5044E" w:rsidRPr="00F5044E" w:rsidRDefault="00F5044E" w:rsidP="005771C8">
            <w:pPr>
              <w:rPr>
                <w:b w:val="0"/>
                <w:bCs w:val="0"/>
                <w:sz w:val="18"/>
                <w:szCs w:val="18"/>
              </w:rPr>
            </w:pPr>
            <w:r w:rsidRPr="00F5044E">
              <w:rPr>
                <w:b w:val="0"/>
                <w:bCs w:val="0"/>
                <w:sz w:val="18"/>
                <w:szCs w:val="18"/>
              </w:rPr>
              <w:t>Trades</w:t>
            </w:r>
          </w:p>
        </w:tc>
        <w:tc>
          <w:tcPr>
            <w:tcW w:w="851" w:type="dxa"/>
          </w:tcPr>
          <w:p w14:paraId="41303494" w14:textId="2AAE61F6" w:rsidR="00F5044E"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4,137</w:t>
            </w:r>
          </w:p>
        </w:tc>
        <w:tc>
          <w:tcPr>
            <w:tcW w:w="850" w:type="dxa"/>
          </w:tcPr>
          <w:p w14:paraId="715DD8A5" w14:textId="6B1C2E4F" w:rsidR="00F5044E"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6,874</w:t>
            </w:r>
          </w:p>
        </w:tc>
        <w:tc>
          <w:tcPr>
            <w:tcW w:w="851" w:type="dxa"/>
          </w:tcPr>
          <w:p w14:paraId="384D2BB3" w14:textId="04329CB6" w:rsidR="00F5044E"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-2,737</w:t>
            </w:r>
          </w:p>
        </w:tc>
        <w:tc>
          <w:tcPr>
            <w:tcW w:w="1134" w:type="dxa"/>
          </w:tcPr>
          <w:p w14:paraId="03925250" w14:textId="6ABE0A4C" w:rsidR="00F5044E"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-40%</w:t>
            </w:r>
          </w:p>
        </w:tc>
      </w:tr>
      <w:tr w:rsidR="00F5044E" w14:paraId="53BC1ACF" w14:textId="77777777" w:rsidTr="00F5044E">
        <w:tc>
          <w:tcPr>
            <w:cnfStyle w:val="001000000000" w:firstRow="0" w:lastRow="0" w:firstColumn="1" w:lastColumn="0" w:oddVBand="0" w:evenVBand="0" w:oddHBand="0" w:evenHBand="0" w:firstRowFirstColumn="0" w:firstRowLastColumn="0" w:lastRowFirstColumn="0" w:lastRowLastColumn="0"/>
            <w:tcW w:w="1838" w:type="dxa"/>
          </w:tcPr>
          <w:p w14:paraId="7E9E0000" w14:textId="156DFB8B" w:rsidR="00F5044E" w:rsidRPr="00F5044E" w:rsidRDefault="00F5044E" w:rsidP="005771C8">
            <w:pPr>
              <w:rPr>
                <w:b w:val="0"/>
                <w:bCs w:val="0"/>
                <w:sz w:val="18"/>
                <w:szCs w:val="18"/>
              </w:rPr>
            </w:pPr>
            <w:r w:rsidRPr="00F5044E">
              <w:rPr>
                <w:b w:val="0"/>
                <w:bCs w:val="0"/>
                <w:sz w:val="18"/>
                <w:szCs w:val="18"/>
              </w:rPr>
              <w:t>Transport</w:t>
            </w:r>
          </w:p>
        </w:tc>
        <w:tc>
          <w:tcPr>
            <w:tcW w:w="851" w:type="dxa"/>
          </w:tcPr>
          <w:p w14:paraId="0E72FDA8" w14:textId="08A4E422" w:rsidR="00F5044E"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26,525</w:t>
            </w:r>
          </w:p>
        </w:tc>
        <w:tc>
          <w:tcPr>
            <w:tcW w:w="850" w:type="dxa"/>
          </w:tcPr>
          <w:p w14:paraId="6C79E108" w14:textId="4AE6D17B" w:rsidR="00F5044E"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8,624</w:t>
            </w:r>
          </w:p>
        </w:tc>
        <w:tc>
          <w:tcPr>
            <w:tcW w:w="851" w:type="dxa"/>
          </w:tcPr>
          <w:p w14:paraId="1ABAE94B" w14:textId="37C2F574" w:rsidR="00F5044E"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17,901</w:t>
            </w:r>
          </w:p>
        </w:tc>
        <w:tc>
          <w:tcPr>
            <w:tcW w:w="1134" w:type="dxa"/>
          </w:tcPr>
          <w:p w14:paraId="0F949F9E" w14:textId="23C282EC" w:rsidR="00F5044E"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208%</w:t>
            </w:r>
          </w:p>
        </w:tc>
      </w:tr>
      <w:tr w:rsidR="00F5044E" w14:paraId="29A8A366" w14:textId="77777777" w:rsidTr="00F5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B330045" w14:textId="5B927D7F" w:rsidR="00F5044E" w:rsidRPr="00F5044E" w:rsidRDefault="00F5044E" w:rsidP="005771C8">
            <w:pPr>
              <w:rPr>
                <w:b w:val="0"/>
                <w:bCs w:val="0"/>
                <w:sz w:val="18"/>
                <w:szCs w:val="18"/>
              </w:rPr>
            </w:pPr>
            <w:r w:rsidRPr="00F5044E">
              <w:rPr>
                <w:b w:val="0"/>
                <w:bCs w:val="0"/>
                <w:sz w:val="18"/>
                <w:szCs w:val="18"/>
              </w:rPr>
              <w:t>Water Resources</w:t>
            </w:r>
          </w:p>
        </w:tc>
        <w:tc>
          <w:tcPr>
            <w:tcW w:w="851" w:type="dxa"/>
          </w:tcPr>
          <w:p w14:paraId="0E9E1D0E" w14:textId="2DA6E96F" w:rsidR="00F5044E"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7,143</w:t>
            </w:r>
          </w:p>
        </w:tc>
        <w:tc>
          <w:tcPr>
            <w:tcW w:w="850" w:type="dxa"/>
          </w:tcPr>
          <w:p w14:paraId="62CD4839" w14:textId="042E7848" w:rsidR="00F5044E"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1,561</w:t>
            </w:r>
          </w:p>
        </w:tc>
        <w:tc>
          <w:tcPr>
            <w:tcW w:w="851" w:type="dxa"/>
          </w:tcPr>
          <w:p w14:paraId="78589E00" w14:textId="7C9C34B1" w:rsidR="00F5044E"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5,582</w:t>
            </w:r>
          </w:p>
        </w:tc>
        <w:tc>
          <w:tcPr>
            <w:tcW w:w="1134" w:type="dxa"/>
          </w:tcPr>
          <w:p w14:paraId="7AB26A65" w14:textId="069315A2" w:rsidR="00F5044E" w:rsidRPr="00F5044E" w:rsidRDefault="00F5044E" w:rsidP="005771C8">
            <w:pPr>
              <w:cnfStyle w:val="000000100000" w:firstRow="0" w:lastRow="0" w:firstColumn="0" w:lastColumn="0" w:oddVBand="0" w:evenVBand="0" w:oddHBand="1" w:evenHBand="0" w:firstRowFirstColumn="0" w:firstRowLastColumn="0" w:lastRowFirstColumn="0" w:lastRowLastColumn="0"/>
              <w:rPr>
                <w:sz w:val="18"/>
                <w:szCs w:val="18"/>
              </w:rPr>
            </w:pPr>
            <w:r w:rsidRPr="00F5044E">
              <w:rPr>
                <w:sz w:val="18"/>
                <w:szCs w:val="18"/>
              </w:rPr>
              <w:t>358%</w:t>
            </w:r>
          </w:p>
        </w:tc>
      </w:tr>
      <w:tr w:rsidR="00F5044E" w14:paraId="464A45BF" w14:textId="77777777" w:rsidTr="00F5044E">
        <w:tc>
          <w:tcPr>
            <w:cnfStyle w:val="001000000000" w:firstRow="0" w:lastRow="0" w:firstColumn="1" w:lastColumn="0" w:oddVBand="0" w:evenVBand="0" w:oddHBand="0" w:evenHBand="0" w:firstRowFirstColumn="0" w:firstRowLastColumn="0" w:lastRowFirstColumn="0" w:lastRowLastColumn="0"/>
            <w:tcW w:w="1838" w:type="dxa"/>
          </w:tcPr>
          <w:p w14:paraId="034BDC53" w14:textId="083167E5" w:rsidR="00F5044E" w:rsidRPr="00F5044E" w:rsidRDefault="00F5044E" w:rsidP="005771C8">
            <w:pPr>
              <w:rPr>
                <w:b w:val="0"/>
                <w:bCs w:val="0"/>
                <w:sz w:val="18"/>
                <w:szCs w:val="18"/>
              </w:rPr>
            </w:pPr>
            <w:r w:rsidRPr="00F5044E">
              <w:rPr>
                <w:b w:val="0"/>
                <w:bCs w:val="0"/>
                <w:sz w:val="18"/>
                <w:szCs w:val="18"/>
              </w:rPr>
              <w:t>Youths</w:t>
            </w:r>
          </w:p>
        </w:tc>
        <w:tc>
          <w:tcPr>
            <w:tcW w:w="851" w:type="dxa"/>
          </w:tcPr>
          <w:p w14:paraId="10500418" w14:textId="77777777" w:rsidR="00F5044E"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p>
        </w:tc>
        <w:tc>
          <w:tcPr>
            <w:tcW w:w="850" w:type="dxa"/>
          </w:tcPr>
          <w:p w14:paraId="68B9B914" w14:textId="77777777" w:rsidR="00F5044E"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p>
        </w:tc>
        <w:tc>
          <w:tcPr>
            <w:tcW w:w="851" w:type="dxa"/>
          </w:tcPr>
          <w:p w14:paraId="37FE1320" w14:textId="6A6B6AB8" w:rsidR="00F5044E"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0</w:t>
            </w:r>
          </w:p>
        </w:tc>
        <w:tc>
          <w:tcPr>
            <w:tcW w:w="1134" w:type="dxa"/>
          </w:tcPr>
          <w:p w14:paraId="29308AD1" w14:textId="6FB0AA7C" w:rsidR="00F5044E" w:rsidRPr="00F5044E" w:rsidRDefault="00F5044E" w:rsidP="005771C8">
            <w:pPr>
              <w:cnfStyle w:val="000000000000" w:firstRow="0" w:lastRow="0" w:firstColumn="0" w:lastColumn="0" w:oddVBand="0" w:evenVBand="0" w:oddHBand="0" w:evenHBand="0" w:firstRowFirstColumn="0" w:firstRowLastColumn="0" w:lastRowFirstColumn="0" w:lastRowLastColumn="0"/>
              <w:rPr>
                <w:sz w:val="18"/>
                <w:szCs w:val="18"/>
              </w:rPr>
            </w:pPr>
            <w:r w:rsidRPr="00F5044E">
              <w:rPr>
                <w:sz w:val="18"/>
                <w:szCs w:val="18"/>
              </w:rPr>
              <w:t>NAN</w:t>
            </w:r>
          </w:p>
        </w:tc>
      </w:tr>
      <w:tr w:rsidR="00F5044E" w14:paraId="60CD9FBB" w14:textId="77777777" w:rsidTr="00F5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6B8FDD" w14:textId="704AC6C5" w:rsidR="00F5044E" w:rsidRPr="00F5044E" w:rsidRDefault="00F5044E" w:rsidP="005771C8">
            <w:pPr>
              <w:rPr>
                <w:b w:val="0"/>
                <w:bCs w:val="0"/>
                <w:sz w:val="18"/>
                <w:szCs w:val="18"/>
              </w:rPr>
            </w:pPr>
            <w:r w:rsidRPr="00F5044E">
              <w:rPr>
                <w:b w:val="0"/>
                <w:bCs w:val="0"/>
                <w:sz w:val="18"/>
                <w:szCs w:val="18"/>
              </w:rPr>
              <w:t>Total</w:t>
            </w:r>
          </w:p>
        </w:tc>
        <w:tc>
          <w:tcPr>
            <w:tcW w:w="851" w:type="dxa"/>
          </w:tcPr>
          <w:p w14:paraId="727AC3B6" w14:textId="71C54889" w:rsidR="00F5044E" w:rsidRPr="00F5044E" w:rsidRDefault="00F5044E" w:rsidP="005771C8">
            <w:pPr>
              <w:cnfStyle w:val="000000100000" w:firstRow="0" w:lastRow="0" w:firstColumn="0" w:lastColumn="0" w:oddVBand="0" w:evenVBand="0" w:oddHBand="1" w:evenHBand="0" w:firstRowFirstColumn="0" w:firstRowLastColumn="0" w:lastRowFirstColumn="0" w:lastRowLastColumn="0"/>
              <w:rPr>
                <w:b/>
                <w:bCs/>
                <w:sz w:val="18"/>
                <w:szCs w:val="18"/>
              </w:rPr>
            </w:pPr>
            <w:r w:rsidRPr="00F5044E">
              <w:rPr>
                <w:b/>
                <w:bCs/>
                <w:sz w:val="18"/>
                <w:szCs w:val="18"/>
              </w:rPr>
              <w:t>703,639</w:t>
            </w:r>
          </w:p>
        </w:tc>
        <w:tc>
          <w:tcPr>
            <w:tcW w:w="850" w:type="dxa"/>
          </w:tcPr>
          <w:p w14:paraId="6AB30052" w14:textId="513D9B8A" w:rsidR="00F5044E" w:rsidRPr="00F5044E" w:rsidRDefault="00F5044E" w:rsidP="005771C8">
            <w:pPr>
              <w:cnfStyle w:val="000000100000" w:firstRow="0" w:lastRow="0" w:firstColumn="0" w:lastColumn="0" w:oddVBand="0" w:evenVBand="0" w:oddHBand="1" w:evenHBand="0" w:firstRowFirstColumn="0" w:firstRowLastColumn="0" w:lastRowFirstColumn="0" w:lastRowLastColumn="0"/>
              <w:rPr>
                <w:b/>
                <w:bCs/>
                <w:sz w:val="18"/>
                <w:szCs w:val="18"/>
              </w:rPr>
            </w:pPr>
            <w:r w:rsidRPr="00F5044E">
              <w:rPr>
                <w:b/>
                <w:bCs/>
                <w:sz w:val="18"/>
                <w:szCs w:val="18"/>
              </w:rPr>
              <w:t>443,509</w:t>
            </w:r>
          </w:p>
        </w:tc>
        <w:tc>
          <w:tcPr>
            <w:tcW w:w="851" w:type="dxa"/>
          </w:tcPr>
          <w:p w14:paraId="70203682" w14:textId="31B58BB2" w:rsidR="00F5044E" w:rsidRPr="00F5044E" w:rsidRDefault="00F5044E" w:rsidP="005771C8">
            <w:pPr>
              <w:cnfStyle w:val="000000100000" w:firstRow="0" w:lastRow="0" w:firstColumn="0" w:lastColumn="0" w:oddVBand="0" w:evenVBand="0" w:oddHBand="1" w:evenHBand="0" w:firstRowFirstColumn="0" w:firstRowLastColumn="0" w:lastRowFirstColumn="0" w:lastRowLastColumn="0"/>
              <w:rPr>
                <w:b/>
                <w:bCs/>
                <w:sz w:val="18"/>
                <w:szCs w:val="18"/>
              </w:rPr>
            </w:pPr>
            <w:r w:rsidRPr="00F5044E">
              <w:rPr>
                <w:b/>
                <w:bCs/>
                <w:sz w:val="18"/>
                <w:szCs w:val="18"/>
              </w:rPr>
              <w:t>260,130</w:t>
            </w:r>
          </w:p>
        </w:tc>
        <w:tc>
          <w:tcPr>
            <w:tcW w:w="1134" w:type="dxa"/>
          </w:tcPr>
          <w:p w14:paraId="1ED80893" w14:textId="1D6CE7CD" w:rsidR="00F5044E" w:rsidRPr="00F5044E" w:rsidRDefault="00F5044E" w:rsidP="00F5044E">
            <w:pPr>
              <w:keepNext/>
              <w:cnfStyle w:val="000000100000" w:firstRow="0" w:lastRow="0" w:firstColumn="0" w:lastColumn="0" w:oddVBand="0" w:evenVBand="0" w:oddHBand="1" w:evenHBand="0" w:firstRowFirstColumn="0" w:firstRowLastColumn="0" w:lastRowFirstColumn="0" w:lastRowLastColumn="0"/>
              <w:rPr>
                <w:b/>
                <w:bCs/>
                <w:sz w:val="18"/>
                <w:szCs w:val="18"/>
              </w:rPr>
            </w:pPr>
            <w:r w:rsidRPr="00F5044E">
              <w:rPr>
                <w:b/>
                <w:bCs/>
                <w:sz w:val="18"/>
                <w:szCs w:val="18"/>
              </w:rPr>
              <w:t>59%</w:t>
            </w:r>
          </w:p>
        </w:tc>
      </w:tr>
    </w:tbl>
    <w:p w14:paraId="32A42C0A" w14:textId="7D5F389E" w:rsidR="00565836" w:rsidRPr="00923467" w:rsidRDefault="00F5044E" w:rsidP="00F5044E">
      <w:pPr>
        <w:pStyle w:val="Caption"/>
      </w:pPr>
      <w:bookmarkStart w:id="26" w:name="_Toc137831135"/>
      <w:r>
        <w:t xml:space="preserve">Table </w:t>
      </w:r>
      <w:r>
        <w:fldChar w:fldCharType="begin"/>
      </w:r>
      <w:r>
        <w:instrText xml:space="preserve"> SEQ Table \* ARABIC </w:instrText>
      </w:r>
      <w:r>
        <w:fldChar w:fldCharType="separate"/>
      </w:r>
      <w:r w:rsidR="00E12E6B">
        <w:rPr>
          <w:noProof/>
        </w:rPr>
        <w:t>6</w:t>
      </w:r>
      <w:r>
        <w:fldChar w:fldCharType="end"/>
      </w:r>
      <w:r>
        <w:t xml:space="preserve">: </w:t>
      </w:r>
      <w:r w:rsidRPr="00905EEA">
        <w:t>Duty Waiver by Sector (2021 and 2022)</w:t>
      </w:r>
      <w:bookmarkEnd w:id="26"/>
    </w:p>
    <w:p w14:paraId="67E88A7D" w14:textId="77777777" w:rsidR="00716512" w:rsidRDefault="00716512" w:rsidP="00923467"/>
    <w:p w14:paraId="6AE9103D" w14:textId="5ED0C752" w:rsidR="004248EC" w:rsidRDefault="004D70EE" w:rsidP="00923467">
      <w:r w:rsidRPr="00923467">
        <w:t>T</w:t>
      </w:r>
      <w:r w:rsidR="00554652" w:rsidRPr="00923467">
        <w:t xml:space="preserve">able </w:t>
      </w:r>
      <w:r w:rsidR="00BF069E" w:rsidRPr="00923467">
        <w:t>7</w:t>
      </w:r>
      <w:r w:rsidR="00554652" w:rsidRPr="00923467">
        <w:t xml:space="preserve"> shows that there was a high number of duty waivers processed in 2021 compare</w:t>
      </w:r>
      <w:r w:rsidR="00BF069E" w:rsidRPr="00923467">
        <w:t>d</w:t>
      </w:r>
      <w:r w:rsidR="00554652" w:rsidRPr="00923467">
        <w:t xml:space="preserve"> to 2022 representing a decrease in 4</w:t>
      </w:r>
      <w:r w:rsidR="00307A50">
        <w:t>,</w:t>
      </w:r>
      <w:r w:rsidR="00554652" w:rsidRPr="00923467">
        <w:t>271 processed waivers</w:t>
      </w:r>
      <w:r w:rsidR="00BF069E" w:rsidRPr="00923467">
        <w:t>, however</w:t>
      </w:r>
      <w:r w:rsidR="00554652" w:rsidRPr="00923467">
        <w:t xml:space="preserve"> with a significant increase in it value of the duty waiver</w:t>
      </w:r>
      <w:r w:rsidR="00BF069E" w:rsidRPr="00923467">
        <w:t>s granted</w:t>
      </w:r>
      <w:r w:rsidR="00554652" w:rsidRPr="00923467">
        <w:t>.</w:t>
      </w:r>
    </w:p>
    <w:p w14:paraId="0C4CE77D" w14:textId="77777777" w:rsidR="00716512" w:rsidRDefault="00716512" w:rsidP="00923467"/>
    <w:tbl>
      <w:tblPr>
        <w:tblStyle w:val="GridTable4-Accent5"/>
        <w:tblW w:w="0" w:type="auto"/>
        <w:tblLook w:val="04A0" w:firstRow="1" w:lastRow="0" w:firstColumn="1" w:lastColumn="0" w:noHBand="0" w:noVBand="1"/>
      </w:tblPr>
      <w:tblGrid>
        <w:gridCol w:w="1267"/>
        <w:gridCol w:w="845"/>
        <w:gridCol w:w="846"/>
        <w:gridCol w:w="849"/>
        <w:gridCol w:w="1150"/>
      </w:tblGrid>
      <w:tr w:rsidR="00F5044E" w14:paraId="4D53D9D4" w14:textId="77777777" w:rsidTr="00716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2A02E91A" w14:textId="7E3B6341" w:rsidR="00F5044E" w:rsidRPr="00716512" w:rsidRDefault="00716512" w:rsidP="00923467">
            <w:pPr>
              <w:rPr>
                <w:sz w:val="18"/>
                <w:szCs w:val="18"/>
              </w:rPr>
            </w:pPr>
            <w:r w:rsidRPr="00716512">
              <w:rPr>
                <w:sz w:val="18"/>
                <w:szCs w:val="18"/>
              </w:rPr>
              <w:t>Category</w:t>
            </w:r>
          </w:p>
        </w:tc>
        <w:tc>
          <w:tcPr>
            <w:tcW w:w="845" w:type="dxa"/>
          </w:tcPr>
          <w:p w14:paraId="4CB55765" w14:textId="5B620FE3" w:rsidR="00F5044E" w:rsidRPr="00716512" w:rsidRDefault="00716512" w:rsidP="00923467">
            <w:pPr>
              <w:cnfStyle w:val="100000000000" w:firstRow="1" w:lastRow="0" w:firstColumn="0" w:lastColumn="0" w:oddVBand="0" w:evenVBand="0" w:oddHBand="0" w:evenHBand="0" w:firstRowFirstColumn="0" w:firstRowLastColumn="0" w:lastRowFirstColumn="0" w:lastRowLastColumn="0"/>
              <w:rPr>
                <w:sz w:val="18"/>
                <w:szCs w:val="18"/>
              </w:rPr>
            </w:pPr>
            <w:r w:rsidRPr="00716512">
              <w:rPr>
                <w:sz w:val="18"/>
                <w:szCs w:val="18"/>
              </w:rPr>
              <w:t>2022</w:t>
            </w:r>
          </w:p>
        </w:tc>
        <w:tc>
          <w:tcPr>
            <w:tcW w:w="846" w:type="dxa"/>
          </w:tcPr>
          <w:p w14:paraId="63E6AC6F" w14:textId="30A5C4D9" w:rsidR="00F5044E" w:rsidRPr="00716512" w:rsidRDefault="00716512" w:rsidP="00923467">
            <w:pPr>
              <w:cnfStyle w:val="100000000000" w:firstRow="1" w:lastRow="0" w:firstColumn="0" w:lastColumn="0" w:oddVBand="0" w:evenVBand="0" w:oddHBand="0" w:evenHBand="0" w:firstRowFirstColumn="0" w:firstRowLastColumn="0" w:lastRowFirstColumn="0" w:lastRowLastColumn="0"/>
              <w:rPr>
                <w:sz w:val="18"/>
                <w:szCs w:val="18"/>
              </w:rPr>
            </w:pPr>
            <w:r w:rsidRPr="00716512">
              <w:rPr>
                <w:sz w:val="18"/>
                <w:szCs w:val="18"/>
              </w:rPr>
              <w:t>2021</w:t>
            </w:r>
          </w:p>
        </w:tc>
        <w:tc>
          <w:tcPr>
            <w:tcW w:w="849" w:type="dxa"/>
          </w:tcPr>
          <w:p w14:paraId="23720A00" w14:textId="26D889E7" w:rsidR="00F5044E" w:rsidRPr="00716512" w:rsidRDefault="00716512" w:rsidP="00923467">
            <w:pPr>
              <w:cnfStyle w:val="100000000000" w:firstRow="1" w:lastRow="0" w:firstColumn="0" w:lastColumn="0" w:oddVBand="0" w:evenVBand="0" w:oddHBand="0" w:evenHBand="0" w:firstRowFirstColumn="0" w:firstRowLastColumn="0" w:lastRowFirstColumn="0" w:lastRowLastColumn="0"/>
              <w:rPr>
                <w:sz w:val="18"/>
                <w:szCs w:val="18"/>
              </w:rPr>
            </w:pPr>
            <w:r w:rsidRPr="00716512">
              <w:rPr>
                <w:sz w:val="18"/>
                <w:szCs w:val="18"/>
              </w:rPr>
              <w:t>Variance</w:t>
            </w:r>
          </w:p>
        </w:tc>
        <w:tc>
          <w:tcPr>
            <w:tcW w:w="1150" w:type="dxa"/>
          </w:tcPr>
          <w:p w14:paraId="68F65626" w14:textId="44E436B7" w:rsidR="00F5044E" w:rsidRPr="00716512" w:rsidRDefault="00716512" w:rsidP="00923467">
            <w:pPr>
              <w:cnfStyle w:val="100000000000" w:firstRow="1" w:lastRow="0" w:firstColumn="0" w:lastColumn="0" w:oddVBand="0" w:evenVBand="0" w:oddHBand="0" w:evenHBand="0" w:firstRowFirstColumn="0" w:firstRowLastColumn="0" w:lastRowFirstColumn="0" w:lastRowLastColumn="0"/>
              <w:rPr>
                <w:sz w:val="18"/>
                <w:szCs w:val="18"/>
              </w:rPr>
            </w:pPr>
            <w:r w:rsidRPr="00716512">
              <w:rPr>
                <w:sz w:val="18"/>
                <w:szCs w:val="18"/>
              </w:rPr>
              <w:t>% Variance</w:t>
            </w:r>
          </w:p>
        </w:tc>
      </w:tr>
      <w:tr w:rsidR="00F5044E" w14:paraId="7A1CE080" w14:textId="77777777" w:rsidTr="0071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19D4FA4" w14:textId="076D09CB" w:rsidR="00F5044E" w:rsidRPr="00716512" w:rsidRDefault="00716512" w:rsidP="00923467">
            <w:pPr>
              <w:rPr>
                <w:b w:val="0"/>
                <w:bCs w:val="0"/>
                <w:sz w:val="18"/>
                <w:szCs w:val="18"/>
              </w:rPr>
            </w:pPr>
            <w:r w:rsidRPr="00716512">
              <w:rPr>
                <w:b w:val="0"/>
                <w:bCs w:val="0"/>
                <w:sz w:val="18"/>
                <w:szCs w:val="18"/>
              </w:rPr>
              <w:t>Embassy</w:t>
            </w:r>
          </w:p>
        </w:tc>
        <w:tc>
          <w:tcPr>
            <w:tcW w:w="845" w:type="dxa"/>
          </w:tcPr>
          <w:p w14:paraId="3B053878" w14:textId="3B04855C" w:rsidR="00F5044E"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338</w:t>
            </w:r>
          </w:p>
        </w:tc>
        <w:tc>
          <w:tcPr>
            <w:tcW w:w="846" w:type="dxa"/>
          </w:tcPr>
          <w:p w14:paraId="52543107" w14:textId="320ED4CD" w:rsidR="00F5044E"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388</w:t>
            </w:r>
          </w:p>
        </w:tc>
        <w:tc>
          <w:tcPr>
            <w:tcW w:w="849" w:type="dxa"/>
          </w:tcPr>
          <w:p w14:paraId="02E9C6CB" w14:textId="2290CF9D" w:rsidR="00F5044E"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-50</w:t>
            </w:r>
          </w:p>
        </w:tc>
        <w:tc>
          <w:tcPr>
            <w:tcW w:w="1150" w:type="dxa"/>
          </w:tcPr>
          <w:p w14:paraId="5D7C06C7" w14:textId="2C8130F2" w:rsidR="00F5044E"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-13%</w:t>
            </w:r>
          </w:p>
        </w:tc>
      </w:tr>
      <w:tr w:rsidR="00F5044E" w14:paraId="2612DED8" w14:textId="77777777" w:rsidTr="00716512">
        <w:tc>
          <w:tcPr>
            <w:cnfStyle w:val="001000000000" w:firstRow="0" w:lastRow="0" w:firstColumn="1" w:lastColumn="0" w:oddVBand="0" w:evenVBand="0" w:oddHBand="0" w:evenHBand="0" w:firstRowFirstColumn="0" w:firstRowLastColumn="0" w:lastRowFirstColumn="0" w:lastRowLastColumn="0"/>
            <w:tcW w:w="1267" w:type="dxa"/>
          </w:tcPr>
          <w:p w14:paraId="40DD8809" w14:textId="31B269B9" w:rsidR="00F5044E" w:rsidRPr="00716512" w:rsidRDefault="00716512" w:rsidP="00923467">
            <w:pPr>
              <w:rPr>
                <w:b w:val="0"/>
                <w:bCs w:val="0"/>
                <w:sz w:val="18"/>
                <w:szCs w:val="18"/>
              </w:rPr>
            </w:pPr>
            <w:r w:rsidRPr="00716512">
              <w:rPr>
                <w:b w:val="0"/>
                <w:bCs w:val="0"/>
                <w:sz w:val="18"/>
                <w:szCs w:val="18"/>
              </w:rPr>
              <w:t>Government</w:t>
            </w:r>
          </w:p>
        </w:tc>
        <w:tc>
          <w:tcPr>
            <w:tcW w:w="845" w:type="dxa"/>
          </w:tcPr>
          <w:p w14:paraId="0DB88C93" w14:textId="09595DDF" w:rsidR="00F5044E"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2,097</w:t>
            </w:r>
          </w:p>
        </w:tc>
        <w:tc>
          <w:tcPr>
            <w:tcW w:w="846" w:type="dxa"/>
          </w:tcPr>
          <w:p w14:paraId="7BF5ABEE" w14:textId="4513E32A" w:rsidR="00F5044E"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3,312</w:t>
            </w:r>
          </w:p>
        </w:tc>
        <w:tc>
          <w:tcPr>
            <w:tcW w:w="849" w:type="dxa"/>
          </w:tcPr>
          <w:p w14:paraId="1AD1C312" w14:textId="4FBFD726" w:rsidR="00F5044E"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-1,215</w:t>
            </w:r>
          </w:p>
        </w:tc>
        <w:tc>
          <w:tcPr>
            <w:tcW w:w="1150" w:type="dxa"/>
          </w:tcPr>
          <w:p w14:paraId="7C355BE2" w14:textId="341661EB" w:rsidR="00F5044E"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-37%</w:t>
            </w:r>
          </w:p>
        </w:tc>
      </w:tr>
      <w:tr w:rsidR="00716512" w14:paraId="6B5CB720" w14:textId="77777777" w:rsidTr="0071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3CFBD3F8" w14:textId="5517A288" w:rsidR="00716512" w:rsidRPr="00716512" w:rsidRDefault="00716512" w:rsidP="00716512">
            <w:pPr>
              <w:rPr>
                <w:b w:val="0"/>
                <w:bCs w:val="0"/>
                <w:sz w:val="18"/>
                <w:szCs w:val="18"/>
              </w:rPr>
            </w:pPr>
            <w:r w:rsidRPr="00716512">
              <w:rPr>
                <w:b w:val="0"/>
                <w:bCs w:val="0"/>
                <w:sz w:val="18"/>
                <w:szCs w:val="18"/>
              </w:rPr>
              <w:t>Mining</w:t>
            </w:r>
          </w:p>
        </w:tc>
        <w:tc>
          <w:tcPr>
            <w:tcW w:w="845" w:type="dxa"/>
          </w:tcPr>
          <w:p w14:paraId="23FFA038" w14:textId="06B0D0F1" w:rsidR="00716512" w:rsidRPr="00716512" w:rsidRDefault="00716512" w:rsidP="00716512">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876</w:t>
            </w:r>
          </w:p>
        </w:tc>
        <w:tc>
          <w:tcPr>
            <w:tcW w:w="846" w:type="dxa"/>
          </w:tcPr>
          <w:p w14:paraId="20B256FE" w14:textId="326FFB08" w:rsidR="00716512" w:rsidRPr="00716512" w:rsidRDefault="00716512" w:rsidP="00716512">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924</w:t>
            </w:r>
          </w:p>
        </w:tc>
        <w:tc>
          <w:tcPr>
            <w:tcW w:w="849" w:type="dxa"/>
          </w:tcPr>
          <w:p w14:paraId="74C00F29" w14:textId="0CFE2545" w:rsidR="00716512" w:rsidRPr="00716512" w:rsidRDefault="00716512" w:rsidP="00716512">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-48</w:t>
            </w:r>
          </w:p>
        </w:tc>
        <w:tc>
          <w:tcPr>
            <w:tcW w:w="1150" w:type="dxa"/>
          </w:tcPr>
          <w:p w14:paraId="07127D47" w14:textId="0CE886DC" w:rsidR="00716512" w:rsidRPr="00716512" w:rsidRDefault="00716512" w:rsidP="00716512">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-5%</w:t>
            </w:r>
          </w:p>
        </w:tc>
      </w:tr>
      <w:tr w:rsidR="00716512" w14:paraId="3C0F4C24" w14:textId="77777777" w:rsidTr="00716512">
        <w:tc>
          <w:tcPr>
            <w:cnfStyle w:val="001000000000" w:firstRow="0" w:lastRow="0" w:firstColumn="1" w:lastColumn="0" w:oddVBand="0" w:evenVBand="0" w:oddHBand="0" w:evenHBand="0" w:firstRowFirstColumn="0" w:firstRowLastColumn="0" w:lastRowFirstColumn="0" w:lastRowLastColumn="0"/>
            <w:tcW w:w="1267" w:type="dxa"/>
          </w:tcPr>
          <w:p w14:paraId="5EEA3884" w14:textId="4F8A61A4" w:rsidR="00716512" w:rsidRPr="00716512" w:rsidRDefault="00716512" w:rsidP="00716512">
            <w:pPr>
              <w:rPr>
                <w:b w:val="0"/>
                <w:bCs w:val="0"/>
                <w:sz w:val="18"/>
                <w:szCs w:val="18"/>
              </w:rPr>
            </w:pPr>
            <w:r w:rsidRPr="00716512">
              <w:rPr>
                <w:b w:val="0"/>
                <w:bCs w:val="0"/>
                <w:sz w:val="18"/>
                <w:szCs w:val="18"/>
              </w:rPr>
              <w:t>PIO</w:t>
            </w:r>
          </w:p>
        </w:tc>
        <w:tc>
          <w:tcPr>
            <w:tcW w:w="845" w:type="dxa"/>
          </w:tcPr>
          <w:p w14:paraId="5A86FD63" w14:textId="0AD0A181" w:rsidR="00716512" w:rsidRPr="00716512" w:rsidRDefault="00716512" w:rsidP="00716512">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724</w:t>
            </w:r>
          </w:p>
        </w:tc>
        <w:tc>
          <w:tcPr>
            <w:tcW w:w="846" w:type="dxa"/>
          </w:tcPr>
          <w:p w14:paraId="07B3AC37" w14:textId="00D08BF0" w:rsidR="00716512" w:rsidRPr="00716512" w:rsidRDefault="00716512" w:rsidP="00716512">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1,842</w:t>
            </w:r>
          </w:p>
        </w:tc>
        <w:tc>
          <w:tcPr>
            <w:tcW w:w="849" w:type="dxa"/>
          </w:tcPr>
          <w:p w14:paraId="12E26704" w14:textId="2CC17D09" w:rsidR="00716512" w:rsidRPr="00716512" w:rsidRDefault="00716512" w:rsidP="00716512">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-1,118</w:t>
            </w:r>
          </w:p>
        </w:tc>
        <w:tc>
          <w:tcPr>
            <w:tcW w:w="1150" w:type="dxa"/>
          </w:tcPr>
          <w:p w14:paraId="1296BE4D" w14:textId="62BFBFA6" w:rsidR="00716512" w:rsidRPr="00716512" w:rsidRDefault="00716512" w:rsidP="00716512">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-61%</w:t>
            </w:r>
          </w:p>
        </w:tc>
      </w:tr>
      <w:tr w:rsidR="00716512" w14:paraId="64442064" w14:textId="77777777" w:rsidTr="0071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31E8D573" w14:textId="4587FB0B" w:rsidR="00716512" w:rsidRPr="00716512" w:rsidRDefault="00716512" w:rsidP="00716512">
            <w:pPr>
              <w:rPr>
                <w:b w:val="0"/>
                <w:bCs w:val="0"/>
                <w:sz w:val="18"/>
                <w:szCs w:val="18"/>
              </w:rPr>
            </w:pPr>
            <w:r w:rsidRPr="00716512">
              <w:rPr>
                <w:b w:val="0"/>
                <w:bCs w:val="0"/>
                <w:sz w:val="18"/>
                <w:szCs w:val="18"/>
              </w:rPr>
              <w:t>Private</w:t>
            </w:r>
          </w:p>
        </w:tc>
        <w:tc>
          <w:tcPr>
            <w:tcW w:w="845" w:type="dxa"/>
          </w:tcPr>
          <w:p w14:paraId="4C51647C" w14:textId="6E2C6E68" w:rsidR="00716512" w:rsidRPr="00716512" w:rsidRDefault="00716512" w:rsidP="00716512">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1,795</w:t>
            </w:r>
          </w:p>
        </w:tc>
        <w:tc>
          <w:tcPr>
            <w:tcW w:w="846" w:type="dxa"/>
          </w:tcPr>
          <w:p w14:paraId="6988BC5D" w14:textId="57974719" w:rsidR="00716512" w:rsidRPr="00716512" w:rsidRDefault="00716512" w:rsidP="00716512">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3,578</w:t>
            </w:r>
          </w:p>
        </w:tc>
        <w:tc>
          <w:tcPr>
            <w:tcW w:w="849" w:type="dxa"/>
          </w:tcPr>
          <w:p w14:paraId="3DAF3B63" w14:textId="2A2F6FCA" w:rsidR="00716512" w:rsidRPr="00716512" w:rsidRDefault="00716512" w:rsidP="00716512">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-1,783</w:t>
            </w:r>
          </w:p>
        </w:tc>
        <w:tc>
          <w:tcPr>
            <w:tcW w:w="1150" w:type="dxa"/>
          </w:tcPr>
          <w:p w14:paraId="06862B9F" w14:textId="1E1FEABC" w:rsidR="00716512" w:rsidRPr="00716512" w:rsidRDefault="00716512" w:rsidP="00716512">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-50%</w:t>
            </w:r>
          </w:p>
        </w:tc>
      </w:tr>
      <w:tr w:rsidR="00716512" w14:paraId="4EEAC828" w14:textId="77777777" w:rsidTr="00716512">
        <w:tc>
          <w:tcPr>
            <w:cnfStyle w:val="001000000000" w:firstRow="0" w:lastRow="0" w:firstColumn="1" w:lastColumn="0" w:oddVBand="0" w:evenVBand="0" w:oddHBand="0" w:evenHBand="0" w:firstRowFirstColumn="0" w:firstRowLastColumn="0" w:lastRowFirstColumn="0" w:lastRowLastColumn="0"/>
            <w:tcW w:w="1267" w:type="dxa"/>
          </w:tcPr>
          <w:p w14:paraId="249B8DEC" w14:textId="1C936445" w:rsidR="00716512" w:rsidRPr="00716512" w:rsidRDefault="00716512" w:rsidP="00716512">
            <w:pPr>
              <w:rPr>
                <w:sz w:val="18"/>
                <w:szCs w:val="18"/>
              </w:rPr>
            </w:pPr>
            <w:r w:rsidRPr="00716512">
              <w:rPr>
                <w:sz w:val="18"/>
                <w:szCs w:val="18"/>
              </w:rPr>
              <w:t>Total</w:t>
            </w:r>
          </w:p>
        </w:tc>
        <w:tc>
          <w:tcPr>
            <w:tcW w:w="845" w:type="dxa"/>
          </w:tcPr>
          <w:p w14:paraId="7EA0584B" w14:textId="40D003A7" w:rsidR="00716512" w:rsidRPr="00716512" w:rsidRDefault="00716512" w:rsidP="00716512">
            <w:pPr>
              <w:cnfStyle w:val="000000000000" w:firstRow="0" w:lastRow="0" w:firstColumn="0" w:lastColumn="0" w:oddVBand="0" w:evenVBand="0" w:oddHBand="0" w:evenHBand="0" w:firstRowFirstColumn="0" w:firstRowLastColumn="0" w:lastRowFirstColumn="0" w:lastRowLastColumn="0"/>
              <w:rPr>
                <w:b/>
                <w:bCs/>
                <w:sz w:val="18"/>
                <w:szCs w:val="18"/>
              </w:rPr>
            </w:pPr>
            <w:r w:rsidRPr="00716512">
              <w:rPr>
                <w:b/>
                <w:bCs/>
                <w:sz w:val="18"/>
                <w:szCs w:val="18"/>
              </w:rPr>
              <w:t>8,787</w:t>
            </w:r>
          </w:p>
        </w:tc>
        <w:tc>
          <w:tcPr>
            <w:tcW w:w="846" w:type="dxa"/>
          </w:tcPr>
          <w:p w14:paraId="686832F9" w14:textId="2C27BCB6" w:rsidR="00716512" w:rsidRPr="00716512" w:rsidRDefault="00716512" w:rsidP="00716512">
            <w:pPr>
              <w:cnfStyle w:val="000000000000" w:firstRow="0" w:lastRow="0" w:firstColumn="0" w:lastColumn="0" w:oddVBand="0" w:evenVBand="0" w:oddHBand="0" w:evenHBand="0" w:firstRowFirstColumn="0" w:firstRowLastColumn="0" w:lastRowFirstColumn="0" w:lastRowLastColumn="0"/>
              <w:rPr>
                <w:b/>
                <w:bCs/>
                <w:sz w:val="18"/>
                <w:szCs w:val="18"/>
              </w:rPr>
            </w:pPr>
            <w:r w:rsidRPr="00716512">
              <w:rPr>
                <w:b/>
                <w:bCs/>
                <w:sz w:val="18"/>
                <w:szCs w:val="18"/>
              </w:rPr>
              <w:t>13,058</w:t>
            </w:r>
          </w:p>
        </w:tc>
        <w:tc>
          <w:tcPr>
            <w:tcW w:w="849" w:type="dxa"/>
          </w:tcPr>
          <w:p w14:paraId="007872B9" w14:textId="19272A09" w:rsidR="00716512" w:rsidRPr="00716512" w:rsidRDefault="00716512" w:rsidP="00716512">
            <w:pPr>
              <w:cnfStyle w:val="000000000000" w:firstRow="0" w:lastRow="0" w:firstColumn="0" w:lastColumn="0" w:oddVBand="0" w:evenVBand="0" w:oddHBand="0" w:evenHBand="0" w:firstRowFirstColumn="0" w:firstRowLastColumn="0" w:lastRowFirstColumn="0" w:lastRowLastColumn="0"/>
              <w:rPr>
                <w:b/>
                <w:bCs/>
                <w:sz w:val="18"/>
                <w:szCs w:val="18"/>
              </w:rPr>
            </w:pPr>
            <w:r w:rsidRPr="00716512">
              <w:rPr>
                <w:b/>
                <w:bCs/>
                <w:sz w:val="18"/>
                <w:szCs w:val="18"/>
              </w:rPr>
              <w:t>-4,271</w:t>
            </w:r>
          </w:p>
        </w:tc>
        <w:tc>
          <w:tcPr>
            <w:tcW w:w="1150" w:type="dxa"/>
          </w:tcPr>
          <w:p w14:paraId="27D5C4C7" w14:textId="63A5CE53" w:rsidR="00716512" w:rsidRPr="00716512" w:rsidRDefault="00716512" w:rsidP="00716512">
            <w:pPr>
              <w:keepNext/>
              <w:cnfStyle w:val="000000000000" w:firstRow="0" w:lastRow="0" w:firstColumn="0" w:lastColumn="0" w:oddVBand="0" w:evenVBand="0" w:oddHBand="0" w:evenHBand="0" w:firstRowFirstColumn="0" w:firstRowLastColumn="0" w:lastRowFirstColumn="0" w:lastRowLastColumn="0"/>
              <w:rPr>
                <w:b/>
                <w:bCs/>
                <w:sz w:val="18"/>
                <w:szCs w:val="18"/>
              </w:rPr>
            </w:pPr>
            <w:r w:rsidRPr="00716512">
              <w:rPr>
                <w:b/>
                <w:bCs/>
                <w:sz w:val="18"/>
                <w:szCs w:val="18"/>
              </w:rPr>
              <w:t>-33%</w:t>
            </w:r>
          </w:p>
        </w:tc>
      </w:tr>
    </w:tbl>
    <w:p w14:paraId="23FF859A" w14:textId="7E5C4A3C" w:rsidR="00F5044E" w:rsidRPr="00923467" w:rsidRDefault="00716512" w:rsidP="00716512">
      <w:pPr>
        <w:pStyle w:val="Caption"/>
      </w:pPr>
      <w:bookmarkStart w:id="27" w:name="_Toc137831136"/>
      <w:r>
        <w:t xml:space="preserve">Table </w:t>
      </w:r>
      <w:r>
        <w:fldChar w:fldCharType="begin"/>
      </w:r>
      <w:r>
        <w:instrText xml:space="preserve"> SEQ Table \* ARABIC </w:instrText>
      </w:r>
      <w:r>
        <w:fldChar w:fldCharType="separate"/>
      </w:r>
      <w:r w:rsidR="00E12E6B">
        <w:rPr>
          <w:noProof/>
        </w:rPr>
        <w:t>7</w:t>
      </w:r>
      <w:r>
        <w:fldChar w:fldCharType="end"/>
      </w:r>
      <w:r>
        <w:t xml:space="preserve">: </w:t>
      </w:r>
      <w:r w:rsidRPr="00DA0404">
        <w:t>Count of Duty Waiver Applications Received and Processed (2021 and 2022)</w:t>
      </w:r>
      <w:bookmarkEnd w:id="27"/>
    </w:p>
    <w:p w14:paraId="687B0DA1" w14:textId="77777777" w:rsidR="00716512" w:rsidRPr="00923467" w:rsidRDefault="00716512" w:rsidP="00923467"/>
    <w:p w14:paraId="382E7370" w14:textId="551A5354" w:rsidR="00716512" w:rsidRDefault="00554652" w:rsidP="00923467">
      <w:r w:rsidRPr="00923467">
        <w:t xml:space="preserve">Furthermore, the </w:t>
      </w:r>
      <w:r w:rsidR="0005120F">
        <w:t>decrease</w:t>
      </w:r>
      <w:r w:rsidR="00BF069E" w:rsidRPr="00923467">
        <w:t xml:space="preserve"> </w:t>
      </w:r>
      <w:r w:rsidRPr="00923467">
        <w:t xml:space="preserve">in duty waiver count was mainly from </w:t>
      </w:r>
      <w:r w:rsidR="00BF069E" w:rsidRPr="00923467">
        <w:t>G</w:t>
      </w:r>
      <w:r w:rsidRPr="00923467">
        <w:t xml:space="preserve">overnment and non-governmental organization sectors in 2022 as shown in </w:t>
      </w:r>
      <w:r w:rsidR="00BF069E" w:rsidRPr="00923467">
        <w:t>T</w:t>
      </w:r>
      <w:r w:rsidRPr="00923467">
        <w:t xml:space="preserve">able </w:t>
      </w:r>
      <w:r w:rsidR="00BF069E" w:rsidRPr="00923467">
        <w:t>8</w:t>
      </w:r>
      <w:r w:rsidRPr="00923467">
        <w:t xml:space="preserve">. </w:t>
      </w:r>
    </w:p>
    <w:p w14:paraId="6DA81299" w14:textId="77777777" w:rsidR="00716512" w:rsidRDefault="00716512" w:rsidP="00923467"/>
    <w:tbl>
      <w:tblPr>
        <w:tblStyle w:val="GridTable4-Accent5"/>
        <w:tblW w:w="0" w:type="auto"/>
        <w:tblLook w:val="04A0" w:firstRow="1" w:lastRow="0" w:firstColumn="1" w:lastColumn="0" w:noHBand="0" w:noVBand="1"/>
      </w:tblPr>
      <w:tblGrid>
        <w:gridCol w:w="1164"/>
        <w:gridCol w:w="845"/>
        <w:gridCol w:w="1123"/>
        <w:gridCol w:w="832"/>
        <w:gridCol w:w="851"/>
        <w:gridCol w:w="850"/>
        <w:gridCol w:w="851"/>
        <w:gridCol w:w="850"/>
      </w:tblGrid>
      <w:tr w:rsidR="00716512" w14:paraId="1FE24496" w14:textId="77777777" w:rsidTr="00716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dxa"/>
          </w:tcPr>
          <w:p w14:paraId="67918560" w14:textId="0D7BFBC1" w:rsidR="00716512" w:rsidRPr="00716512" w:rsidRDefault="00716512" w:rsidP="00923467">
            <w:pPr>
              <w:rPr>
                <w:sz w:val="18"/>
                <w:szCs w:val="18"/>
              </w:rPr>
            </w:pPr>
            <w:r w:rsidRPr="00716512">
              <w:rPr>
                <w:sz w:val="18"/>
                <w:szCs w:val="18"/>
              </w:rPr>
              <w:t>Month</w:t>
            </w:r>
          </w:p>
        </w:tc>
        <w:tc>
          <w:tcPr>
            <w:tcW w:w="845" w:type="dxa"/>
          </w:tcPr>
          <w:p w14:paraId="54B6AFA8" w14:textId="35264D35" w:rsidR="00716512" w:rsidRPr="00716512" w:rsidRDefault="00716512" w:rsidP="00923467">
            <w:pPr>
              <w:cnfStyle w:val="100000000000" w:firstRow="1" w:lastRow="0" w:firstColumn="0" w:lastColumn="0" w:oddVBand="0" w:evenVBand="0" w:oddHBand="0" w:evenHBand="0" w:firstRowFirstColumn="0" w:firstRowLastColumn="0" w:lastRowFirstColumn="0" w:lastRowLastColumn="0"/>
              <w:rPr>
                <w:sz w:val="18"/>
                <w:szCs w:val="18"/>
              </w:rPr>
            </w:pPr>
            <w:r w:rsidRPr="00716512">
              <w:rPr>
                <w:sz w:val="18"/>
                <w:szCs w:val="18"/>
              </w:rPr>
              <w:t>Embassy</w:t>
            </w:r>
          </w:p>
        </w:tc>
        <w:tc>
          <w:tcPr>
            <w:tcW w:w="1123" w:type="dxa"/>
          </w:tcPr>
          <w:p w14:paraId="7F7D9C90" w14:textId="186E4BAB" w:rsidR="00716512" w:rsidRPr="00716512" w:rsidRDefault="00716512" w:rsidP="00923467">
            <w:pPr>
              <w:cnfStyle w:val="100000000000" w:firstRow="1" w:lastRow="0" w:firstColumn="0" w:lastColumn="0" w:oddVBand="0" w:evenVBand="0" w:oddHBand="0" w:evenHBand="0" w:firstRowFirstColumn="0" w:firstRowLastColumn="0" w:lastRowFirstColumn="0" w:lastRowLastColumn="0"/>
              <w:rPr>
                <w:sz w:val="18"/>
                <w:szCs w:val="18"/>
              </w:rPr>
            </w:pPr>
            <w:r w:rsidRPr="00716512">
              <w:rPr>
                <w:sz w:val="18"/>
                <w:szCs w:val="18"/>
              </w:rPr>
              <w:t>Government</w:t>
            </w:r>
          </w:p>
        </w:tc>
        <w:tc>
          <w:tcPr>
            <w:tcW w:w="832" w:type="dxa"/>
          </w:tcPr>
          <w:p w14:paraId="10EC4D08" w14:textId="565F2DAD" w:rsidR="00716512" w:rsidRPr="00716512" w:rsidRDefault="00716512" w:rsidP="00923467">
            <w:pPr>
              <w:cnfStyle w:val="100000000000" w:firstRow="1" w:lastRow="0" w:firstColumn="0" w:lastColumn="0" w:oddVBand="0" w:evenVBand="0" w:oddHBand="0" w:evenHBand="0" w:firstRowFirstColumn="0" w:firstRowLastColumn="0" w:lastRowFirstColumn="0" w:lastRowLastColumn="0"/>
              <w:rPr>
                <w:sz w:val="18"/>
                <w:szCs w:val="18"/>
              </w:rPr>
            </w:pPr>
            <w:r w:rsidRPr="00716512">
              <w:rPr>
                <w:sz w:val="18"/>
                <w:szCs w:val="18"/>
              </w:rPr>
              <w:t>Mining</w:t>
            </w:r>
          </w:p>
        </w:tc>
        <w:tc>
          <w:tcPr>
            <w:tcW w:w="851" w:type="dxa"/>
          </w:tcPr>
          <w:p w14:paraId="5453E407" w14:textId="46C27433" w:rsidR="00716512" w:rsidRPr="00716512" w:rsidRDefault="00716512" w:rsidP="00923467">
            <w:pPr>
              <w:cnfStyle w:val="100000000000" w:firstRow="1" w:lastRow="0" w:firstColumn="0" w:lastColumn="0" w:oddVBand="0" w:evenVBand="0" w:oddHBand="0" w:evenHBand="0" w:firstRowFirstColumn="0" w:firstRowLastColumn="0" w:lastRowFirstColumn="0" w:lastRowLastColumn="0"/>
              <w:rPr>
                <w:sz w:val="18"/>
                <w:szCs w:val="18"/>
              </w:rPr>
            </w:pPr>
            <w:r w:rsidRPr="00716512">
              <w:rPr>
                <w:sz w:val="18"/>
                <w:szCs w:val="18"/>
              </w:rPr>
              <w:t>NGO</w:t>
            </w:r>
          </w:p>
        </w:tc>
        <w:tc>
          <w:tcPr>
            <w:tcW w:w="850" w:type="dxa"/>
          </w:tcPr>
          <w:p w14:paraId="315FBC42" w14:textId="764F8853" w:rsidR="00716512" w:rsidRPr="00716512" w:rsidRDefault="00716512" w:rsidP="00923467">
            <w:pPr>
              <w:cnfStyle w:val="100000000000" w:firstRow="1" w:lastRow="0" w:firstColumn="0" w:lastColumn="0" w:oddVBand="0" w:evenVBand="0" w:oddHBand="0" w:evenHBand="0" w:firstRowFirstColumn="0" w:firstRowLastColumn="0" w:lastRowFirstColumn="0" w:lastRowLastColumn="0"/>
              <w:rPr>
                <w:sz w:val="18"/>
                <w:szCs w:val="18"/>
              </w:rPr>
            </w:pPr>
            <w:r w:rsidRPr="00716512">
              <w:rPr>
                <w:sz w:val="18"/>
                <w:szCs w:val="18"/>
              </w:rPr>
              <w:t>PIO</w:t>
            </w:r>
          </w:p>
        </w:tc>
        <w:tc>
          <w:tcPr>
            <w:tcW w:w="851" w:type="dxa"/>
          </w:tcPr>
          <w:p w14:paraId="40C5F00A" w14:textId="728F4684" w:rsidR="00716512" w:rsidRPr="00716512" w:rsidRDefault="00716512" w:rsidP="00923467">
            <w:pPr>
              <w:cnfStyle w:val="100000000000" w:firstRow="1" w:lastRow="0" w:firstColumn="0" w:lastColumn="0" w:oddVBand="0" w:evenVBand="0" w:oddHBand="0" w:evenHBand="0" w:firstRowFirstColumn="0" w:firstRowLastColumn="0" w:lastRowFirstColumn="0" w:lastRowLastColumn="0"/>
              <w:rPr>
                <w:sz w:val="18"/>
                <w:szCs w:val="18"/>
              </w:rPr>
            </w:pPr>
            <w:r w:rsidRPr="00716512">
              <w:rPr>
                <w:sz w:val="18"/>
                <w:szCs w:val="18"/>
              </w:rPr>
              <w:t>Private</w:t>
            </w:r>
          </w:p>
        </w:tc>
        <w:tc>
          <w:tcPr>
            <w:tcW w:w="850" w:type="dxa"/>
          </w:tcPr>
          <w:p w14:paraId="04969517" w14:textId="06DD26EA" w:rsidR="00716512" w:rsidRPr="00716512" w:rsidRDefault="00716512" w:rsidP="00923467">
            <w:pPr>
              <w:cnfStyle w:val="100000000000" w:firstRow="1" w:lastRow="0" w:firstColumn="0" w:lastColumn="0" w:oddVBand="0" w:evenVBand="0" w:oddHBand="0" w:evenHBand="0" w:firstRowFirstColumn="0" w:firstRowLastColumn="0" w:lastRowFirstColumn="0" w:lastRowLastColumn="0"/>
              <w:rPr>
                <w:sz w:val="18"/>
                <w:szCs w:val="18"/>
              </w:rPr>
            </w:pPr>
            <w:r w:rsidRPr="00716512">
              <w:rPr>
                <w:sz w:val="18"/>
                <w:szCs w:val="18"/>
              </w:rPr>
              <w:t>Total</w:t>
            </w:r>
          </w:p>
        </w:tc>
      </w:tr>
      <w:tr w:rsidR="00716512" w14:paraId="70CC6F01" w14:textId="77777777" w:rsidTr="0071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dxa"/>
          </w:tcPr>
          <w:p w14:paraId="45C4555E" w14:textId="4D7B1A19" w:rsidR="00716512" w:rsidRPr="00716512" w:rsidRDefault="00716512" w:rsidP="00923467">
            <w:pPr>
              <w:rPr>
                <w:b w:val="0"/>
                <w:bCs w:val="0"/>
                <w:sz w:val="18"/>
                <w:szCs w:val="18"/>
              </w:rPr>
            </w:pPr>
            <w:r w:rsidRPr="00716512">
              <w:rPr>
                <w:b w:val="0"/>
                <w:bCs w:val="0"/>
                <w:sz w:val="18"/>
                <w:szCs w:val="18"/>
              </w:rPr>
              <w:t>January</w:t>
            </w:r>
          </w:p>
        </w:tc>
        <w:tc>
          <w:tcPr>
            <w:tcW w:w="845" w:type="dxa"/>
          </w:tcPr>
          <w:p w14:paraId="180BD6FC" w14:textId="231A8328"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42</w:t>
            </w:r>
          </w:p>
        </w:tc>
        <w:tc>
          <w:tcPr>
            <w:tcW w:w="1123" w:type="dxa"/>
          </w:tcPr>
          <w:p w14:paraId="1943413D" w14:textId="5236E18F"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153</w:t>
            </w:r>
          </w:p>
        </w:tc>
        <w:tc>
          <w:tcPr>
            <w:tcW w:w="832" w:type="dxa"/>
          </w:tcPr>
          <w:p w14:paraId="442A83C5" w14:textId="7D008F31"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32</w:t>
            </w:r>
          </w:p>
        </w:tc>
        <w:tc>
          <w:tcPr>
            <w:tcW w:w="851" w:type="dxa"/>
          </w:tcPr>
          <w:p w14:paraId="2E0E08C4" w14:textId="646571AC"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227</w:t>
            </w:r>
          </w:p>
        </w:tc>
        <w:tc>
          <w:tcPr>
            <w:tcW w:w="850" w:type="dxa"/>
          </w:tcPr>
          <w:p w14:paraId="6B7305C4" w14:textId="3F15EB3C"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57</w:t>
            </w:r>
          </w:p>
        </w:tc>
        <w:tc>
          <w:tcPr>
            <w:tcW w:w="851" w:type="dxa"/>
          </w:tcPr>
          <w:p w14:paraId="36B123BE" w14:textId="1759CC41"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135</w:t>
            </w:r>
          </w:p>
        </w:tc>
        <w:tc>
          <w:tcPr>
            <w:tcW w:w="850" w:type="dxa"/>
          </w:tcPr>
          <w:p w14:paraId="44B50D4F" w14:textId="5EC195FD"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716512">
              <w:rPr>
                <w:b/>
                <w:bCs/>
                <w:sz w:val="18"/>
                <w:szCs w:val="18"/>
              </w:rPr>
              <w:t>646</w:t>
            </w:r>
          </w:p>
        </w:tc>
      </w:tr>
      <w:tr w:rsidR="00716512" w14:paraId="0AD788D8" w14:textId="77777777" w:rsidTr="00716512">
        <w:tc>
          <w:tcPr>
            <w:cnfStyle w:val="001000000000" w:firstRow="0" w:lastRow="0" w:firstColumn="1" w:lastColumn="0" w:oddVBand="0" w:evenVBand="0" w:oddHBand="0" w:evenHBand="0" w:firstRowFirstColumn="0" w:firstRowLastColumn="0" w:lastRowFirstColumn="0" w:lastRowLastColumn="0"/>
            <w:tcW w:w="1164" w:type="dxa"/>
          </w:tcPr>
          <w:p w14:paraId="6DCB7B5D" w14:textId="59C5C303" w:rsidR="00716512" w:rsidRPr="00716512" w:rsidRDefault="00716512" w:rsidP="00923467">
            <w:pPr>
              <w:rPr>
                <w:b w:val="0"/>
                <w:bCs w:val="0"/>
                <w:sz w:val="18"/>
                <w:szCs w:val="18"/>
              </w:rPr>
            </w:pPr>
            <w:r w:rsidRPr="00716512">
              <w:rPr>
                <w:b w:val="0"/>
                <w:bCs w:val="0"/>
                <w:sz w:val="18"/>
                <w:szCs w:val="18"/>
              </w:rPr>
              <w:t>February</w:t>
            </w:r>
          </w:p>
        </w:tc>
        <w:tc>
          <w:tcPr>
            <w:tcW w:w="845" w:type="dxa"/>
          </w:tcPr>
          <w:p w14:paraId="32487E52" w14:textId="63F1915A"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19</w:t>
            </w:r>
          </w:p>
        </w:tc>
        <w:tc>
          <w:tcPr>
            <w:tcW w:w="1123" w:type="dxa"/>
          </w:tcPr>
          <w:p w14:paraId="2222DA0C" w14:textId="0BF2B610"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128</w:t>
            </w:r>
          </w:p>
        </w:tc>
        <w:tc>
          <w:tcPr>
            <w:tcW w:w="832" w:type="dxa"/>
          </w:tcPr>
          <w:p w14:paraId="2E13B210" w14:textId="0880EBD6"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25</w:t>
            </w:r>
          </w:p>
        </w:tc>
        <w:tc>
          <w:tcPr>
            <w:tcW w:w="851" w:type="dxa"/>
          </w:tcPr>
          <w:p w14:paraId="44A2D007" w14:textId="6239607F"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294</w:t>
            </w:r>
          </w:p>
        </w:tc>
        <w:tc>
          <w:tcPr>
            <w:tcW w:w="850" w:type="dxa"/>
          </w:tcPr>
          <w:p w14:paraId="35136992" w14:textId="4C2D8496"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76</w:t>
            </w:r>
          </w:p>
        </w:tc>
        <w:tc>
          <w:tcPr>
            <w:tcW w:w="851" w:type="dxa"/>
          </w:tcPr>
          <w:p w14:paraId="44C5D563" w14:textId="458B2562"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160</w:t>
            </w:r>
          </w:p>
        </w:tc>
        <w:tc>
          <w:tcPr>
            <w:tcW w:w="850" w:type="dxa"/>
          </w:tcPr>
          <w:p w14:paraId="74981E83" w14:textId="0DCCF761"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716512">
              <w:rPr>
                <w:b/>
                <w:bCs/>
                <w:sz w:val="18"/>
                <w:szCs w:val="18"/>
              </w:rPr>
              <w:t>702</w:t>
            </w:r>
          </w:p>
        </w:tc>
      </w:tr>
      <w:tr w:rsidR="00716512" w14:paraId="681607C0" w14:textId="77777777" w:rsidTr="0071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dxa"/>
          </w:tcPr>
          <w:p w14:paraId="09A986B0" w14:textId="3DAE6DAF" w:rsidR="00716512" w:rsidRPr="00716512" w:rsidRDefault="00716512" w:rsidP="00923467">
            <w:pPr>
              <w:rPr>
                <w:b w:val="0"/>
                <w:bCs w:val="0"/>
                <w:sz w:val="18"/>
                <w:szCs w:val="18"/>
              </w:rPr>
            </w:pPr>
            <w:r w:rsidRPr="00716512">
              <w:rPr>
                <w:b w:val="0"/>
                <w:bCs w:val="0"/>
                <w:sz w:val="18"/>
                <w:szCs w:val="18"/>
              </w:rPr>
              <w:t>March</w:t>
            </w:r>
          </w:p>
        </w:tc>
        <w:tc>
          <w:tcPr>
            <w:tcW w:w="845" w:type="dxa"/>
          </w:tcPr>
          <w:p w14:paraId="47A0B49A" w14:textId="4B1D40BC"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33</w:t>
            </w:r>
          </w:p>
        </w:tc>
        <w:tc>
          <w:tcPr>
            <w:tcW w:w="1123" w:type="dxa"/>
          </w:tcPr>
          <w:p w14:paraId="7B3D474B" w14:textId="790DEAD3"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169</w:t>
            </w:r>
          </w:p>
        </w:tc>
        <w:tc>
          <w:tcPr>
            <w:tcW w:w="832" w:type="dxa"/>
          </w:tcPr>
          <w:p w14:paraId="78E4EFCB" w14:textId="7F4C9CE9"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33</w:t>
            </w:r>
          </w:p>
        </w:tc>
        <w:tc>
          <w:tcPr>
            <w:tcW w:w="851" w:type="dxa"/>
          </w:tcPr>
          <w:p w14:paraId="01D04000" w14:textId="6FBB51F4"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109</w:t>
            </w:r>
          </w:p>
        </w:tc>
        <w:tc>
          <w:tcPr>
            <w:tcW w:w="850" w:type="dxa"/>
          </w:tcPr>
          <w:p w14:paraId="2D340037" w14:textId="4A37A72F"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49</w:t>
            </w:r>
          </w:p>
        </w:tc>
        <w:tc>
          <w:tcPr>
            <w:tcW w:w="851" w:type="dxa"/>
          </w:tcPr>
          <w:p w14:paraId="3EF90B02" w14:textId="5391CF90"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137</w:t>
            </w:r>
          </w:p>
        </w:tc>
        <w:tc>
          <w:tcPr>
            <w:tcW w:w="850" w:type="dxa"/>
          </w:tcPr>
          <w:p w14:paraId="73283213" w14:textId="27F2FB6F"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716512">
              <w:rPr>
                <w:b/>
                <w:bCs/>
                <w:sz w:val="18"/>
                <w:szCs w:val="18"/>
              </w:rPr>
              <w:t>530</w:t>
            </w:r>
          </w:p>
        </w:tc>
      </w:tr>
      <w:tr w:rsidR="00716512" w14:paraId="53BA2C01" w14:textId="77777777" w:rsidTr="00716512">
        <w:tc>
          <w:tcPr>
            <w:cnfStyle w:val="001000000000" w:firstRow="0" w:lastRow="0" w:firstColumn="1" w:lastColumn="0" w:oddVBand="0" w:evenVBand="0" w:oddHBand="0" w:evenHBand="0" w:firstRowFirstColumn="0" w:firstRowLastColumn="0" w:lastRowFirstColumn="0" w:lastRowLastColumn="0"/>
            <w:tcW w:w="1164" w:type="dxa"/>
          </w:tcPr>
          <w:p w14:paraId="30342C8A" w14:textId="04681D61" w:rsidR="00716512" w:rsidRPr="00716512" w:rsidRDefault="00716512" w:rsidP="00923467">
            <w:pPr>
              <w:rPr>
                <w:b w:val="0"/>
                <w:bCs w:val="0"/>
                <w:sz w:val="18"/>
                <w:szCs w:val="18"/>
              </w:rPr>
            </w:pPr>
            <w:r w:rsidRPr="00716512">
              <w:rPr>
                <w:b w:val="0"/>
                <w:bCs w:val="0"/>
                <w:sz w:val="18"/>
                <w:szCs w:val="18"/>
              </w:rPr>
              <w:t>April</w:t>
            </w:r>
          </w:p>
        </w:tc>
        <w:tc>
          <w:tcPr>
            <w:tcW w:w="845" w:type="dxa"/>
          </w:tcPr>
          <w:p w14:paraId="5C9D712A" w14:textId="72A46B9A"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35</w:t>
            </w:r>
          </w:p>
        </w:tc>
        <w:tc>
          <w:tcPr>
            <w:tcW w:w="1123" w:type="dxa"/>
          </w:tcPr>
          <w:p w14:paraId="1F0B3998" w14:textId="5ED724CA"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196</w:t>
            </w:r>
          </w:p>
        </w:tc>
        <w:tc>
          <w:tcPr>
            <w:tcW w:w="832" w:type="dxa"/>
          </w:tcPr>
          <w:p w14:paraId="0CAD2DD3" w14:textId="0CD83558"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25</w:t>
            </w:r>
          </w:p>
        </w:tc>
        <w:tc>
          <w:tcPr>
            <w:tcW w:w="851" w:type="dxa"/>
          </w:tcPr>
          <w:p w14:paraId="6AC3B491" w14:textId="7F008E98"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267</w:t>
            </w:r>
          </w:p>
        </w:tc>
        <w:tc>
          <w:tcPr>
            <w:tcW w:w="850" w:type="dxa"/>
          </w:tcPr>
          <w:p w14:paraId="70F3125D" w14:textId="21EEA34D"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43</w:t>
            </w:r>
          </w:p>
        </w:tc>
        <w:tc>
          <w:tcPr>
            <w:tcW w:w="851" w:type="dxa"/>
          </w:tcPr>
          <w:p w14:paraId="38146502" w14:textId="4792FA89"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181</w:t>
            </w:r>
          </w:p>
        </w:tc>
        <w:tc>
          <w:tcPr>
            <w:tcW w:w="850" w:type="dxa"/>
          </w:tcPr>
          <w:p w14:paraId="0173D4DF" w14:textId="3F160B1E"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716512">
              <w:rPr>
                <w:b/>
                <w:bCs/>
                <w:sz w:val="18"/>
                <w:szCs w:val="18"/>
              </w:rPr>
              <w:t>747</w:t>
            </w:r>
          </w:p>
        </w:tc>
      </w:tr>
      <w:tr w:rsidR="00716512" w14:paraId="69032D65" w14:textId="77777777" w:rsidTr="0071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dxa"/>
          </w:tcPr>
          <w:p w14:paraId="2836F6A9" w14:textId="03C24BF7" w:rsidR="00716512" w:rsidRPr="00716512" w:rsidRDefault="00716512" w:rsidP="00923467">
            <w:pPr>
              <w:rPr>
                <w:b w:val="0"/>
                <w:bCs w:val="0"/>
                <w:sz w:val="18"/>
                <w:szCs w:val="18"/>
              </w:rPr>
            </w:pPr>
            <w:r w:rsidRPr="00716512">
              <w:rPr>
                <w:b w:val="0"/>
                <w:bCs w:val="0"/>
                <w:sz w:val="18"/>
                <w:szCs w:val="18"/>
              </w:rPr>
              <w:t>May</w:t>
            </w:r>
          </w:p>
        </w:tc>
        <w:tc>
          <w:tcPr>
            <w:tcW w:w="845" w:type="dxa"/>
          </w:tcPr>
          <w:p w14:paraId="5FA17D98" w14:textId="35F26FAB"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16</w:t>
            </w:r>
          </w:p>
        </w:tc>
        <w:tc>
          <w:tcPr>
            <w:tcW w:w="1123" w:type="dxa"/>
          </w:tcPr>
          <w:p w14:paraId="515C2601" w14:textId="7E14BAE6"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313</w:t>
            </w:r>
          </w:p>
        </w:tc>
        <w:tc>
          <w:tcPr>
            <w:tcW w:w="832" w:type="dxa"/>
          </w:tcPr>
          <w:p w14:paraId="572AE2E2" w14:textId="768BB997"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158</w:t>
            </w:r>
          </w:p>
        </w:tc>
        <w:tc>
          <w:tcPr>
            <w:tcW w:w="851" w:type="dxa"/>
          </w:tcPr>
          <w:p w14:paraId="234ECEDF" w14:textId="65CB4313"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188</w:t>
            </w:r>
          </w:p>
        </w:tc>
        <w:tc>
          <w:tcPr>
            <w:tcW w:w="850" w:type="dxa"/>
          </w:tcPr>
          <w:p w14:paraId="21630187" w14:textId="430ED961"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74</w:t>
            </w:r>
          </w:p>
        </w:tc>
        <w:tc>
          <w:tcPr>
            <w:tcW w:w="851" w:type="dxa"/>
          </w:tcPr>
          <w:p w14:paraId="6E3E5A94" w14:textId="7C120BCA"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145</w:t>
            </w:r>
          </w:p>
        </w:tc>
        <w:tc>
          <w:tcPr>
            <w:tcW w:w="850" w:type="dxa"/>
          </w:tcPr>
          <w:p w14:paraId="6925C4FE" w14:textId="2D774FB2"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716512">
              <w:rPr>
                <w:b/>
                <w:bCs/>
                <w:sz w:val="18"/>
                <w:szCs w:val="18"/>
              </w:rPr>
              <w:t>894</w:t>
            </w:r>
          </w:p>
        </w:tc>
      </w:tr>
      <w:tr w:rsidR="00716512" w14:paraId="37AB31E5" w14:textId="77777777" w:rsidTr="00716512">
        <w:tc>
          <w:tcPr>
            <w:cnfStyle w:val="001000000000" w:firstRow="0" w:lastRow="0" w:firstColumn="1" w:lastColumn="0" w:oddVBand="0" w:evenVBand="0" w:oddHBand="0" w:evenHBand="0" w:firstRowFirstColumn="0" w:firstRowLastColumn="0" w:lastRowFirstColumn="0" w:lastRowLastColumn="0"/>
            <w:tcW w:w="1164" w:type="dxa"/>
          </w:tcPr>
          <w:p w14:paraId="39F175D3" w14:textId="6494DF10" w:rsidR="00716512" w:rsidRPr="00716512" w:rsidRDefault="00716512" w:rsidP="00923467">
            <w:pPr>
              <w:rPr>
                <w:b w:val="0"/>
                <w:bCs w:val="0"/>
                <w:sz w:val="18"/>
                <w:szCs w:val="18"/>
              </w:rPr>
            </w:pPr>
            <w:r w:rsidRPr="00716512">
              <w:rPr>
                <w:b w:val="0"/>
                <w:bCs w:val="0"/>
                <w:sz w:val="18"/>
                <w:szCs w:val="18"/>
              </w:rPr>
              <w:t>June</w:t>
            </w:r>
          </w:p>
        </w:tc>
        <w:tc>
          <w:tcPr>
            <w:tcW w:w="845" w:type="dxa"/>
          </w:tcPr>
          <w:p w14:paraId="7F41FC56" w14:textId="3E3E54A2"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3</w:t>
            </w:r>
          </w:p>
        </w:tc>
        <w:tc>
          <w:tcPr>
            <w:tcW w:w="1123" w:type="dxa"/>
          </w:tcPr>
          <w:p w14:paraId="217A6388" w14:textId="0CA7319B"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116</w:t>
            </w:r>
          </w:p>
        </w:tc>
        <w:tc>
          <w:tcPr>
            <w:tcW w:w="832" w:type="dxa"/>
          </w:tcPr>
          <w:p w14:paraId="6F492EA5" w14:textId="3899710C"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17</w:t>
            </w:r>
          </w:p>
        </w:tc>
        <w:tc>
          <w:tcPr>
            <w:tcW w:w="851" w:type="dxa"/>
          </w:tcPr>
          <w:p w14:paraId="658F72C4" w14:textId="1FFC49EA"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158</w:t>
            </w:r>
          </w:p>
        </w:tc>
        <w:tc>
          <w:tcPr>
            <w:tcW w:w="850" w:type="dxa"/>
          </w:tcPr>
          <w:p w14:paraId="4B32A896" w14:textId="6B12AE9E"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78</w:t>
            </w:r>
          </w:p>
        </w:tc>
        <w:tc>
          <w:tcPr>
            <w:tcW w:w="851" w:type="dxa"/>
          </w:tcPr>
          <w:p w14:paraId="717A6518" w14:textId="4B6A7AF5"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254</w:t>
            </w:r>
          </w:p>
        </w:tc>
        <w:tc>
          <w:tcPr>
            <w:tcW w:w="850" w:type="dxa"/>
          </w:tcPr>
          <w:p w14:paraId="7F854B6B" w14:textId="41867447"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716512">
              <w:rPr>
                <w:b/>
                <w:bCs/>
                <w:sz w:val="18"/>
                <w:szCs w:val="18"/>
              </w:rPr>
              <w:t>626</w:t>
            </w:r>
          </w:p>
        </w:tc>
      </w:tr>
      <w:tr w:rsidR="00716512" w14:paraId="197F4A24" w14:textId="77777777" w:rsidTr="0071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dxa"/>
          </w:tcPr>
          <w:p w14:paraId="43ED74AD" w14:textId="18329EA9" w:rsidR="00716512" w:rsidRPr="00716512" w:rsidRDefault="00716512" w:rsidP="00923467">
            <w:pPr>
              <w:rPr>
                <w:b w:val="0"/>
                <w:bCs w:val="0"/>
                <w:sz w:val="18"/>
                <w:szCs w:val="18"/>
              </w:rPr>
            </w:pPr>
            <w:r w:rsidRPr="00716512">
              <w:rPr>
                <w:b w:val="0"/>
                <w:bCs w:val="0"/>
                <w:sz w:val="18"/>
                <w:szCs w:val="18"/>
              </w:rPr>
              <w:t>July</w:t>
            </w:r>
          </w:p>
        </w:tc>
        <w:tc>
          <w:tcPr>
            <w:tcW w:w="845" w:type="dxa"/>
          </w:tcPr>
          <w:p w14:paraId="07A1F388" w14:textId="5FC49BF9"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13</w:t>
            </w:r>
          </w:p>
        </w:tc>
        <w:tc>
          <w:tcPr>
            <w:tcW w:w="1123" w:type="dxa"/>
          </w:tcPr>
          <w:p w14:paraId="6B086459" w14:textId="00E2ADAD"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113</w:t>
            </w:r>
          </w:p>
        </w:tc>
        <w:tc>
          <w:tcPr>
            <w:tcW w:w="832" w:type="dxa"/>
          </w:tcPr>
          <w:p w14:paraId="3BFE9029" w14:textId="57B15705"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124</w:t>
            </w:r>
          </w:p>
        </w:tc>
        <w:tc>
          <w:tcPr>
            <w:tcW w:w="851" w:type="dxa"/>
          </w:tcPr>
          <w:p w14:paraId="2FED490A" w14:textId="40A75DA4"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162</w:t>
            </w:r>
          </w:p>
        </w:tc>
        <w:tc>
          <w:tcPr>
            <w:tcW w:w="850" w:type="dxa"/>
          </w:tcPr>
          <w:p w14:paraId="3D17DDCC" w14:textId="3CDA6E33"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42</w:t>
            </w:r>
          </w:p>
        </w:tc>
        <w:tc>
          <w:tcPr>
            <w:tcW w:w="851" w:type="dxa"/>
          </w:tcPr>
          <w:p w14:paraId="57A4BACB" w14:textId="4F491693"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196</w:t>
            </w:r>
          </w:p>
        </w:tc>
        <w:tc>
          <w:tcPr>
            <w:tcW w:w="850" w:type="dxa"/>
          </w:tcPr>
          <w:p w14:paraId="659ED5DC" w14:textId="22E5B309"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716512">
              <w:rPr>
                <w:b/>
                <w:bCs/>
                <w:sz w:val="18"/>
                <w:szCs w:val="18"/>
              </w:rPr>
              <w:t>650</w:t>
            </w:r>
          </w:p>
        </w:tc>
      </w:tr>
      <w:tr w:rsidR="00716512" w14:paraId="6FE12BB9" w14:textId="77777777" w:rsidTr="00716512">
        <w:tc>
          <w:tcPr>
            <w:cnfStyle w:val="001000000000" w:firstRow="0" w:lastRow="0" w:firstColumn="1" w:lastColumn="0" w:oddVBand="0" w:evenVBand="0" w:oddHBand="0" w:evenHBand="0" w:firstRowFirstColumn="0" w:firstRowLastColumn="0" w:lastRowFirstColumn="0" w:lastRowLastColumn="0"/>
            <w:tcW w:w="1164" w:type="dxa"/>
          </w:tcPr>
          <w:p w14:paraId="06E01A39" w14:textId="3600C696" w:rsidR="00716512" w:rsidRPr="00716512" w:rsidRDefault="00716512" w:rsidP="00923467">
            <w:pPr>
              <w:rPr>
                <w:b w:val="0"/>
                <w:bCs w:val="0"/>
                <w:sz w:val="18"/>
                <w:szCs w:val="18"/>
              </w:rPr>
            </w:pPr>
            <w:r w:rsidRPr="00716512">
              <w:rPr>
                <w:b w:val="0"/>
                <w:bCs w:val="0"/>
                <w:sz w:val="18"/>
                <w:szCs w:val="18"/>
              </w:rPr>
              <w:t>August</w:t>
            </w:r>
          </w:p>
        </w:tc>
        <w:tc>
          <w:tcPr>
            <w:tcW w:w="845" w:type="dxa"/>
          </w:tcPr>
          <w:p w14:paraId="5E5AAFBB" w14:textId="56CF299B"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4</w:t>
            </w:r>
          </w:p>
        </w:tc>
        <w:tc>
          <w:tcPr>
            <w:tcW w:w="1123" w:type="dxa"/>
          </w:tcPr>
          <w:p w14:paraId="58148D85" w14:textId="5BBB8C59"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220</w:t>
            </w:r>
          </w:p>
        </w:tc>
        <w:tc>
          <w:tcPr>
            <w:tcW w:w="832" w:type="dxa"/>
          </w:tcPr>
          <w:p w14:paraId="2786196F" w14:textId="18D157E0"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101</w:t>
            </w:r>
          </w:p>
        </w:tc>
        <w:tc>
          <w:tcPr>
            <w:tcW w:w="851" w:type="dxa"/>
          </w:tcPr>
          <w:p w14:paraId="5E8A834D" w14:textId="60A7E193"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448</w:t>
            </w:r>
          </w:p>
        </w:tc>
        <w:tc>
          <w:tcPr>
            <w:tcW w:w="850" w:type="dxa"/>
          </w:tcPr>
          <w:p w14:paraId="02DC01DC" w14:textId="5A95855B"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35</w:t>
            </w:r>
          </w:p>
        </w:tc>
        <w:tc>
          <w:tcPr>
            <w:tcW w:w="851" w:type="dxa"/>
          </w:tcPr>
          <w:p w14:paraId="4D400314" w14:textId="5FF10C99"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158</w:t>
            </w:r>
          </w:p>
        </w:tc>
        <w:tc>
          <w:tcPr>
            <w:tcW w:w="850" w:type="dxa"/>
          </w:tcPr>
          <w:p w14:paraId="2BC2EBEA" w14:textId="6F62EC57"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716512">
              <w:rPr>
                <w:b/>
                <w:bCs/>
                <w:sz w:val="18"/>
                <w:szCs w:val="18"/>
              </w:rPr>
              <w:t>966</w:t>
            </w:r>
          </w:p>
        </w:tc>
      </w:tr>
      <w:tr w:rsidR="00716512" w14:paraId="3F2DBB3E" w14:textId="77777777" w:rsidTr="0071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dxa"/>
          </w:tcPr>
          <w:p w14:paraId="122A8E69" w14:textId="6A0058C8" w:rsidR="00716512" w:rsidRPr="00716512" w:rsidRDefault="00716512" w:rsidP="00923467">
            <w:pPr>
              <w:rPr>
                <w:b w:val="0"/>
                <w:bCs w:val="0"/>
                <w:sz w:val="18"/>
                <w:szCs w:val="18"/>
              </w:rPr>
            </w:pPr>
            <w:r w:rsidRPr="00716512">
              <w:rPr>
                <w:b w:val="0"/>
                <w:bCs w:val="0"/>
                <w:sz w:val="18"/>
                <w:szCs w:val="18"/>
              </w:rPr>
              <w:t>September</w:t>
            </w:r>
          </w:p>
        </w:tc>
        <w:tc>
          <w:tcPr>
            <w:tcW w:w="845" w:type="dxa"/>
          </w:tcPr>
          <w:p w14:paraId="05A61B94" w14:textId="78FD3176"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36</w:t>
            </w:r>
          </w:p>
        </w:tc>
        <w:tc>
          <w:tcPr>
            <w:tcW w:w="1123" w:type="dxa"/>
          </w:tcPr>
          <w:p w14:paraId="507CB08A" w14:textId="7AAC7860"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97</w:t>
            </w:r>
          </w:p>
        </w:tc>
        <w:tc>
          <w:tcPr>
            <w:tcW w:w="832" w:type="dxa"/>
          </w:tcPr>
          <w:p w14:paraId="5A8D8BAD" w14:textId="74FB5B34"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183</w:t>
            </w:r>
          </w:p>
        </w:tc>
        <w:tc>
          <w:tcPr>
            <w:tcW w:w="851" w:type="dxa"/>
          </w:tcPr>
          <w:p w14:paraId="03345B1F" w14:textId="4E2B22BF"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150</w:t>
            </w:r>
          </w:p>
        </w:tc>
        <w:tc>
          <w:tcPr>
            <w:tcW w:w="850" w:type="dxa"/>
          </w:tcPr>
          <w:p w14:paraId="0A985DA0" w14:textId="25912029"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109</w:t>
            </w:r>
          </w:p>
        </w:tc>
        <w:tc>
          <w:tcPr>
            <w:tcW w:w="851" w:type="dxa"/>
          </w:tcPr>
          <w:p w14:paraId="124C80CC" w14:textId="4F15312F"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124</w:t>
            </w:r>
          </w:p>
        </w:tc>
        <w:tc>
          <w:tcPr>
            <w:tcW w:w="850" w:type="dxa"/>
          </w:tcPr>
          <w:p w14:paraId="1BF5C906" w14:textId="4CCABC13"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716512">
              <w:rPr>
                <w:b/>
                <w:bCs/>
                <w:sz w:val="18"/>
                <w:szCs w:val="18"/>
              </w:rPr>
              <w:t>699</w:t>
            </w:r>
          </w:p>
        </w:tc>
      </w:tr>
      <w:tr w:rsidR="00716512" w14:paraId="5829DFAE" w14:textId="77777777" w:rsidTr="00716512">
        <w:tc>
          <w:tcPr>
            <w:cnfStyle w:val="001000000000" w:firstRow="0" w:lastRow="0" w:firstColumn="1" w:lastColumn="0" w:oddVBand="0" w:evenVBand="0" w:oddHBand="0" w:evenHBand="0" w:firstRowFirstColumn="0" w:firstRowLastColumn="0" w:lastRowFirstColumn="0" w:lastRowLastColumn="0"/>
            <w:tcW w:w="1164" w:type="dxa"/>
          </w:tcPr>
          <w:p w14:paraId="58AC046D" w14:textId="7EA60D9E" w:rsidR="00716512" w:rsidRPr="00716512" w:rsidRDefault="00716512" w:rsidP="00923467">
            <w:pPr>
              <w:rPr>
                <w:b w:val="0"/>
                <w:bCs w:val="0"/>
                <w:sz w:val="18"/>
                <w:szCs w:val="18"/>
              </w:rPr>
            </w:pPr>
            <w:r w:rsidRPr="00716512">
              <w:rPr>
                <w:b w:val="0"/>
                <w:bCs w:val="0"/>
                <w:sz w:val="18"/>
                <w:szCs w:val="18"/>
              </w:rPr>
              <w:t>October</w:t>
            </w:r>
          </w:p>
        </w:tc>
        <w:tc>
          <w:tcPr>
            <w:tcW w:w="845" w:type="dxa"/>
          </w:tcPr>
          <w:p w14:paraId="5A32BCB0" w14:textId="244ED16C"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43</w:t>
            </w:r>
          </w:p>
        </w:tc>
        <w:tc>
          <w:tcPr>
            <w:tcW w:w="1123" w:type="dxa"/>
          </w:tcPr>
          <w:p w14:paraId="677D85C6" w14:textId="735355C5"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153</w:t>
            </w:r>
          </w:p>
        </w:tc>
        <w:tc>
          <w:tcPr>
            <w:tcW w:w="832" w:type="dxa"/>
          </w:tcPr>
          <w:p w14:paraId="5581F4F7" w14:textId="44C059CD"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55</w:t>
            </w:r>
          </w:p>
        </w:tc>
        <w:tc>
          <w:tcPr>
            <w:tcW w:w="851" w:type="dxa"/>
          </w:tcPr>
          <w:p w14:paraId="759F811E" w14:textId="1BA9B4DD"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410</w:t>
            </w:r>
          </w:p>
        </w:tc>
        <w:tc>
          <w:tcPr>
            <w:tcW w:w="850" w:type="dxa"/>
          </w:tcPr>
          <w:p w14:paraId="0329507E" w14:textId="1630C8EE"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41</w:t>
            </w:r>
          </w:p>
        </w:tc>
        <w:tc>
          <w:tcPr>
            <w:tcW w:w="851" w:type="dxa"/>
          </w:tcPr>
          <w:p w14:paraId="63019729" w14:textId="5099E477"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82</w:t>
            </w:r>
          </w:p>
        </w:tc>
        <w:tc>
          <w:tcPr>
            <w:tcW w:w="850" w:type="dxa"/>
          </w:tcPr>
          <w:p w14:paraId="4F10F23D" w14:textId="2D20BB61"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716512">
              <w:rPr>
                <w:b/>
                <w:bCs/>
                <w:sz w:val="18"/>
                <w:szCs w:val="18"/>
              </w:rPr>
              <w:t>784</w:t>
            </w:r>
          </w:p>
        </w:tc>
      </w:tr>
      <w:tr w:rsidR="00716512" w14:paraId="3704A85B" w14:textId="77777777" w:rsidTr="0071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dxa"/>
          </w:tcPr>
          <w:p w14:paraId="0809D3DB" w14:textId="7C24FA94" w:rsidR="00716512" w:rsidRPr="00716512" w:rsidRDefault="00716512" w:rsidP="00923467">
            <w:pPr>
              <w:rPr>
                <w:b w:val="0"/>
                <w:bCs w:val="0"/>
                <w:sz w:val="18"/>
                <w:szCs w:val="18"/>
              </w:rPr>
            </w:pPr>
            <w:r w:rsidRPr="00716512">
              <w:rPr>
                <w:b w:val="0"/>
                <w:bCs w:val="0"/>
                <w:sz w:val="18"/>
                <w:szCs w:val="18"/>
              </w:rPr>
              <w:t>November</w:t>
            </w:r>
          </w:p>
        </w:tc>
        <w:tc>
          <w:tcPr>
            <w:tcW w:w="845" w:type="dxa"/>
          </w:tcPr>
          <w:p w14:paraId="7C1124EA" w14:textId="792816F2"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48</w:t>
            </w:r>
          </w:p>
        </w:tc>
        <w:tc>
          <w:tcPr>
            <w:tcW w:w="1123" w:type="dxa"/>
          </w:tcPr>
          <w:p w14:paraId="38C2133A" w14:textId="14E1BE2B"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245</w:t>
            </w:r>
          </w:p>
        </w:tc>
        <w:tc>
          <w:tcPr>
            <w:tcW w:w="832" w:type="dxa"/>
          </w:tcPr>
          <w:p w14:paraId="08687968" w14:textId="197A2A95"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83</w:t>
            </w:r>
          </w:p>
        </w:tc>
        <w:tc>
          <w:tcPr>
            <w:tcW w:w="851" w:type="dxa"/>
          </w:tcPr>
          <w:p w14:paraId="2B063C63" w14:textId="402933DE"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204</w:t>
            </w:r>
          </w:p>
        </w:tc>
        <w:tc>
          <w:tcPr>
            <w:tcW w:w="850" w:type="dxa"/>
          </w:tcPr>
          <w:p w14:paraId="29475EE2" w14:textId="2C3793DE"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79</w:t>
            </w:r>
          </w:p>
        </w:tc>
        <w:tc>
          <w:tcPr>
            <w:tcW w:w="851" w:type="dxa"/>
          </w:tcPr>
          <w:p w14:paraId="320FD16E" w14:textId="029A2AFA"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sz w:val="18"/>
                <w:szCs w:val="18"/>
              </w:rPr>
            </w:pPr>
            <w:r w:rsidRPr="00716512">
              <w:rPr>
                <w:sz w:val="18"/>
                <w:szCs w:val="18"/>
              </w:rPr>
              <w:t>136</w:t>
            </w:r>
          </w:p>
        </w:tc>
        <w:tc>
          <w:tcPr>
            <w:tcW w:w="850" w:type="dxa"/>
          </w:tcPr>
          <w:p w14:paraId="23E22DD2" w14:textId="18B517CB" w:rsidR="00716512" w:rsidRPr="00716512" w:rsidRDefault="00716512"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716512">
              <w:rPr>
                <w:b/>
                <w:bCs/>
                <w:sz w:val="18"/>
                <w:szCs w:val="18"/>
              </w:rPr>
              <w:t>795</w:t>
            </w:r>
          </w:p>
        </w:tc>
      </w:tr>
      <w:tr w:rsidR="00716512" w14:paraId="7037DC6B" w14:textId="77777777" w:rsidTr="00716512">
        <w:tc>
          <w:tcPr>
            <w:cnfStyle w:val="001000000000" w:firstRow="0" w:lastRow="0" w:firstColumn="1" w:lastColumn="0" w:oddVBand="0" w:evenVBand="0" w:oddHBand="0" w:evenHBand="0" w:firstRowFirstColumn="0" w:firstRowLastColumn="0" w:lastRowFirstColumn="0" w:lastRowLastColumn="0"/>
            <w:tcW w:w="1164" w:type="dxa"/>
          </w:tcPr>
          <w:p w14:paraId="2E67EE33" w14:textId="671827AD" w:rsidR="00716512" w:rsidRPr="00716512" w:rsidRDefault="00716512" w:rsidP="00923467">
            <w:pPr>
              <w:rPr>
                <w:b w:val="0"/>
                <w:bCs w:val="0"/>
                <w:sz w:val="18"/>
                <w:szCs w:val="18"/>
              </w:rPr>
            </w:pPr>
            <w:r w:rsidRPr="00716512">
              <w:rPr>
                <w:b w:val="0"/>
                <w:bCs w:val="0"/>
                <w:sz w:val="18"/>
                <w:szCs w:val="18"/>
              </w:rPr>
              <w:t>December</w:t>
            </w:r>
          </w:p>
        </w:tc>
        <w:tc>
          <w:tcPr>
            <w:tcW w:w="845" w:type="dxa"/>
          </w:tcPr>
          <w:p w14:paraId="6429F138" w14:textId="1B6B0734"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46</w:t>
            </w:r>
          </w:p>
        </w:tc>
        <w:tc>
          <w:tcPr>
            <w:tcW w:w="1123" w:type="dxa"/>
          </w:tcPr>
          <w:p w14:paraId="3817D141" w14:textId="72A5B53F"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194</w:t>
            </w:r>
          </w:p>
        </w:tc>
        <w:tc>
          <w:tcPr>
            <w:tcW w:w="832" w:type="dxa"/>
          </w:tcPr>
          <w:p w14:paraId="04C37146" w14:textId="2A71E848"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40</w:t>
            </w:r>
          </w:p>
        </w:tc>
        <w:tc>
          <w:tcPr>
            <w:tcW w:w="851" w:type="dxa"/>
          </w:tcPr>
          <w:p w14:paraId="58DD48EB" w14:textId="3450ACA5"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340</w:t>
            </w:r>
          </w:p>
        </w:tc>
        <w:tc>
          <w:tcPr>
            <w:tcW w:w="850" w:type="dxa"/>
          </w:tcPr>
          <w:p w14:paraId="3C434BF1" w14:textId="012186E7"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41</w:t>
            </w:r>
          </w:p>
        </w:tc>
        <w:tc>
          <w:tcPr>
            <w:tcW w:w="851" w:type="dxa"/>
          </w:tcPr>
          <w:p w14:paraId="7CC53DF4" w14:textId="1E369B81"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sz w:val="18"/>
                <w:szCs w:val="18"/>
              </w:rPr>
            </w:pPr>
            <w:r w:rsidRPr="00716512">
              <w:rPr>
                <w:sz w:val="18"/>
                <w:szCs w:val="18"/>
              </w:rPr>
              <w:t>87</w:t>
            </w:r>
          </w:p>
        </w:tc>
        <w:tc>
          <w:tcPr>
            <w:tcW w:w="850" w:type="dxa"/>
          </w:tcPr>
          <w:p w14:paraId="35E6BEF0" w14:textId="73873A82" w:rsidR="00716512" w:rsidRPr="00716512" w:rsidRDefault="00716512"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716512">
              <w:rPr>
                <w:b/>
                <w:bCs/>
                <w:sz w:val="18"/>
                <w:szCs w:val="18"/>
              </w:rPr>
              <w:t>748</w:t>
            </w:r>
          </w:p>
        </w:tc>
      </w:tr>
      <w:tr w:rsidR="00716512" w14:paraId="296C0BCA" w14:textId="77777777" w:rsidTr="0071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dxa"/>
          </w:tcPr>
          <w:p w14:paraId="2DDAA1F3" w14:textId="4490B20A" w:rsidR="00716512" w:rsidRPr="00716512" w:rsidRDefault="00716512" w:rsidP="00716512">
            <w:pPr>
              <w:rPr>
                <w:sz w:val="18"/>
                <w:szCs w:val="18"/>
              </w:rPr>
            </w:pPr>
            <w:r w:rsidRPr="00716512">
              <w:rPr>
                <w:sz w:val="18"/>
                <w:szCs w:val="18"/>
              </w:rPr>
              <w:t>Total</w:t>
            </w:r>
          </w:p>
        </w:tc>
        <w:tc>
          <w:tcPr>
            <w:tcW w:w="845" w:type="dxa"/>
          </w:tcPr>
          <w:p w14:paraId="3783BC52" w14:textId="5EC7A697" w:rsidR="00716512" w:rsidRPr="00716512" w:rsidRDefault="00716512" w:rsidP="00716512">
            <w:pPr>
              <w:cnfStyle w:val="000000100000" w:firstRow="0" w:lastRow="0" w:firstColumn="0" w:lastColumn="0" w:oddVBand="0" w:evenVBand="0" w:oddHBand="1" w:evenHBand="0" w:firstRowFirstColumn="0" w:firstRowLastColumn="0" w:lastRowFirstColumn="0" w:lastRowLastColumn="0"/>
              <w:rPr>
                <w:b/>
                <w:bCs/>
                <w:sz w:val="18"/>
                <w:szCs w:val="18"/>
              </w:rPr>
            </w:pPr>
            <w:r w:rsidRPr="00716512">
              <w:rPr>
                <w:b/>
                <w:bCs/>
                <w:sz w:val="18"/>
                <w:szCs w:val="18"/>
              </w:rPr>
              <w:t>338</w:t>
            </w:r>
          </w:p>
        </w:tc>
        <w:tc>
          <w:tcPr>
            <w:tcW w:w="1123" w:type="dxa"/>
          </w:tcPr>
          <w:p w14:paraId="53DC75D9" w14:textId="2C4EE41F" w:rsidR="00716512" w:rsidRPr="00716512" w:rsidRDefault="00716512" w:rsidP="00716512">
            <w:pPr>
              <w:cnfStyle w:val="000000100000" w:firstRow="0" w:lastRow="0" w:firstColumn="0" w:lastColumn="0" w:oddVBand="0" w:evenVBand="0" w:oddHBand="1" w:evenHBand="0" w:firstRowFirstColumn="0" w:firstRowLastColumn="0" w:lastRowFirstColumn="0" w:lastRowLastColumn="0"/>
              <w:rPr>
                <w:b/>
                <w:bCs/>
                <w:sz w:val="18"/>
                <w:szCs w:val="18"/>
              </w:rPr>
            </w:pPr>
            <w:r w:rsidRPr="00716512">
              <w:rPr>
                <w:b/>
                <w:bCs/>
                <w:sz w:val="18"/>
                <w:szCs w:val="18"/>
              </w:rPr>
              <w:t>2,097</w:t>
            </w:r>
          </w:p>
        </w:tc>
        <w:tc>
          <w:tcPr>
            <w:tcW w:w="832" w:type="dxa"/>
          </w:tcPr>
          <w:p w14:paraId="4BA1DA6D" w14:textId="69923700" w:rsidR="00716512" w:rsidRPr="00716512" w:rsidRDefault="00716512" w:rsidP="00716512">
            <w:pPr>
              <w:cnfStyle w:val="000000100000" w:firstRow="0" w:lastRow="0" w:firstColumn="0" w:lastColumn="0" w:oddVBand="0" w:evenVBand="0" w:oddHBand="1" w:evenHBand="0" w:firstRowFirstColumn="0" w:firstRowLastColumn="0" w:lastRowFirstColumn="0" w:lastRowLastColumn="0"/>
              <w:rPr>
                <w:b/>
                <w:bCs/>
                <w:sz w:val="18"/>
                <w:szCs w:val="18"/>
              </w:rPr>
            </w:pPr>
            <w:r w:rsidRPr="00716512">
              <w:rPr>
                <w:b/>
                <w:bCs/>
                <w:sz w:val="18"/>
                <w:szCs w:val="18"/>
              </w:rPr>
              <w:t>876</w:t>
            </w:r>
          </w:p>
        </w:tc>
        <w:tc>
          <w:tcPr>
            <w:tcW w:w="851" w:type="dxa"/>
          </w:tcPr>
          <w:p w14:paraId="1B456436" w14:textId="2954EE9E" w:rsidR="00716512" w:rsidRPr="00716512" w:rsidRDefault="00716512" w:rsidP="00716512">
            <w:pPr>
              <w:cnfStyle w:val="000000100000" w:firstRow="0" w:lastRow="0" w:firstColumn="0" w:lastColumn="0" w:oddVBand="0" w:evenVBand="0" w:oddHBand="1" w:evenHBand="0" w:firstRowFirstColumn="0" w:firstRowLastColumn="0" w:lastRowFirstColumn="0" w:lastRowLastColumn="0"/>
              <w:rPr>
                <w:b/>
                <w:bCs/>
                <w:sz w:val="18"/>
                <w:szCs w:val="18"/>
              </w:rPr>
            </w:pPr>
            <w:r w:rsidRPr="00716512">
              <w:rPr>
                <w:b/>
                <w:bCs/>
                <w:sz w:val="18"/>
                <w:szCs w:val="18"/>
              </w:rPr>
              <w:t>2,957</w:t>
            </w:r>
          </w:p>
        </w:tc>
        <w:tc>
          <w:tcPr>
            <w:tcW w:w="850" w:type="dxa"/>
          </w:tcPr>
          <w:p w14:paraId="50223293" w14:textId="3A52E14A" w:rsidR="00716512" w:rsidRPr="00716512" w:rsidRDefault="00716512" w:rsidP="00716512">
            <w:pPr>
              <w:cnfStyle w:val="000000100000" w:firstRow="0" w:lastRow="0" w:firstColumn="0" w:lastColumn="0" w:oddVBand="0" w:evenVBand="0" w:oddHBand="1" w:evenHBand="0" w:firstRowFirstColumn="0" w:firstRowLastColumn="0" w:lastRowFirstColumn="0" w:lastRowLastColumn="0"/>
              <w:rPr>
                <w:b/>
                <w:bCs/>
                <w:sz w:val="18"/>
                <w:szCs w:val="18"/>
              </w:rPr>
            </w:pPr>
            <w:r w:rsidRPr="00716512">
              <w:rPr>
                <w:b/>
                <w:bCs/>
                <w:sz w:val="18"/>
                <w:szCs w:val="18"/>
              </w:rPr>
              <w:t>724</w:t>
            </w:r>
          </w:p>
        </w:tc>
        <w:tc>
          <w:tcPr>
            <w:tcW w:w="851" w:type="dxa"/>
          </w:tcPr>
          <w:p w14:paraId="4AFB0BC4" w14:textId="1899AF13" w:rsidR="00716512" w:rsidRPr="00716512" w:rsidRDefault="00716512" w:rsidP="00716512">
            <w:pPr>
              <w:cnfStyle w:val="000000100000" w:firstRow="0" w:lastRow="0" w:firstColumn="0" w:lastColumn="0" w:oddVBand="0" w:evenVBand="0" w:oddHBand="1" w:evenHBand="0" w:firstRowFirstColumn="0" w:firstRowLastColumn="0" w:lastRowFirstColumn="0" w:lastRowLastColumn="0"/>
              <w:rPr>
                <w:b/>
                <w:bCs/>
                <w:sz w:val="18"/>
                <w:szCs w:val="18"/>
              </w:rPr>
            </w:pPr>
            <w:r w:rsidRPr="00716512">
              <w:rPr>
                <w:b/>
                <w:bCs/>
                <w:sz w:val="18"/>
                <w:szCs w:val="18"/>
              </w:rPr>
              <w:t>1,795</w:t>
            </w:r>
          </w:p>
        </w:tc>
        <w:tc>
          <w:tcPr>
            <w:tcW w:w="850" w:type="dxa"/>
          </w:tcPr>
          <w:p w14:paraId="1BFF3A4B" w14:textId="5ADE218D" w:rsidR="00716512" w:rsidRPr="00716512" w:rsidRDefault="00716512" w:rsidP="00716512">
            <w:pPr>
              <w:keepNext/>
              <w:cnfStyle w:val="000000100000" w:firstRow="0" w:lastRow="0" w:firstColumn="0" w:lastColumn="0" w:oddVBand="0" w:evenVBand="0" w:oddHBand="1" w:evenHBand="0" w:firstRowFirstColumn="0" w:firstRowLastColumn="0" w:lastRowFirstColumn="0" w:lastRowLastColumn="0"/>
              <w:rPr>
                <w:b/>
                <w:bCs/>
                <w:sz w:val="18"/>
                <w:szCs w:val="18"/>
              </w:rPr>
            </w:pPr>
            <w:r w:rsidRPr="00716512">
              <w:rPr>
                <w:b/>
                <w:bCs/>
                <w:sz w:val="18"/>
                <w:szCs w:val="18"/>
              </w:rPr>
              <w:t>8,787</w:t>
            </w:r>
          </w:p>
        </w:tc>
      </w:tr>
    </w:tbl>
    <w:p w14:paraId="6CAFDA02" w14:textId="453451D0" w:rsidR="00716512" w:rsidRPr="00923467" w:rsidRDefault="00716512" w:rsidP="00716512">
      <w:pPr>
        <w:pStyle w:val="Caption"/>
      </w:pPr>
      <w:bookmarkStart w:id="28" w:name="_Toc137831137"/>
      <w:r>
        <w:t xml:space="preserve">Table </w:t>
      </w:r>
      <w:r>
        <w:fldChar w:fldCharType="begin"/>
      </w:r>
      <w:r>
        <w:instrText xml:space="preserve"> SEQ Table \* ARABIC </w:instrText>
      </w:r>
      <w:r>
        <w:fldChar w:fldCharType="separate"/>
      </w:r>
      <w:r w:rsidR="00E12E6B">
        <w:rPr>
          <w:noProof/>
        </w:rPr>
        <w:t>8</w:t>
      </w:r>
      <w:r>
        <w:fldChar w:fldCharType="end"/>
      </w:r>
      <w:r>
        <w:t xml:space="preserve">: </w:t>
      </w:r>
      <w:r w:rsidRPr="002F3B0B">
        <w:t>Count of Duty Waiver Applications Received and Processed by Month (2022)</w:t>
      </w:r>
      <w:bookmarkEnd w:id="28"/>
    </w:p>
    <w:p w14:paraId="6B4A6FB3" w14:textId="77777777" w:rsidR="00BB2515" w:rsidRDefault="00BB2515">
      <w:pPr>
        <w:spacing w:after="160" w:line="259" w:lineRule="auto"/>
        <w:jc w:val="left"/>
        <w:rPr>
          <w:b/>
          <w:bCs/>
          <w:sz w:val="36"/>
          <w:szCs w:val="36"/>
        </w:rPr>
      </w:pPr>
      <w:r>
        <w:br w:type="page"/>
      </w:r>
    </w:p>
    <w:p w14:paraId="04E31D9C" w14:textId="428E61CB" w:rsidR="00BF069E" w:rsidRPr="00923467" w:rsidRDefault="0059271D" w:rsidP="004248EC">
      <w:pPr>
        <w:pStyle w:val="Heading1"/>
      </w:pPr>
      <w:bookmarkStart w:id="29" w:name="_Toc137831071"/>
      <w:r w:rsidRPr="00923467">
        <w:t>CHAPTER THREE: KEY NON-REVENUE ACHIEVEMENTS</w:t>
      </w:r>
      <w:bookmarkEnd w:id="29"/>
    </w:p>
    <w:p w14:paraId="0455C46E" w14:textId="73A3B139" w:rsidR="00C15A08" w:rsidRPr="00923467" w:rsidRDefault="00C15A08" w:rsidP="00923467">
      <w:pPr>
        <w:pStyle w:val="Heading2"/>
      </w:pPr>
      <w:bookmarkStart w:id="30" w:name="_Toc137831072"/>
      <w:r w:rsidRPr="00923467">
        <w:t>TAXPAYER SENSITISATION AND EDUCATION</w:t>
      </w:r>
      <w:bookmarkEnd w:id="30"/>
    </w:p>
    <w:p w14:paraId="304F8503" w14:textId="371CA63C" w:rsidR="00C15A08" w:rsidRDefault="00503A48" w:rsidP="00923467">
      <w:r w:rsidRPr="00923467">
        <w:t xml:space="preserve">The Public Affairs and Tax Education Unit (PATE) is a </w:t>
      </w:r>
      <w:r w:rsidR="0077181A" w:rsidRPr="00923467">
        <w:t>U</w:t>
      </w:r>
      <w:r w:rsidRPr="00923467">
        <w:t xml:space="preserve">nit under the Legal and Corporate </w:t>
      </w:r>
      <w:r w:rsidR="00810128" w:rsidRPr="00923467">
        <w:t>Services</w:t>
      </w:r>
      <w:r w:rsidRPr="00923467">
        <w:t xml:space="preserve"> Department that is responsible for the education of taxpayers, stakeholders and the </w:t>
      </w:r>
      <w:proofErr w:type="gramStart"/>
      <w:r w:rsidRPr="00923467">
        <w:t>general public</w:t>
      </w:r>
      <w:proofErr w:type="gramEnd"/>
      <w:r w:rsidRPr="00923467">
        <w:t xml:space="preserve"> on tax issues and the activities of the Authority. The Unit, in collaboration with other departments and </w:t>
      </w:r>
      <w:r w:rsidR="006E49C0" w:rsidRPr="00923467">
        <w:t>stakeholders,</w:t>
      </w:r>
      <w:r w:rsidRPr="00923467">
        <w:t xml:space="preserve"> ensures </w:t>
      </w:r>
      <w:r w:rsidR="00A543E4" w:rsidRPr="00923467">
        <w:t>the provision</w:t>
      </w:r>
      <w:r w:rsidRPr="00923467">
        <w:t xml:space="preserve"> of reliable, timely and uninterrupted flow of information</w:t>
      </w:r>
      <w:r w:rsidR="00373C6D" w:rsidRPr="00923467">
        <w:t xml:space="preserve"> with the aim of minimising noncompliance and subsequently enhancing domestic revenue collection</w:t>
      </w:r>
      <w:r w:rsidRPr="00923467">
        <w:t>.</w:t>
      </w:r>
      <w:r w:rsidR="00373C6D" w:rsidRPr="00923467">
        <w:t xml:space="preserve"> </w:t>
      </w:r>
      <w:r w:rsidRPr="00923467">
        <w:t xml:space="preserve">A summary of the key </w:t>
      </w:r>
      <w:r w:rsidR="00D26408" w:rsidRPr="00923467">
        <w:t>activities</w:t>
      </w:r>
      <w:r w:rsidRPr="00923467">
        <w:t xml:space="preserve"> carried out by </w:t>
      </w:r>
      <w:r w:rsidR="00D26408" w:rsidRPr="00923467">
        <w:t xml:space="preserve">the </w:t>
      </w:r>
      <w:r w:rsidRPr="00923467">
        <w:t>PATE Unit during the period under review are provided below:</w:t>
      </w:r>
    </w:p>
    <w:p w14:paraId="7394AA98" w14:textId="77777777" w:rsidR="004248EC" w:rsidRPr="004248EC" w:rsidRDefault="004248EC" w:rsidP="00923467">
      <w:pPr>
        <w:rPr>
          <w:i/>
          <w:iCs/>
        </w:rPr>
      </w:pPr>
    </w:p>
    <w:p w14:paraId="5C618F97" w14:textId="41422754" w:rsidR="00CE69BB" w:rsidRDefault="00692BCB" w:rsidP="00923467">
      <w:r w:rsidRPr="004248EC">
        <w:rPr>
          <w:b/>
          <w:bCs/>
          <w:i/>
          <w:iCs/>
        </w:rPr>
        <w:t>Commissioner General’s Provincial Media Tour</w:t>
      </w:r>
      <w:r w:rsidR="004248EC" w:rsidRPr="004248EC">
        <w:rPr>
          <w:b/>
          <w:bCs/>
          <w:i/>
          <w:iCs/>
        </w:rPr>
        <w:t>:</w:t>
      </w:r>
      <w:r w:rsidRPr="00923467">
        <w:t xml:space="preserve"> </w:t>
      </w:r>
      <w:r w:rsidR="00CE69BB" w:rsidRPr="00923467">
        <w:t xml:space="preserve">PATE organised provincial media engagements for the Commissioner-General that were hosted across different media institutions in Bo, Kenema and Makeni during </w:t>
      </w:r>
      <w:r w:rsidR="00CA41A5" w:rsidRPr="00923467">
        <w:t>which</w:t>
      </w:r>
      <w:r w:rsidR="00CE69BB" w:rsidRPr="00923467">
        <w:t xml:space="preserve"> the Commissioner General met with </w:t>
      </w:r>
      <w:r w:rsidR="0075123F" w:rsidRPr="00923467">
        <w:t>j</w:t>
      </w:r>
      <w:r w:rsidR="00CE69BB" w:rsidRPr="00923467">
        <w:t xml:space="preserve">ournalists in press conferences, and live radio programmes at selected radio stations. There was </w:t>
      </w:r>
      <w:r w:rsidRPr="00923467">
        <w:t>the need for the Commissioner</w:t>
      </w:r>
      <w:r w:rsidR="00CE69BB" w:rsidRPr="00923467">
        <w:t>-</w:t>
      </w:r>
      <w:r w:rsidRPr="00923467">
        <w:t xml:space="preserve">General to engage </w:t>
      </w:r>
      <w:r w:rsidR="00CE69BB" w:rsidRPr="00923467">
        <w:t>t</w:t>
      </w:r>
      <w:r w:rsidRPr="00923467">
        <w:t xml:space="preserve">axpayers across the </w:t>
      </w:r>
      <w:r w:rsidR="005C1045" w:rsidRPr="00923467">
        <w:t>c</w:t>
      </w:r>
      <w:r w:rsidRPr="00923467">
        <w:t xml:space="preserve">ountry through the Fourth Estate on the gains made by the </w:t>
      </w:r>
      <w:r w:rsidR="00CE69BB" w:rsidRPr="00923467">
        <w:t>Authority,</w:t>
      </w:r>
      <w:r w:rsidRPr="00923467">
        <w:t xml:space="preserve"> </w:t>
      </w:r>
      <w:r w:rsidR="00540E69" w:rsidRPr="00923467">
        <w:t>to</w:t>
      </w:r>
      <w:r w:rsidRPr="00923467">
        <w:t xml:space="preserve"> discuss the focus and direction of the institution</w:t>
      </w:r>
      <w:r w:rsidR="00540E69" w:rsidRPr="00923467">
        <w:t>,</w:t>
      </w:r>
      <w:r w:rsidRPr="00923467">
        <w:t xml:space="preserve"> and the reduction </w:t>
      </w:r>
      <w:r w:rsidR="0001145B" w:rsidRPr="00923467">
        <w:t xml:space="preserve">in Customs duties </w:t>
      </w:r>
      <w:r w:rsidRPr="00923467">
        <w:t xml:space="preserve">made in the 2022 Finance Act. </w:t>
      </w:r>
    </w:p>
    <w:p w14:paraId="6A0E7221" w14:textId="77777777" w:rsidR="004248EC" w:rsidRPr="00923467" w:rsidRDefault="004248EC" w:rsidP="00923467"/>
    <w:p w14:paraId="13B3E744" w14:textId="4B2507D8" w:rsidR="004248EC" w:rsidRDefault="00692BCB" w:rsidP="00923467">
      <w:r w:rsidRPr="004248EC">
        <w:rPr>
          <w:b/>
          <w:bCs/>
          <w:i/>
          <w:iCs/>
        </w:rPr>
        <w:t>Electronic Cash Register</w:t>
      </w:r>
      <w:r w:rsidR="0070037B" w:rsidRPr="004248EC">
        <w:rPr>
          <w:b/>
          <w:bCs/>
          <w:i/>
          <w:iCs/>
        </w:rPr>
        <w:t xml:space="preserve"> (ECR)</w:t>
      </w:r>
      <w:r w:rsidRPr="004248EC">
        <w:rPr>
          <w:b/>
          <w:bCs/>
          <w:i/>
          <w:iCs/>
        </w:rPr>
        <w:t xml:space="preserve"> Crisis Management Dialogue</w:t>
      </w:r>
      <w:r w:rsidR="004248EC" w:rsidRPr="004248EC">
        <w:rPr>
          <w:b/>
          <w:bCs/>
          <w:i/>
          <w:iCs/>
        </w:rPr>
        <w:t>:</w:t>
      </w:r>
      <w:r w:rsidRPr="00923467">
        <w:t xml:space="preserve"> </w:t>
      </w:r>
      <w:r w:rsidR="004248EC">
        <w:t>D</w:t>
      </w:r>
      <w:r w:rsidRPr="00923467">
        <w:t xml:space="preserve">ue to the unwarranted misconceptions which emanated from the installation and usage of the ECR and the reduction of the </w:t>
      </w:r>
      <w:r w:rsidR="00B463B5" w:rsidRPr="00923467">
        <w:t>Goods and Services Tax (</w:t>
      </w:r>
      <w:r w:rsidRPr="00923467">
        <w:t>GST</w:t>
      </w:r>
      <w:r w:rsidR="00B463B5" w:rsidRPr="00923467">
        <w:t>)</w:t>
      </w:r>
      <w:r w:rsidRPr="00923467">
        <w:t xml:space="preserve"> threshold from Le 350 million to 100 million as stated in the 2022 Finance Act, </w:t>
      </w:r>
      <w:r w:rsidR="0070037B" w:rsidRPr="00923467">
        <w:t>the Authority</w:t>
      </w:r>
      <w:r w:rsidRPr="00923467">
        <w:t xml:space="preserve"> developed and implemented Crisis Management Communication Strategies to calm the resentful actions by </w:t>
      </w:r>
      <w:r w:rsidR="00DF064B" w:rsidRPr="00923467">
        <w:t>some</w:t>
      </w:r>
      <w:r w:rsidRPr="00923467">
        <w:t xml:space="preserve"> traders. In February, </w:t>
      </w:r>
      <w:r w:rsidR="0070037B" w:rsidRPr="00923467">
        <w:t>the NRA</w:t>
      </w:r>
      <w:r w:rsidRPr="00923467">
        <w:t xml:space="preserve"> held closed door meetings with representatives of </w:t>
      </w:r>
      <w:r w:rsidR="00C23AB5" w:rsidRPr="00923467">
        <w:t>T</w:t>
      </w:r>
      <w:r w:rsidRPr="00923467">
        <w:t xml:space="preserve">rade </w:t>
      </w:r>
      <w:r w:rsidR="00C23AB5" w:rsidRPr="00923467">
        <w:t>U</w:t>
      </w:r>
      <w:r w:rsidRPr="00923467">
        <w:t xml:space="preserve">nions and </w:t>
      </w:r>
      <w:r w:rsidR="00E755DF" w:rsidRPr="00923467">
        <w:t>Civil Society Organizations (CSO</w:t>
      </w:r>
      <w:r w:rsidR="00ED3092" w:rsidRPr="00923467">
        <w:t>s</w:t>
      </w:r>
      <w:r w:rsidR="00E755DF" w:rsidRPr="00923467">
        <w:t xml:space="preserve">) </w:t>
      </w:r>
      <w:r w:rsidRPr="00923467">
        <w:t xml:space="preserve">to support the position of </w:t>
      </w:r>
      <w:r w:rsidR="0070037B" w:rsidRPr="00923467">
        <w:t xml:space="preserve">the </w:t>
      </w:r>
      <w:r w:rsidRPr="00923467">
        <w:t xml:space="preserve">NRA. The Crisis Management Communication was climaxed by a </w:t>
      </w:r>
      <w:r w:rsidR="0075123F" w:rsidRPr="00923467">
        <w:t>p</w:t>
      </w:r>
      <w:r w:rsidRPr="00923467">
        <w:t xml:space="preserve">ress </w:t>
      </w:r>
      <w:r w:rsidR="0075123F" w:rsidRPr="00923467">
        <w:t>c</w:t>
      </w:r>
      <w:r w:rsidRPr="00923467">
        <w:t xml:space="preserve">onference with </w:t>
      </w:r>
      <w:r w:rsidR="0075123F" w:rsidRPr="00923467">
        <w:t>j</w:t>
      </w:r>
      <w:r w:rsidRPr="00923467">
        <w:t>ournalists and CSOs.</w:t>
      </w:r>
    </w:p>
    <w:p w14:paraId="441987EB" w14:textId="473D3F58" w:rsidR="00692BCB" w:rsidRPr="00923467" w:rsidRDefault="00692BCB" w:rsidP="00923467">
      <w:r w:rsidRPr="00923467">
        <w:t xml:space="preserve">  </w:t>
      </w:r>
    </w:p>
    <w:p w14:paraId="1A6A9B9D" w14:textId="40F567DF" w:rsidR="00692BCB" w:rsidRDefault="00692BCB" w:rsidP="00923467">
      <w:r w:rsidRPr="004248EC">
        <w:rPr>
          <w:b/>
          <w:bCs/>
          <w:i/>
          <w:iCs/>
        </w:rPr>
        <w:t xml:space="preserve">Street Publicity </w:t>
      </w:r>
      <w:r w:rsidR="008E5D21" w:rsidRPr="004248EC">
        <w:rPr>
          <w:b/>
          <w:bCs/>
          <w:i/>
          <w:iCs/>
        </w:rPr>
        <w:t xml:space="preserve">Activity Using </w:t>
      </w:r>
      <w:r w:rsidRPr="004248EC">
        <w:rPr>
          <w:b/>
          <w:bCs/>
          <w:i/>
          <w:iCs/>
        </w:rPr>
        <w:t>Mobile Bluetooth Speakers</w:t>
      </w:r>
      <w:r w:rsidR="004248EC" w:rsidRPr="004248EC">
        <w:rPr>
          <w:b/>
          <w:bCs/>
          <w:i/>
          <w:iCs/>
        </w:rPr>
        <w:t>:</w:t>
      </w:r>
      <w:r w:rsidRPr="004248EC">
        <w:rPr>
          <w:i/>
          <w:iCs/>
        </w:rPr>
        <w:t xml:space="preserve"> </w:t>
      </w:r>
      <w:r w:rsidR="004248EC">
        <w:t>T</w:t>
      </w:r>
      <w:r w:rsidR="00BD2AAD" w:rsidRPr="00923467">
        <w:t>his method was used</w:t>
      </w:r>
      <w:r w:rsidR="007846C2" w:rsidRPr="00923467">
        <w:t xml:space="preserve"> to ensure that taxpayers’ education messages reach </w:t>
      </w:r>
      <w:r w:rsidR="00C03226" w:rsidRPr="00923467">
        <w:t>the people at community level in the district headquarter towns of Bo, Kenema and Makeni</w:t>
      </w:r>
      <w:r w:rsidR="007D4B53" w:rsidRPr="00923467">
        <w:t>. I</w:t>
      </w:r>
      <w:r w:rsidR="004D143E" w:rsidRPr="00923467">
        <w:t xml:space="preserve">n each town, </w:t>
      </w:r>
      <w:r w:rsidR="00C03226" w:rsidRPr="00923467">
        <w:t>the Unit engaged five</w:t>
      </w:r>
      <w:r w:rsidR="007D4B53" w:rsidRPr="00923467">
        <w:t xml:space="preserve"> (5)</w:t>
      </w:r>
      <w:r w:rsidR="00C03226" w:rsidRPr="00923467">
        <w:t xml:space="preserve"> individuals carrying Bluetooth speakers </w:t>
      </w:r>
      <w:r w:rsidR="004D143E" w:rsidRPr="00923467">
        <w:t xml:space="preserve">on the streets </w:t>
      </w:r>
      <w:r w:rsidR="007D4B53" w:rsidRPr="00923467">
        <w:t>and</w:t>
      </w:r>
      <w:r w:rsidR="00C03226" w:rsidRPr="00923467">
        <w:t xml:space="preserve"> playing different taxpayers’ sensitisation messages/ jingles. </w:t>
      </w:r>
      <w:r w:rsidR="007D4B53" w:rsidRPr="00923467">
        <w:t>A similar approach was implemented in Freetown with a total of fifteen (15) individuals who were contracted to undertake this task. T</w:t>
      </w:r>
      <w:r w:rsidRPr="00923467">
        <w:t xml:space="preserve">his strategy has proven to be one of the most effective approaches in disseminating NRA’s taxpayer education messages especially on </w:t>
      </w:r>
      <w:r w:rsidR="007D4B53" w:rsidRPr="00923467">
        <w:t>d</w:t>
      </w:r>
      <w:r w:rsidRPr="00923467">
        <w:t xml:space="preserve">ue </w:t>
      </w:r>
      <w:r w:rsidR="007D4B53" w:rsidRPr="00923467">
        <w:t>d</w:t>
      </w:r>
      <w:r w:rsidRPr="00923467">
        <w:t xml:space="preserve">ates with regards </w:t>
      </w:r>
      <w:r w:rsidR="007D4B53" w:rsidRPr="00923467">
        <w:t>to Pay-As-You-Earn (</w:t>
      </w:r>
      <w:r w:rsidRPr="00923467">
        <w:t>PAYE</w:t>
      </w:r>
      <w:r w:rsidR="007D4B53" w:rsidRPr="00923467">
        <w:t>)</w:t>
      </w:r>
      <w:r w:rsidRPr="00923467">
        <w:t xml:space="preserve">, Withholding Tax and GST. </w:t>
      </w:r>
    </w:p>
    <w:p w14:paraId="6D2C9FA1" w14:textId="77777777" w:rsidR="004248EC" w:rsidRPr="00923467" w:rsidRDefault="004248EC" w:rsidP="00923467"/>
    <w:p w14:paraId="6F55D4C4" w14:textId="3B9698E1" w:rsidR="00692BCB" w:rsidRDefault="00692BCB" w:rsidP="00923467">
      <w:r w:rsidRPr="004248EC">
        <w:rPr>
          <w:b/>
          <w:bCs/>
          <w:i/>
          <w:iCs/>
        </w:rPr>
        <w:t>Weekly Radio and Television Programs</w:t>
      </w:r>
      <w:r w:rsidR="004248EC" w:rsidRPr="004248EC">
        <w:rPr>
          <w:b/>
          <w:bCs/>
          <w:i/>
          <w:iCs/>
        </w:rPr>
        <w:t>:</w:t>
      </w:r>
      <w:r w:rsidR="004248EC">
        <w:rPr>
          <w:b/>
          <w:bCs/>
        </w:rPr>
        <w:t xml:space="preserve"> </w:t>
      </w:r>
      <w:r w:rsidR="004248EC">
        <w:t>T</w:t>
      </w:r>
      <w:r w:rsidR="005B4C25" w:rsidRPr="00923467">
        <w:t xml:space="preserve">he Unit organised several tax education programmes on both radio and television in which senior staff of the Authority discussed several issues relating to tax administration reforms, and other </w:t>
      </w:r>
      <w:r w:rsidR="00B11881" w:rsidRPr="00923467">
        <w:t>activities relating to the Authority. A</w:t>
      </w:r>
      <w:r w:rsidR="00C37153" w:rsidRPr="00923467">
        <w:t xml:space="preserve"> total of s</w:t>
      </w:r>
      <w:r w:rsidRPr="00923467">
        <w:t xml:space="preserve">eventeen (17) </w:t>
      </w:r>
      <w:r w:rsidR="00C37153" w:rsidRPr="00923467">
        <w:t>t</w:t>
      </w:r>
      <w:r w:rsidRPr="00923467">
        <w:t>elevision program</w:t>
      </w:r>
      <w:r w:rsidR="00C37153" w:rsidRPr="00923467">
        <w:t>me</w:t>
      </w:r>
      <w:r w:rsidRPr="00923467">
        <w:t>s on African Young Voice</w:t>
      </w:r>
      <w:r w:rsidR="00C37153" w:rsidRPr="00923467">
        <w:t>s</w:t>
      </w:r>
      <w:r w:rsidRPr="00923467">
        <w:t xml:space="preserve"> (AYV)</w:t>
      </w:r>
      <w:r w:rsidR="00C37153" w:rsidRPr="00923467">
        <w:t>,</w:t>
      </w:r>
      <w:r w:rsidRPr="00923467">
        <w:t xml:space="preserve"> and </w:t>
      </w:r>
      <w:r w:rsidR="00C37153" w:rsidRPr="00923467">
        <w:t xml:space="preserve">the </w:t>
      </w:r>
      <w:r w:rsidRPr="00923467">
        <w:t xml:space="preserve">Sierra Leone Broadcasting </w:t>
      </w:r>
      <w:r w:rsidR="00C37153" w:rsidRPr="00923467">
        <w:t xml:space="preserve">Corporation </w:t>
      </w:r>
      <w:r w:rsidRPr="00923467">
        <w:t>(SLBC)</w:t>
      </w:r>
      <w:r w:rsidR="00A916BB" w:rsidRPr="00923467">
        <w:t xml:space="preserve"> were aired</w:t>
      </w:r>
      <w:r w:rsidRPr="00923467">
        <w:t xml:space="preserve">. </w:t>
      </w:r>
      <w:r w:rsidR="00C37153" w:rsidRPr="00923467">
        <w:t>Another t</w:t>
      </w:r>
      <w:r w:rsidRPr="00923467">
        <w:t xml:space="preserve">hirteen (13) </w:t>
      </w:r>
      <w:r w:rsidR="00C37153" w:rsidRPr="00923467">
        <w:t>r</w:t>
      </w:r>
      <w:r w:rsidRPr="00923467">
        <w:t>adio program</w:t>
      </w:r>
      <w:r w:rsidR="00C37153" w:rsidRPr="00923467">
        <w:t>me</w:t>
      </w:r>
      <w:r w:rsidRPr="00923467">
        <w:t xml:space="preserve">s </w:t>
      </w:r>
      <w:r w:rsidR="00C37153" w:rsidRPr="00923467">
        <w:t xml:space="preserve">were also aired </w:t>
      </w:r>
      <w:r w:rsidRPr="00923467">
        <w:t>at the Society for Radio Democracy</w:t>
      </w:r>
      <w:r w:rsidR="00C37153" w:rsidRPr="00923467">
        <w:t xml:space="preserve">. </w:t>
      </w:r>
    </w:p>
    <w:p w14:paraId="5717CBCB" w14:textId="77777777" w:rsidR="004248EC" w:rsidRPr="00923467" w:rsidRDefault="004248EC" w:rsidP="00923467"/>
    <w:p w14:paraId="6C75A5BD" w14:textId="50F775E6" w:rsidR="001E22DA" w:rsidRDefault="00692BCB" w:rsidP="00923467">
      <w:r w:rsidRPr="004248EC">
        <w:rPr>
          <w:b/>
          <w:bCs/>
          <w:i/>
          <w:iCs/>
        </w:rPr>
        <w:t>Provincial Installation of Television Screens</w:t>
      </w:r>
      <w:r w:rsidR="004248EC" w:rsidRPr="004248EC">
        <w:rPr>
          <w:b/>
          <w:bCs/>
          <w:i/>
          <w:iCs/>
        </w:rPr>
        <w:t>:</w:t>
      </w:r>
      <w:r w:rsidRPr="004248EC">
        <w:rPr>
          <w:i/>
          <w:iCs/>
        </w:rPr>
        <w:t xml:space="preserve"> </w:t>
      </w:r>
      <w:r w:rsidR="004248EC">
        <w:t>T</w:t>
      </w:r>
      <w:r w:rsidR="001E22DA" w:rsidRPr="00923467">
        <w:t xml:space="preserve">he NRA installed several television screens at NRA outstations in Bo, Makeni and </w:t>
      </w:r>
      <w:proofErr w:type="spellStart"/>
      <w:r w:rsidR="001E22DA" w:rsidRPr="00923467">
        <w:t>Kambia</w:t>
      </w:r>
      <w:proofErr w:type="spellEnd"/>
      <w:r w:rsidR="001E22DA" w:rsidRPr="00923467">
        <w:t xml:space="preserve">. Tax education content </w:t>
      </w:r>
      <w:proofErr w:type="gramStart"/>
      <w:r w:rsidR="001E22DA" w:rsidRPr="00923467">
        <w:t>are</w:t>
      </w:r>
      <w:proofErr w:type="gramEnd"/>
      <w:r w:rsidR="001E22DA" w:rsidRPr="00923467">
        <w:t xml:space="preserve"> show</w:t>
      </w:r>
      <w:r w:rsidR="0075123F" w:rsidRPr="00923467">
        <w:t>n</w:t>
      </w:r>
      <w:r w:rsidR="001E22DA" w:rsidRPr="00923467">
        <w:t xml:space="preserve"> on these screens during office hours in the reception or waiting areas. This idea is borne out of the desire to make taxpayer information more accessible.</w:t>
      </w:r>
    </w:p>
    <w:p w14:paraId="4F16AF9C" w14:textId="77777777" w:rsidR="004248EC" w:rsidRPr="00923467" w:rsidRDefault="004248EC" w:rsidP="00923467"/>
    <w:p w14:paraId="4ACDE2F2" w14:textId="1DB4C2C8" w:rsidR="00692BCB" w:rsidRDefault="00692BCB" w:rsidP="00923467">
      <w:r w:rsidRPr="004248EC">
        <w:rPr>
          <w:b/>
          <w:bCs/>
          <w:i/>
          <w:iCs/>
        </w:rPr>
        <w:t>Provincial Non-Tax Revenue Mobile Payment App And E-Service Stakeholders’ Engagement</w:t>
      </w:r>
      <w:r w:rsidR="004248EC" w:rsidRPr="004248EC">
        <w:rPr>
          <w:b/>
          <w:bCs/>
          <w:i/>
          <w:iCs/>
        </w:rPr>
        <w:t>:</w:t>
      </w:r>
      <w:r w:rsidRPr="00923467">
        <w:t xml:space="preserve"> </w:t>
      </w:r>
      <w:r w:rsidR="00611111" w:rsidRPr="00923467">
        <w:t>PATE Unit, in collaboration with</w:t>
      </w:r>
      <w:r w:rsidRPr="00923467">
        <w:t xml:space="preserve"> the Non-Tax Revenue</w:t>
      </w:r>
      <w:r w:rsidR="00611111" w:rsidRPr="00923467">
        <w:t xml:space="preserve"> (NTR) </w:t>
      </w:r>
      <w:r w:rsidRPr="00923467">
        <w:t xml:space="preserve">Department embarked on </w:t>
      </w:r>
      <w:r w:rsidR="000D7528" w:rsidRPr="00923467">
        <w:t>seven-day provincial stakeholders’ engagements</w:t>
      </w:r>
      <w:r w:rsidRPr="00923467">
        <w:t xml:space="preserve"> in Kono, Makeni, </w:t>
      </w:r>
      <w:proofErr w:type="spellStart"/>
      <w:r w:rsidRPr="00923467">
        <w:t>Portloko</w:t>
      </w:r>
      <w:proofErr w:type="spellEnd"/>
      <w:r w:rsidRPr="00923467">
        <w:t>, Bo</w:t>
      </w:r>
      <w:r w:rsidR="00611111" w:rsidRPr="00923467">
        <w:t>,</w:t>
      </w:r>
      <w:r w:rsidRPr="00923467">
        <w:t xml:space="preserve"> and Kenema.  A team which comprised the Commissioner of NTR</w:t>
      </w:r>
      <w:r w:rsidR="006379C2" w:rsidRPr="00923467">
        <w:t>,</w:t>
      </w:r>
      <w:r w:rsidRPr="00923467">
        <w:t xml:space="preserve"> staff from PATE</w:t>
      </w:r>
      <w:r w:rsidR="006379C2" w:rsidRPr="00923467">
        <w:t>,</w:t>
      </w:r>
      <w:r w:rsidRPr="00923467">
        <w:t xml:space="preserve"> representatives from the Office of the Administrator and Registrar General (OARG), National Civil Registration Authority (NCRA), Law Court (Judiciary of Sierra Leone) and </w:t>
      </w:r>
      <w:r w:rsidR="006379C2" w:rsidRPr="00923467">
        <w:t>the service provider (</w:t>
      </w:r>
      <w:r w:rsidRPr="00923467">
        <w:t>Blue-Ribbon Solution</w:t>
      </w:r>
      <w:r w:rsidR="006379C2" w:rsidRPr="00923467">
        <w:t>)</w:t>
      </w:r>
      <w:r w:rsidRPr="00923467">
        <w:t xml:space="preserve"> </w:t>
      </w:r>
      <w:r w:rsidR="0053760D" w:rsidRPr="00923467">
        <w:t xml:space="preserve">were in the provinces to engage stakeholders through simulcast radio discussion programmes. </w:t>
      </w:r>
      <w:r w:rsidRPr="00923467">
        <w:t>The messages during the</w:t>
      </w:r>
      <w:r w:rsidR="0053760D" w:rsidRPr="00923467">
        <w:t>se</w:t>
      </w:r>
      <w:r w:rsidRPr="00923467">
        <w:t xml:space="preserve"> engagements were focused on the advantages </w:t>
      </w:r>
      <w:r w:rsidR="0053760D" w:rsidRPr="00923467">
        <w:t>of</w:t>
      </w:r>
      <w:r w:rsidRPr="00923467">
        <w:t xml:space="preserve"> us</w:t>
      </w:r>
      <w:r w:rsidR="0053760D" w:rsidRPr="00923467">
        <w:t>ing</w:t>
      </w:r>
      <w:r w:rsidRPr="00923467">
        <w:t xml:space="preserve"> the App.</w:t>
      </w:r>
    </w:p>
    <w:p w14:paraId="42469C7C" w14:textId="77777777" w:rsidR="004248EC" w:rsidRPr="00923467" w:rsidRDefault="004248EC" w:rsidP="00923467"/>
    <w:p w14:paraId="2DDDCFE6" w14:textId="77777777" w:rsidR="004248EC" w:rsidRDefault="00692BCB" w:rsidP="00923467">
      <w:r w:rsidRPr="00923467">
        <w:t xml:space="preserve">Stakeholders’ Engagement with Manufacturers and </w:t>
      </w:r>
      <w:r w:rsidR="00243831" w:rsidRPr="00923467">
        <w:t>Importers</w:t>
      </w:r>
      <w:r w:rsidRPr="00923467">
        <w:t xml:space="preserve"> on the Implementation of the Excise Tax Stamp and Other Fuel Markings</w:t>
      </w:r>
      <w:r w:rsidR="0075123F" w:rsidRPr="00923467">
        <w:t xml:space="preserve"> </w:t>
      </w:r>
      <w:r w:rsidRPr="00923467">
        <w:t xml:space="preserve">- following the signing and parliamentary ratification of the </w:t>
      </w:r>
      <w:r w:rsidR="0065139B" w:rsidRPr="00923467">
        <w:t>T</w:t>
      </w:r>
      <w:r w:rsidRPr="00923467">
        <w:t xml:space="preserve">rack and </w:t>
      </w:r>
      <w:r w:rsidR="0065139B" w:rsidRPr="00923467">
        <w:t>T</w:t>
      </w:r>
      <w:r w:rsidRPr="00923467">
        <w:t xml:space="preserve">race </w:t>
      </w:r>
      <w:r w:rsidR="0065139B" w:rsidRPr="00923467">
        <w:t>A</w:t>
      </w:r>
      <w:r w:rsidRPr="00923467">
        <w:t xml:space="preserve">greement, the National Revenue Authority </w:t>
      </w:r>
      <w:r w:rsidR="00B51DCA" w:rsidRPr="00923467">
        <w:t>i</w:t>
      </w:r>
      <w:r w:rsidRPr="00923467">
        <w:t>s responsib</w:t>
      </w:r>
      <w:r w:rsidR="006724E1" w:rsidRPr="00923467">
        <w:t>le</w:t>
      </w:r>
      <w:r w:rsidRPr="00923467">
        <w:t xml:space="preserve"> </w:t>
      </w:r>
      <w:r w:rsidR="00B51DCA" w:rsidRPr="00923467">
        <w:t>for the</w:t>
      </w:r>
      <w:r w:rsidRPr="00923467">
        <w:t xml:space="preserve"> implementing </w:t>
      </w:r>
      <w:r w:rsidR="00B51DCA" w:rsidRPr="00923467">
        <w:t xml:space="preserve">of the </w:t>
      </w:r>
      <w:r w:rsidRPr="00923467">
        <w:t xml:space="preserve">said </w:t>
      </w:r>
      <w:r w:rsidR="00C008C1" w:rsidRPr="00923467">
        <w:t>A</w:t>
      </w:r>
      <w:r w:rsidR="00B51DCA" w:rsidRPr="00923467">
        <w:t>greement</w:t>
      </w:r>
      <w:r w:rsidRPr="00923467">
        <w:t xml:space="preserve"> which includes the track and trace of excisable goods. </w:t>
      </w:r>
      <w:r w:rsidR="00B51DCA" w:rsidRPr="00923467">
        <w:t xml:space="preserve">The Authority therefore </w:t>
      </w:r>
      <w:r w:rsidRPr="00923467">
        <w:t xml:space="preserve">deemed it </w:t>
      </w:r>
      <w:r w:rsidR="00B51DCA" w:rsidRPr="00923467">
        <w:t>necessary</w:t>
      </w:r>
      <w:r w:rsidRPr="00923467">
        <w:t xml:space="preserve"> to undertake public education on the </w:t>
      </w:r>
      <w:r w:rsidR="00B51DCA" w:rsidRPr="00923467">
        <w:t>agreement</w:t>
      </w:r>
      <w:r w:rsidRPr="00923467">
        <w:t xml:space="preserve"> with manufactures and importers of </w:t>
      </w:r>
      <w:r w:rsidR="005C1045" w:rsidRPr="00923467">
        <w:t xml:space="preserve">excisable </w:t>
      </w:r>
      <w:r w:rsidRPr="00923467">
        <w:t>products.</w:t>
      </w:r>
    </w:p>
    <w:p w14:paraId="712634E2" w14:textId="29EE1664" w:rsidR="00692BCB" w:rsidRPr="00923467" w:rsidRDefault="00692BCB" w:rsidP="00923467">
      <w:r w:rsidRPr="00923467">
        <w:t xml:space="preserve"> </w:t>
      </w:r>
    </w:p>
    <w:p w14:paraId="45E66DFC" w14:textId="3CFE0F26" w:rsidR="00692BCB" w:rsidRPr="00923467" w:rsidRDefault="00B41A3D" w:rsidP="00923467">
      <w:r w:rsidRPr="004248EC">
        <w:rPr>
          <w:b/>
          <w:bCs/>
          <w:i/>
          <w:iCs/>
        </w:rPr>
        <w:t xml:space="preserve">The </w:t>
      </w:r>
      <w:r w:rsidR="00692BCB" w:rsidRPr="004248EC">
        <w:rPr>
          <w:b/>
          <w:bCs/>
          <w:i/>
          <w:iCs/>
        </w:rPr>
        <w:t>2022 National Youth Employment and Entrepreneurship Fair</w:t>
      </w:r>
      <w:r w:rsidR="004248EC" w:rsidRPr="004248EC">
        <w:rPr>
          <w:b/>
          <w:bCs/>
          <w:i/>
          <w:iCs/>
        </w:rPr>
        <w:t>:</w:t>
      </w:r>
      <w:r w:rsidR="00692BCB" w:rsidRPr="004248EC">
        <w:rPr>
          <w:i/>
          <w:iCs/>
        </w:rPr>
        <w:t xml:space="preserve"> </w:t>
      </w:r>
      <w:r w:rsidR="004248EC">
        <w:t>A</w:t>
      </w:r>
      <w:r w:rsidR="00692BCB" w:rsidRPr="00923467">
        <w:t>s part of its functions to keep the public informed about the Authority’s activities, PATE developed a concept and coordinated actions to participate in th</w:t>
      </w:r>
      <w:r w:rsidR="00CC7F98" w:rsidRPr="00923467">
        <w:t>e</w:t>
      </w:r>
      <w:r w:rsidR="00692BCB" w:rsidRPr="00923467">
        <w:t xml:space="preserve"> </w:t>
      </w:r>
      <w:r w:rsidR="00CC7F98" w:rsidRPr="00923467">
        <w:t xml:space="preserve">2022 National Youth Employment and Entrepreneurship Fair </w:t>
      </w:r>
      <w:r w:rsidR="00692BCB" w:rsidRPr="00923467">
        <w:t xml:space="preserve">organized by the Office of </w:t>
      </w:r>
      <w:r w:rsidR="00CC7F98" w:rsidRPr="00923467">
        <w:t xml:space="preserve">the </w:t>
      </w:r>
      <w:r w:rsidR="00692BCB" w:rsidRPr="00923467">
        <w:t>Vice President and the Ministry of Youth</w:t>
      </w:r>
      <w:r w:rsidR="00CC7F98" w:rsidRPr="00923467">
        <w:t xml:space="preserve"> Affairs</w:t>
      </w:r>
      <w:r w:rsidR="00692BCB" w:rsidRPr="00923467">
        <w:t xml:space="preserve">. </w:t>
      </w:r>
      <w:r w:rsidR="00940945" w:rsidRPr="00923467">
        <w:t xml:space="preserve">The NRA participated in this Fair by way of </w:t>
      </w:r>
      <w:r w:rsidR="00692BCB" w:rsidRPr="00923467">
        <w:t>educat</w:t>
      </w:r>
      <w:r w:rsidR="00940945" w:rsidRPr="00923467">
        <w:t>ing</w:t>
      </w:r>
      <w:r w:rsidR="00692BCB" w:rsidRPr="00923467">
        <w:t xml:space="preserve"> young graduates </w:t>
      </w:r>
      <w:r w:rsidR="00940945" w:rsidRPr="00923467">
        <w:t xml:space="preserve">and entrepreneurs </w:t>
      </w:r>
      <w:r w:rsidR="00692BCB" w:rsidRPr="00923467">
        <w:t xml:space="preserve">about the Sierra Leone tax system and their </w:t>
      </w:r>
      <w:r w:rsidR="00E31740" w:rsidRPr="00923467">
        <w:t xml:space="preserve">tax </w:t>
      </w:r>
      <w:r w:rsidR="00692BCB" w:rsidRPr="00923467">
        <w:t>obligations as citizens</w:t>
      </w:r>
      <w:r w:rsidR="00940945" w:rsidRPr="00923467">
        <w:t>.</w:t>
      </w:r>
      <w:r w:rsidR="00692BCB" w:rsidRPr="00923467">
        <w:t xml:space="preserve"> </w:t>
      </w:r>
    </w:p>
    <w:p w14:paraId="19EC9405" w14:textId="337C4719" w:rsidR="00692BCB" w:rsidRDefault="00692BCB" w:rsidP="00923467">
      <w:r w:rsidRPr="004248EC">
        <w:rPr>
          <w:b/>
          <w:bCs/>
          <w:i/>
          <w:iCs/>
        </w:rPr>
        <w:t>The Ministry of Information and Communications Annual Media/CSO Retreat in Kenema</w:t>
      </w:r>
      <w:r w:rsidR="004248EC" w:rsidRPr="004248EC">
        <w:rPr>
          <w:b/>
          <w:bCs/>
          <w:i/>
          <w:iCs/>
        </w:rPr>
        <w:t>:</w:t>
      </w:r>
      <w:r w:rsidRPr="00923467">
        <w:t xml:space="preserve"> </w:t>
      </w:r>
      <w:r w:rsidR="002A0900" w:rsidRPr="00923467">
        <w:t xml:space="preserve">NRA, through the PATE </w:t>
      </w:r>
      <w:r w:rsidR="00070C06" w:rsidRPr="00923467">
        <w:t>U</w:t>
      </w:r>
      <w:r w:rsidR="002A0900" w:rsidRPr="00923467">
        <w:t xml:space="preserve">nit and the </w:t>
      </w:r>
      <w:r w:rsidR="00352EED" w:rsidRPr="00923467">
        <w:t>Monitoring, Research and Planning (</w:t>
      </w:r>
      <w:r w:rsidR="002A0900" w:rsidRPr="00923467">
        <w:t>MRP</w:t>
      </w:r>
      <w:r w:rsidR="00352EED" w:rsidRPr="00923467">
        <w:t>) Department</w:t>
      </w:r>
      <w:r w:rsidR="002A0900" w:rsidRPr="00923467">
        <w:t xml:space="preserve"> participated in the yearly retreat organised by this Ministry. </w:t>
      </w:r>
      <w:r w:rsidRPr="00923467">
        <w:t xml:space="preserve">This platform was </w:t>
      </w:r>
      <w:r w:rsidR="002A0900" w:rsidRPr="00923467">
        <w:t>used</w:t>
      </w:r>
      <w:r w:rsidRPr="00923467">
        <w:t xml:space="preserve"> </w:t>
      </w:r>
      <w:r w:rsidR="005532AA" w:rsidRPr="00923467">
        <w:t>by the Authority to</w:t>
      </w:r>
      <w:r w:rsidRPr="00923467">
        <w:t xml:space="preserve"> updat</w:t>
      </w:r>
      <w:r w:rsidR="005532AA" w:rsidRPr="00923467">
        <w:t>e</w:t>
      </w:r>
      <w:r w:rsidRPr="00923467">
        <w:t xml:space="preserve"> stakeholders about the functions and mandates of the NRA with emphasis on Tax Administration reforms</w:t>
      </w:r>
      <w:r w:rsidR="005532AA" w:rsidRPr="00923467">
        <w:t xml:space="preserve"> undertaken by the NRA</w:t>
      </w:r>
      <w:r w:rsidRPr="00923467">
        <w:t>. Tax education materials were shared during the Retreat.</w:t>
      </w:r>
    </w:p>
    <w:p w14:paraId="6DA8C302" w14:textId="77777777" w:rsidR="004248EC" w:rsidRPr="00923467" w:rsidRDefault="004248EC" w:rsidP="00923467"/>
    <w:p w14:paraId="62389A11" w14:textId="25E053ED" w:rsidR="00692BCB" w:rsidRDefault="00CA4CEE" w:rsidP="00923467">
      <w:r w:rsidRPr="004248EC">
        <w:rPr>
          <w:b/>
          <w:bCs/>
          <w:i/>
          <w:iCs/>
        </w:rPr>
        <w:t>Business Dialogue</w:t>
      </w:r>
      <w:r w:rsidR="004248EC" w:rsidRPr="004248EC">
        <w:rPr>
          <w:b/>
          <w:bCs/>
          <w:i/>
          <w:iCs/>
        </w:rPr>
        <w:t>:</w:t>
      </w:r>
      <w:r w:rsidR="004248EC">
        <w:rPr>
          <w:b/>
          <w:bCs/>
        </w:rPr>
        <w:t xml:space="preserve"> </w:t>
      </w:r>
      <w:r w:rsidR="004248EC">
        <w:t>B</w:t>
      </w:r>
      <w:r w:rsidRPr="00923467">
        <w:t xml:space="preserve">usiness </w:t>
      </w:r>
      <w:r w:rsidR="00F30800" w:rsidRPr="00923467">
        <w:t>d</w:t>
      </w:r>
      <w:r w:rsidRPr="00923467">
        <w:t xml:space="preserve">ialogue </w:t>
      </w:r>
      <w:r w:rsidR="00477108" w:rsidRPr="00923467">
        <w:t>events were organised</w:t>
      </w:r>
      <w:r w:rsidRPr="00923467">
        <w:t xml:space="preserve"> in </w:t>
      </w:r>
      <w:r w:rsidR="00477108" w:rsidRPr="00923467">
        <w:t xml:space="preserve">Bo, Kenema, Makeni and Lungi </w:t>
      </w:r>
      <w:r w:rsidRPr="00923467">
        <w:t xml:space="preserve">for taxpayers </w:t>
      </w:r>
      <w:r w:rsidR="00477108" w:rsidRPr="00923467">
        <w:t>as part of the Authority’s drive to</w:t>
      </w:r>
      <w:r w:rsidRPr="00923467">
        <w:t xml:space="preserve"> improve public sensiti</w:t>
      </w:r>
      <w:r w:rsidR="00F30800" w:rsidRPr="00923467">
        <w:t>s</w:t>
      </w:r>
      <w:r w:rsidRPr="00923467">
        <w:t xml:space="preserve">ation </w:t>
      </w:r>
      <w:r w:rsidR="00477108" w:rsidRPr="00923467">
        <w:t>on</w:t>
      </w:r>
      <w:r w:rsidRPr="00923467">
        <w:t xml:space="preserve"> the reforms </w:t>
      </w:r>
      <w:r w:rsidR="00D14A4D" w:rsidRPr="00923467">
        <w:t xml:space="preserve">implemented by the NRA </w:t>
      </w:r>
      <w:r w:rsidRPr="00923467">
        <w:t xml:space="preserve">and </w:t>
      </w:r>
      <w:r w:rsidR="00BE502D" w:rsidRPr="00923467">
        <w:t xml:space="preserve">the </w:t>
      </w:r>
      <w:r w:rsidRPr="00923467">
        <w:t xml:space="preserve">tax laws. </w:t>
      </w:r>
      <w:r w:rsidR="00F30800" w:rsidRPr="00923467">
        <w:t>This business dialogue</w:t>
      </w:r>
      <w:r w:rsidRPr="00923467">
        <w:t xml:space="preserve"> provide</w:t>
      </w:r>
      <w:r w:rsidR="00BE502D" w:rsidRPr="00923467">
        <w:t>d</w:t>
      </w:r>
      <w:r w:rsidRPr="00923467">
        <w:t xml:space="preserve"> an avenue to interact with taxpayers </w:t>
      </w:r>
      <w:r w:rsidR="00477108" w:rsidRPr="00923467">
        <w:t>and to</w:t>
      </w:r>
      <w:r w:rsidRPr="00923467">
        <w:t xml:space="preserve"> understand their concerns and constraints </w:t>
      </w:r>
      <w:r w:rsidR="00BE502D" w:rsidRPr="00923467">
        <w:t>with</w:t>
      </w:r>
      <w:r w:rsidRPr="00923467">
        <w:t xml:space="preserve"> tax administration processes. </w:t>
      </w:r>
    </w:p>
    <w:p w14:paraId="14EAE879" w14:textId="77777777" w:rsidR="004248EC" w:rsidRPr="00923467" w:rsidRDefault="004248EC" w:rsidP="00923467"/>
    <w:p w14:paraId="699058B2" w14:textId="6AC5BC24" w:rsidR="001C40E4" w:rsidRPr="00923467" w:rsidRDefault="001C40E4" w:rsidP="00923467">
      <w:r w:rsidRPr="004248EC">
        <w:rPr>
          <w:b/>
          <w:bCs/>
          <w:i/>
          <w:iCs/>
        </w:rPr>
        <w:t>Domestic Tax Preparers Scheme (DTPS) Provincial Sensitisation</w:t>
      </w:r>
      <w:r w:rsidR="004248EC" w:rsidRPr="004248EC">
        <w:rPr>
          <w:b/>
          <w:bCs/>
          <w:i/>
          <w:iCs/>
        </w:rPr>
        <w:t>:</w:t>
      </w:r>
      <w:r w:rsidR="004248EC">
        <w:rPr>
          <w:b/>
          <w:bCs/>
        </w:rPr>
        <w:t xml:space="preserve"> </w:t>
      </w:r>
      <w:r w:rsidR="004248EC">
        <w:t>A</w:t>
      </w:r>
      <w:r w:rsidRPr="00923467">
        <w:t xml:space="preserve">fter the </w:t>
      </w:r>
      <w:r w:rsidR="0075123F" w:rsidRPr="00923467">
        <w:t xml:space="preserve">completion </w:t>
      </w:r>
      <w:r w:rsidRPr="00923467">
        <w:t xml:space="preserve">of the DTPS training, PATE and </w:t>
      </w:r>
      <w:r w:rsidR="00B535CD" w:rsidRPr="00923467">
        <w:t>the Domestic Tax Department (</w:t>
      </w:r>
      <w:r w:rsidRPr="00923467">
        <w:t>DTD</w:t>
      </w:r>
      <w:r w:rsidR="00B535CD" w:rsidRPr="00923467">
        <w:t>)</w:t>
      </w:r>
      <w:r w:rsidRPr="00923467">
        <w:t xml:space="preserve"> embarked on taxpayer sensitisation in the provinces on the objectives of the DTPS. The exercise took the form of shop-to-shop sensitisation of business </w:t>
      </w:r>
      <w:proofErr w:type="gramStart"/>
      <w:r w:rsidRPr="00923467">
        <w:t>owners, and</w:t>
      </w:r>
      <w:proofErr w:type="gramEnd"/>
      <w:r w:rsidRPr="00923467">
        <w:t xml:space="preserve"> also provide</w:t>
      </w:r>
      <w:r w:rsidR="0075123F" w:rsidRPr="00923467">
        <w:t>d</w:t>
      </w:r>
      <w:r w:rsidRPr="00923467">
        <w:t xml:space="preserve"> the opportunity for business owners to give their own opinion about the scheme. </w:t>
      </w:r>
    </w:p>
    <w:p w14:paraId="64579633" w14:textId="77777777" w:rsidR="00BB2515" w:rsidRDefault="00BB2515" w:rsidP="00923467"/>
    <w:p w14:paraId="47F7EF04" w14:textId="77777777" w:rsidR="00EA5ACB" w:rsidRPr="00923467" w:rsidRDefault="00EA5ACB" w:rsidP="00923467"/>
    <w:p w14:paraId="0AAC1944" w14:textId="13EA54E1" w:rsidR="00CA4CEE" w:rsidRPr="00923467" w:rsidRDefault="00D21AB4" w:rsidP="00923467">
      <w:pPr>
        <w:pStyle w:val="Heading2"/>
      </w:pPr>
      <w:bookmarkStart w:id="31" w:name="_Toc137831073"/>
      <w:r w:rsidRPr="00923467">
        <w:t>CORPORATE SOCIAL RESPONSIBILIT</w:t>
      </w:r>
      <w:r w:rsidR="005C1045" w:rsidRPr="00923467">
        <w:t>Y</w:t>
      </w:r>
      <w:bookmarkEnd w:id="31"/>
    </w:p>
    <w:p w14:paraId="1F80795E" w14:textId="0823E62E" w:rsidR="003D342D" w:rsidRDefault="00C86118" w:rsidP="00923467">
      <w:r w:rsidRPr="00923467">
        <w:t>Corporate Social Responsibility has been an integral part of the Authority’s activities, and as such create an opportunity for organisations to request for support to their course. H</w:t>
      </w:r>
      <w:r w:rsidR="00D21AB4" w:rsidRPr="00923467">
        <w:t xml:space="preserve">owever, due to the challenges faced </w:t>
      </w:r>
      <w:r w:rsidRPr="00923467">
        <w:t>by the NRA in its drive to maximise revenue collection</w:t>
      </w:r>
      <w:r w:rsidR="00D21AB4" w:rsidRPr="00923467">
        <w:t xml:space="preserve"> in 2022, the Authority decided to prioriti</w:t>
      </w:r>
      <w:r w:rsidR="00D22E68" w:rsidRPr="00923467">
        <w:t>s</w:t>
      </w:r>
      <w:r w:rsidR="00D21AB4" w:rsidRPr="00923467">
        <w:t>e funds to focus on revenue mobili</w:t>
      </w:r>
      <w:r w:rsidR="00D22E68" w:rsidRPr="00923467">
        <w:t>s</w:t>
      </w:r>
      <w:r w:rsidR="00D21AB4" w:rsidRPr="00923467">
        <w:t xml:space="preserve">ation and staff welfare. Some requests </w:t>
      </w:r>
      <w:r w:rsidR="00CA18B3" w:rsidRPr="00923467">
        <w:t>were however considered for</w:t>
      </w:r>
      <w:r w:rsidR="00D21AB4" w:rsidRPr="00923467">
        <w:t xml:space="preserve"> support</w:t>
      </w:r>
      <w:r w:rsidR="00CA18B3" w:rsidRPr="00923467">
        <w:t xml:space="preserve"> through the Authority’s Corporate Social Responsibility </w:t>
      </w:r>
      <w:r w:rsidR="000714CF" w:rsidRPr="00923467">
        <w:t>P</w:t>
      </w:r>
      <w:r w:rsidR="00CA18B3" w:rsidRPr="00923467">
        <w:t>olicy</w:t>
      </w:r>
      <w:r w:rsidR="00D21AB4" w:rsidRPr="00923467">
        <w:t xml:space="preserve"> </w:t>
      </w:r>
      <w:proofErr w:type="gramStart"/>
      <w:r w:rsidR="00CA18B3" w:rsidRPr="00923467">
        <w:t>in the area of</w:t>
      </w:r>
      <w:proofErr w:type="gramEnd"/>
      <w:r w:rsidR="00CA18B3" w:rsidRPr="00923467">
        <w:t xml:space="preserve"> education</w:t>
      </w:r>
      <w:r w:rsidR="00D21AB4" w:rsidRPr="00923467">
        <w:t xml:space="preserve">, </w:t>
      </w:r>
      <w:r w:rsidR="00CA18B3" w:rsidRPr="00923467">
        <w:t>a</w:t>
      </w:r>
      <w:r w:rsidR="00D21AB4" w:rsidRPr="00923467">
        <w:t xml:space="preserve">griculture, urgent medical care of the less fortunate, breast cancer awareness campaign etc. </w:t>
      </w:r>
    </w:p>
    <w:p w14:paraId="60557DEC" w14:textId="77777777" w:rsidR="004248EC" w:rsidRPr="00923467" w:rsidRDefault="004248EC" w:rsidP="00923467"/>
    <w:p w14:paraId="2156A733" w14:textId="58B6A357" w:rsidR="00692BCB" w:rsidRPr="00923467" w:rsidRDefault="00D21AB4" w:rsidP="00923467">
      <w:r w:rsidRPr="00923467">
        <w:t xml:space="preserve">On </w:t>
      </w:r>
      <w:r w:rsidR="003D342D" w:rsidRPr="00923467">
        <w:t xml:space="preserve">a similar </w:t>
      </w:r>
      <w:r w:rsidRPr="00923467">
        <w:t>front, the Authority was pleased to be a beneficiary of a state-of-the-art</w:t>
      </w:r>
      <w:r w:rsidR="003B0E99" w:rsidRPr="00923467">
        <w:t xml:space="preserve"> building</w:t>
      </w:r>
      <w:r w:rsidRPr="00923467">
        <w:t xml:space="preserve"> </w:t>
      </w:r>
      <w:r w:rsidR="00CC5A5F" w:rsidRPr="00923467">
        <w:t xml:space="preserve">named BOLLONRA </w:t>
      </w:r>
      <w:r w:rsidRPr="00923467">
        <w:t>at the Queen Elizabeth the II Quay, as a gift received from Bollore</w:t>
      </w:r>
      <w:r w:rsidR="003D342D" w:rsidRPr="00923467">
        <w:t xml:space="preserve"> as part of their </w:t>
      </w:r>
      <w:r w:rsidR="00E9561A" w:rsidRPr="00923467">
        <w:t>C</w:t>
      </w:r>
      <w:r w:rsidR="003D342D" w:rsidRPr="00923467">
        <w:t xml:space="preserve">orporate </w:t>
      </w:r>
      <w:r w:rsidR="00E9561A" w:rsidRPr="00923467">
        <w:t>S</w:t>
      </w:r>
      <w:r w:rsidR="003D342D" w:rsidRPr="00923467">
        <w:t xml:space="preserve">ocial </w:t>
      </w:r>
      <w:r w:rsidR="00E9561A" w:rsidRPr="00923467">
        <w:t>R</w:t>
      </w:r>
      <w:r w:rsidR="003D342D" w:rsidRPr="00923467">
        <w:t>esponsibility</w:t>
      </w:r>
      <w:r w:rsidRPr="00923467">
        <w:t xml:space="preserve">. The building </w:t>
      </w:r>
      <w:r w:rsidR="0092048F" w:rsidRPr="00923467">
        <w:t xml:space="preserve">is now </w:t>
      </w:r>
      <w:r w:rsidR="003D342D" w:rsidRPr="00923467">
        <w:t>occupied</w:t>
      </w:r>
      <w:r w:rsidRPr="00923467">
        <w:t xml:space="preserve"> by the NRA Customs staff for </w:t>
      </w:r>
      <w:r w:rsidR="0092048F" w:rsidRPr="00923467">
        <w:t>b</w:t>
      </w:r>
      <w:r w:rsidRPr="00923467">
        <w:t xml:space="preserve">aggage </w:t>
      </w:r>
      <w:r w:rsidR="00307BF1" w:rsidRPr="00923467">
        <w:t xml:space="preserve">and merchandise </w:t>
      </w:r>
      <w:r w:rsidRPr="00923467">
        <w:t>handling</w:t>
      </w:r>
      <w:r w:rsidR="00EA1CE9" w:rsidRPr="00923467">
        <w:t>,</w:t>
      </w:r>
      <w:r w:rsidRPr="00923467">
        <w:t xml:space="preserve"> and </w:t>
      </w:r>
      <w:r w:rsidR="0092048F" w:rsidRPr="00923467">
        <w:t>a</w:t>
      </w:r>
      <w:r w:rsidRPr="00923467">
        <w:t>nti-</w:t>
      </w:r>
      <w:r w:rsidR="0092048F" w:rsidRPr="00923467">
        <w:t>s</w:t>
      </w:r>
      <w:r w:rsidRPr="00923467">
        <w:t>muggling purposes.</w:t>
      </w:r>
      <w:r w:rsidR="00CC5A5F" w:rsidRPr="00923467">
        <w:t xml:space="preserve"> </w:t>
      </w:r>
    </w:p>
    <w:p w14:paraId="5E56254E" w14:textId="77777777" w:rsidR="004248EC" w:rsidRDefault="004248EC" w:rsidP="00923467"/>
    <w:p w14:paraId="4B4A4701" w14:textId="77777777" w:rsidR="00EA5ACB" w:rsidRDefault="00EA5ACB" w:rsidP="00923467"/>
    <w:p w14:paraId="46B2B9BC" w14:textId="77777777" w:rsidR="00EA5ACB" w:rsidRDefault="00EA5ACB" w:rsidP="00923467"/>
    <w:p w14:paraId="5B4A2F18" w14:textId="77777777" w:rsidR="00A65C88" w:rsidRDefault="00A65C88" w:rsidP="00923467"/>
    <w:p w14:paraId="5732E237" w14:textId="77777777" w:rsidR="00EA5ACB" w:rsidRPr="00923467" w:rsidRDefault="00EA5ACB" w:rsidP="00923467"/>
    <w:p w14:paraId="06607EE0" w14:textId="6B289268" w:rsidR="00D21AB4" w:rsidRPr="00923467" w:rsidRDefault="006564A3" w:rsidP="00923467">
      <w:pPr>
        <w:pStyle w:val="Heading2"/>
      </w:pPr>
      <w:bookmarkStart w:id="32" w:name="_Toc137831074"/>
      <w:r w:rsidRPr="00923467">
        <w:t>COLLABORATION WITH STAKEHOLDERS</w:t>
      </w:r>
      <w:bookmarkEnd w:id="32"/>
      <w:r w:rsidRPr="00923467">
        <w:t xml:space="preserve"> </w:t>
      </w:r>
    </w:p>
    <w:p w14:paraId="38DE853D" w14:textId="1FC70758" w:rsidR="00B8166F" w:rsidRDefault="00B8166F" w:rsidP="00923467">
      <w:r w:rsidRPr="00923467">
        <w:t>The National Revenue Authority collaborated with several stakeholders in the year under review in the discharge of its functions. This section discusses some of the activities undertaken by the Authority in collaboration with stakeholders.</w:t>
      </w:r>
    </w:p>
    <w:p w14:paraId="44A049E5" w14:textId="77777777" w:rsidR="004248EC" w:rsidRPr="00923467" w:rsidRDefault="004248EC" w:rsidP="00923467"/>
    <w:p w14:paraId="34799C4E" w14:textId="07E6B0BF" w:rsidR="00B8166F" w:rsidRDefault="00BE1E30" w:rsidP="00FE4F6E">
      <w:r w:rsidRPr="00FE4F6E">
        <w:rPr>
          <w:b/>
          <w:bCs/>
          <w:i/>
          <w:iCs/>
        </w:rPr>
        <w:t xml:space="preserve">Société Industrielle et Commerciale de </w:t>
      </w:r>
      <w:proofErr w:type="spellStart"/>
      <w:r w:rsidRPr="00FE4F6E">
        <w:rPr>
          <w:b/>
          <w:bCs/>
          <w:i/>
          <w:iCs/>
        </w:rPr>
        <w:t>Produits</w:t>
      </w:r>
      <w:proofErr w:type="spellEnd"/>
      <w:r w:rsidRPr="00FE4F6E">
        <w:rPr>
          <w:b/>
          <w:bCs/>
          <w:i/>
          <w:iCs/>
        </w:rPr>
        <w:t xml:space="preserve"> </w:t>
      </w:r>
      <w:proofErr w:type="spellStart"/>
      <w:r w:rsidRPr="00FE4F6E">
        <w:rPr>
          <w:b/>
          <w:bCs/>
          <w:i/>
          <w:iCs/>
        </w:rPr>
        <w:t>Alimentaires</w:t>
      </w:r>
      <w:proofErr w:type="spellEnd"/>
      <w:r w:rsidRPr="00FE4F6E">
        <w:rPr>
          <w:b/>
          <w:bCs/>
          <w:i/>
          <w:iCs/>
        </w:rPr>
        <w:t xml:space="preserve"> (</w:t>
      </w:r>
      <w:r w:rsidR="00B8166F" w:rsidRPr="00FE4F6E">
        <w:rPr>
          <w:b/>
          <w:bCs/>
          <w:i/>
          <w:iCs/>
        </w:rPr>
        <w:t>SICPA</w:t>
      </w:r>
      <w:r w:rsidRPr="00FE4F6E">
        <w:rPr>
          <w:b/>
          <w:bCs/>
          <w:i/>
          <w:iCs/>
        </w:rPr>
        <w:t>)</w:t>
      </w:r>
      <w:r w:rsidR="00FE4F6E" w:rsidRPr="00FE4F6E">
        <w:rPr>
          <w:b/>
          <w:bCs/>
          <w:i/>
          <w:iCs/>
        </w:rPr>
        <w:t>:</w:t>
      </w:r>
      <w:r w:rsidR="00FE4F6E">
        <w:t xml:space="preserve"> </w:t>
      </w:r>
      <w:r w:rsidR="00B8166F" w:rsidRPr="00923467">
        <w:t xml:space="preserve">With support from </w:t>
      </w:r>
      <w:r w:rsidRPr="00923467">
        <w:t>SICPA</w:t>
      </w:r>
      <w:r w:rsidRPr="00923467">
        <w:rPr>
          <w:b/>
          <w:bCs/>
        </w:rPr>
        <w:t>,</w:t>
      </w:r>
      <w:r w:rsidRPr="00923467">
        <w:t xml:space="preserve"> </w:t>
      </w:r>
      <w:r w:rsidR="00B8166F" w:rsidRPr="00923467">
        <w:t xml:space="preserve">the </w:t>
      </w:r>
      <w:r w:rsidRPr="00923467">
        <w:t xml:space="preserve">NRA </w:t>
      </w:r>
      <w:r w:rsidR="00B8166F" w:rsidRPr="00923467">
        <w:t>collabora</w:t>
      </w:r>
      <w:r w:rsidRPr="00923467">
        <w:t>ted</w:t>
      </w:r>
      <w:r w:rsidR="00B8166F" w:rsidRPr="00923467">
        <w:t xml:space="preserve"> with the Ministry of Finance</w:t>
      </w:r>
      <w:r w:rsidRPr="00923467">
        <w:t xml:space="preserve"> in the </w:t>
      </w:r>
      <w:r w:rsidR="00B8166F" w:rsidRPr="00923467">
        <w:t>drafting of a regulation to be laid before the House of Parliament for the implementation of the Excise Tax Stamp.</w:t>
      </w:r>
      <w:r w:rsidR="0083420C" w:rsidRPr="00923467">
        <w:t xml:space="preserve"> </w:t>
      </w:r>
      <w:r w:rsidR="0021050E" w:rsidRPr="00923467">
        <w:t>T</w:t>
      </w:r>
      <w:r w:rsidR="00B8166F" w:rsidRPr="00923467">
        <w:t>he Authority continue</w:t>
      </w:r>
      <w:r w:rsidR="00D90EAE" w:rsidRPr="00923467">
        <w:t>d</w:t>
      </w:r>
      <w:r w:rsidR="00B8166F" w:rsidRPr="00923467">
        <w:t xml:space="preserve"> to coordinate with SICPA and facilitate</w:t>
      </w:r>
      <w:r w:rsidR="00D90EAE" w:rsidRPr="00923467">
        <w:t>d</w:t>
      </w:r>
      <w:r w:rsidR="00B8166F" w:rsidRPr="00923467">
        <w:t xml:space="preserve"> meetings with the Petroleum Regulatory Authority, Ministry of Trade</w:t>
      </w:r>
      <w:r w:rsidR="0021050E" w:rsidRPr="00923467">
        <w:t xml:space="preserve"> and Industry</w:t>
      </w:r>
      <w:r w:rsidR="00B8166F" w:rsidRPr="00923467">
        <w:t xml:space="preserve">, </w:t>
      </w:r>
      <w:r w:rsidR="0021050E" w:rsidRPr="00923467">
        <w:t>i</w:t>
      </w:r>
      <w:r w:rsidR="00B8166F" w:rsidRPr="00923467">
        <w:t xml:space="preserve">mporters, manufacturers, and all relevant stakeholders </w:t>
      </w:r>
      <w:proofErr w:type="gramStart"/>
      <w:r w:rsidR="00B8166F" w:rsidRPr="00923467">
        <w:t>in order to</w:t>
      </w:r>
      <w:proofErr w:type="gramEnd"/>
      <w:r w:rsidR="00B8166F" w:rsidRPr="00923467">
        <w:t xml:space="preserve"> ensure the effective implementation of the Excise Tax Stamp and other </w:t>
      </w:r>
      <w:r w:rsidR="0021050E" w:rsidRPr="00923467">
        <w:t>f</w:t>
      </w:r>
      <w:r w:rsidR="00B8166F" w:rsidRPr="00923467">
        <w:t xml:space="preserve">uel </w:t>
      </w:r>
      <w:r w:rsidR="0021050E" w:rsidRPr="00923467">
        <w:t>m</w:t>
      </w:r>
      <w:r w:rsidR="00B8166F" w:rsidRPr="00923467">
        <w:t>arkings.</w:t>
      </w:r>
    </w:p>
    <w:p w14:paraId="4CABFD90" w14:textId="77777777" w:rsidR="004248EC" w:rsidRPr="00923467" w:rsidRDefault="004248EC" w:rsidP="00FE4F6E"/>
    <w:p w14:paraId="52EB6A7B" w14:textId="2B5BD327" w:rsidR="00B8166F" w:rsidRDefault="00B8166F" w:rsidP="00FE4F6E">
      <w:r w:rsidRPr="00FE4F6E">
        <w:rPr>
          <w:b/>
          <w:bCs/>
          <w:i/>
          <w:iCs/>
        </w:rPr>
        <w:t xml:space="preserve">Swedish Tax Agency </w:t>
      </w:r>
      <w:r w:rsidR="00BE4B55" w:rsidRPr="00FE4F6E">
        <w:rPr>
          <w:b/>
          <w:bCs/>
          <w:i/>
          <w:iCs/>
        </w:rPr>
        <w:t xml:space="preserve">(STA) </w:t>
      </w:r>
      <w:r w:rsidRPr="00FE4F6E">
        <w:rPr>
          <w:b/>
          <w:bCs/>
          <w:i/>
          <w:iCs/>
        </w:rPr>
        <w:t>Study Tour</w:t>
      </w:r>
      <w:r w:rsidR="00FE4F6E" w:rsidRPr="00FE4F6E">
        <w:rPr>
          <w:b/>
          <w:bCs/>
          <w:i/>
          <w:iCs/>
        </w:rPr>
        <w:t>:</w:t>
      </w:r>
      <w:r w:rsidR="00FE4F6E">
        <w:t xml:space="preserve"> </w:t>
      </w:r>
      <w:r w:rsidRPr="00923467">
        <w:t xml:space="preserve">The Authority also facilitated a study tour from a delegation from the STA, with </w:t>
      </w:r>
      <w:r w:rsidR="00E91702" w:rsidRPr="00923467">
        <w:t>a</w:t>
      </w:r>
      <w:r w:rsidRPr="00923467">
        <w:t xml:space="preserve"> focus </w:t>
      </w:r>
      <w:r w:rsidR="00E91702" w:rsidRPr="00923467">
        <w:t>of</w:t>
      </w:r>
      <w:r w:rsidRPr="00923467">
        <w:t xml:space="preserve"> </w:t>
      </w:r>
      <w:r w:rsidR="00E91702" w:rsidRPr="00923467">
        <w:t>helping the NRA to assess</w:t>
      </w:r>
      <w:r w:rsidRPr="00923467">
        <w:t xml:space="preserve"> </w:t>
      </w:r>
      <w:r w:rsidR="00E91702" w:rsidRPr="00923467">
        <w:t>its</w:t>
      </w:r>
      <w:r w:rsidRPr="00923467">
        <w:t xml:space="preserve"> </w:t>
      </w:r>
      <w:r w:rsidR="00E91702" w:rsidRPr="00923467">
        <w:t>level of “Digital Transformation Maturity Model”.</w:t>
      </w:r>
      <w:r w:rsidRPr="00923467">
        <w:t xml:space="preserve"> </w:t>
      </w:r>
    </w:p>
    <w:p w14:paraId="3032CD73" w14:textId="77777777" w:rsidR="004248EC" w:rsidRPr="00923467" w:rsidRDefault="004248EC" w:rsidP="00923467"/>
    <w:p w14:paraId="37E759BE" w14:textId="357DAEC9" w:rsidR="00B523F6" w:rsidRPr="00FE4F6E" w:rsidRDefault="00B8166F" w:rsidP="00923467">
      <w:pPr>
        <w:rPr>
          <w:b/>
          <w:bCs/>
          <w:i/>
          <w:iCs/>
        </w:rPr>
      </w:pPr>
      <w:r w:rsidRPr="00FE4F6E">
        <w:rPr>
          <w:b/>
          <w:bCs/>
          <w:i/>
          <w:iCs/>
        </w:rPr>
        <w:t xml:space="preserve">International Centre for Tax </w:t>
      </w:r>
      <w:r w:rsidR="00DA53DC" w:rsidRPr="00FE4F6E">
        <w:rPr>
          <w:b/>
          <w:bCs/>
          <w:i/>
          <w:iCs/>
        </w:rPr>
        <w:t xml:space="preserve">and </w:t>
      </w:r>
      <w:r w:rsidRPr="00FE4F6E">
        <w:rPr>
          <w:b/>
          <w:bCs/>
          <w:i/>
          <w:iCs/>
        </w:rPr>
        <w:t xml:space="preserve">Development </w:t>
      </w:r>
      <w:r w:rsidR="00A57ABE" w:rsidRPr="00FE4F6E">
        <w:rPr>
          <w:b/>
          <w:bCs/>
          <w:i/>
          <w:iCs/>
        </w:rPr>
        <w:t xml:space="preserve">(ICTD) </w:t>
      </w:r>
      <w:r w:rsidRPr="00FE4F6E">
        <w:rPr>
          <w:b/>
          <w:bCs/>
          <w:i/>
          <w:iCs/>
        </w:rPr>
        <w:t>Seminar</w:t>
      </w:r>
      <w:r w:rsidR="00FE4F6E">
        <w:rPr>
          <w:b/>
          <w:bCs/>
          <w:i/>
          <w:iCs/>
        </w:rPr>
        <w:t xml:space="preserve">: </w:t>
      </w:r>
      <w:r w:rsidRPr="00923467">
        <w:t xml:space="preserve">The Authority participated in a </w:t>
      </w:r>
      <w:r w:rsidR="00D1546B" w:rsidRPr="00923467">
        <w:t>two</w:t>
      </w:r>
      <w:r w:rsidRPr="00923467">
        <w:t xml:space="preserve">-day </w:t>
      </w:r>
      <w:bookmarkStart w:id="33" w:name="_Hlk127187027"/>
      <w:r w:rsidR="00D1546B" w:rsidRPr="00923467">
        <w:t>conference</w:t>
      </w:r>
      <w:bookmarkEnd w:id="33"/>
      <w:r w:rsidRPr="00923467">
        <w:t xml:space="preserve"> </w:t>
      </w:r>
      <w:r w:rsidR="00727A32" w:rsidRPr="00923467">
        <w:t>organised</w:t>
      </w:r>
      <w:r w:rsidRPr="00923467">
        <w:t xml:space="preserve"> by the ICTD</w:t>
      </w:r>
      <w:r w:rsidR="00727A32" w:rsidRPr="00923467">
        <w:t>, and the Budget Advocacy Network</w:t>
      </w:r>
      <w:r w:rsidR="00D1546B" w:rsidRPr="00923467">
        <w:t xml:space="preserve"> featuring recent research on taxation in Sierra Leone. </w:t>
      </w:r>
      <w:r w:rsidRPr="00923467">
        <w:t xml:space="preserve">The </w:t>
      </w:r>
      <w:r w:rsidR="00B523F6" w:rsidRPr="00923467">
        <w:t>conference</w:t>
      </w:r>
      <w:r w:rsidRPr="00923467">
        <w:t xml:space="preserve"> was attended by several members of NRA Management, including the Commissioner</w:t>
      </w:r>
      <w:r w:rsidR="00B523F6" w:rsidRPr="00923467">
        <w:t>-</w:t>
      </w:r>
      <w:r w:rsidRPr="00923467">
        <w:t>General</w:t>
      </w:r>
      <w:r w:rsidR="00B523F6" w:rsidRPr="00923467">
        <w:t>,</w:t>
      </w:r>
      <w:r w:rsidRPr="00923467">
        <w:t xml:space="preserve"> and the Deputy Commissioner</w:t>
      </w:r>
      <w:r w:rsidR="00B523F6" w:rsidRPr="00923467">
        <w:t>-</w:t>
      </w:r>
      <w:r w:rsidRPr="00923467">
        <w:t xml:space="preserve">General, with both providing critical contributions to the successful outcome of the </w:t>
      </w:r>
      <w:r w:rsidR="00B523F6" w:rsidRPr="00923467">
        <w:t>conference</w:t>
      </w:r>
      <w:r w:rsidRPr="00923467">
        <w:t xml:space="preserve">. </w:t>
      </w:r>
      <w:r w:rsidR="00B523F6" w:rsidRPr="00923467">
        <w:t xml:space="preserve">Staff of the </w:t>
      </w:r>
      <w:r w:rsidR="00B0030C" w:rsidRPr="00923467">
        <w:t>MRP</w:t>
      </w:r>
      <w:r w:rsidR="00B523F6" w:rsidRPr="00923467">
        <w:t xml:space="preserve"> Department made presentations on several studies conducted by the </w:t>
      </w:r>
      <w:r w:rsidR="00FB2C94" w:rsidRPr="00923467">
        <w:t>Department and</w:t>
      </w:r>
      <w:r w:rsidR="00B523F6" w:rsidRPr="00923467">
        <w:t xml:space="preserve"> were also key discussants during the conference together with senior staff of other departments within the Authority. </w:t>
      </w:r>
    </w:p>
    <w:p w14:paraId="113DCE8D" w14:textId="77777777" w:rsidR="004248EC" w:rsidRPr="00923467" w:rsidRDefault="004248EC" w:rsidP="00923467"/>
    <w:p w14:paraId="751F604A" w14:textId="78E4C428" w:rsidR="00B8166F" w:rsidRPr="00923467" w:rsidRDefault="00C312EB" w:rsidP="00923467">
      <w:r w:rsidRPr="00FE4F6E">
        <w:rPr>
          <w:b/>
          <w:bCs/>
          <w:i/>
          <w:iCs/>
        </w:rPr>
        <w:t>MoU with the Customs Administration of the Republic of Guinea</w:t>
      </w:r>
      <w:r w:rsidR="00FE4F6E">
        <w:rPr>
          <w:b/>
          <w:bCs/>
          <w:i/>
          <w:iCs/>
        </w:rPr>
        <w:t xml:space="preserve">: </w:t>
      </w:r>
      <w:r w:rsidR="00B8166F" w:rsidRPr="00923467">
        <w:t xml:space="preserve">On the </w:t>
      </w:r>
      <w:r w:rsidR="000045D5" w:rsidRPr="00923467">
        <w:t>4</w:t>
      </w:r>
      <w:r w:rsidR="000045D5" w:rsidRPr="00923467">
        <w:rPr>
          <w:vertAlign w:val="superscript"/>
        </w:rPr>
        <w:t>th</w:t>
      </w:r>
      <w:r w:rsidR="000045D5" w:rsidRPr="00923467">
        <w:t xml:space="preserve"> of</w:t>
      </w:r>
      <w:r w:rsidR="00B8166F" w:rsidRPr="00923467">
        <w:t xml:space="preserve"> November 2022, </w:t>
      </w:r>
      <w:r w:rsidR="00485F3D" w:rsidRPr="00923467">
        <w:t>a</w:t>
      </w:r>
      <w:r w:rsidR="00B8166F" w:rsidRPr="00923467">
        <w:t xml:space="preserve"> </w:t>
      </w:r>
      <w:r w:rsidR="009F668C" w:rsidRPr="00923467">
        <w:t>‘Memorandum of Understanding of Mutual Administrative Assistance between the Customs Administrations of The Republic of Guinea, The Republic of Liberia and The Republic of Sierra Leone</w:t>
      </w:r>
      <w:r w:rsidR="00B8166F" w:rsidRPr="00923467">
        <w:t>’ was signed in Conakry by the NRA Customs Management and other relevant stakeholder</w:t>
      </w:r>
      <w:r w:rsidR="000045D5" w:rsidRPr="00923467">
        <w:t>s</w:t>
      </w:r>
      <w:r w:rsidR="00B8166F" w:rsidRPr="00923467">
        <w:t xml:space="preserve">. </w:t>
      </w:r>
      <w:r w:rsidR="00FB2C94" w:rsidRPr="00923467">
        <w:t>The MoU is geared towards strengthening the existing partnerships between Guinea, Liberia, and Sierra Leone Customs Administration</w:t>
      </w:r>
      <w:r w:rsidR="003B0E99" w:rsidRPr="00923467">
        <w:t>s</w:t>
      </w:r>
      <w:r w:rsidR="00FB2C94" w:rsidRPr="00923467">
        <w:t>. The</w:t>
      </w:r>
      <w:r w:rsidR="005311C4" w:rsidRPr="00923467">
        <w:t xml:space="preserve"> Commissioner of Customs Services Department </w:t>
      </w:r>
      <w:r w:rsidR="002C1F5C" w:rsidRPr="00923467">
        <w:t xml:space="preserve">(CSD) </w:t>
      </w:r>
      <w:r w:rsidR="005311C4" w:rsidRPr="00923467">
        <w:t xml:space="preserve">of the NRA signed the MoU on behalf of the NRA. </w:t>
      </w:r>
    </w:p>
    <w:p w14:paraId="0DFCEE2B" w14:textId="77777777" w:rsidR="00C312EB" w:rsidRPr="00923467" w:rsidRDefault="00C312EB" w:rsidP="00923467"/>
    <w:p w14:paraId="4BB6DA3B" w14:textId="77777777" w:rsidR="00FE4F6E" w:rsidRDefault="00FE4F6E" w:rsidP="00FE4F6E"/>
    <w:p w14:paraId="48F28583" w14:textId="77777777" w:rsidR="00EA5ACB" w:rsidRDefault="00EA5ACB" w:rsidP="00FE4F6E"/>
    <w:p w14:paraId="6613186F" w14:textId="77777777" w:rsidR="00A65C88" w:rsidRPr="00FE4F6E" w:rsidRDefault="00A65C88" w:rsidP="00FE4F6E"/>
    <w:p w14:paraId="4FBDF5E3" w14:textId="2932EC70" w:rsidR="00B8166F" w:rsidRPr="00923467" w:rsidRDefault="003A4D35" w:rsidP="00923467">
      <w:pPr>
        <w:pStyle w:val="Heading2"/>
      </w:pPr>
      <w:bookmarkStart w:id="34" w:name="_Toc137831075"/>
      <w:r w:rsidRPr="00923467">
        <w:t>PUBLIC RECOGNITION AND TRUST</w:t>
      </w:r>
      <w:bookmarkEnd w:id="34"/>
    </w:p>
    <w:p w14:paraId="458EDACF" w14:textId="48A46581" w:rsidR="00B8166F" w:rsidRDefault="00B8166F" w:rsidP="00923467">
      <w:r w:rsidRPr="00923467">
        <w:t xml:space="preserve">The Authority received a </w:t>
      </w:r>
      <w:r w:rsidR="000B415F" w:rsidRPr="00923467">
        <w:t>c</w:t>
      </w:r>
      <w:r w:rsidRPr="00923467">
        <w:t>ertificate award from the Anti-Corruption Commission for “…Full Compliance in Implementation of the National Anti-Corruption Strategy 2019-2023 (3</w:t>
      </w:r>
      <w:r w:rsidRPr="00923467">
        <w:rPr>
          <w:vertAlign w:val="superscript"/>
        </w:rPr>
        <w:t>rd</w:t>
      </w:r>
      <w:r w:rsidRPr="00923467">
        <w:t xml:space="preserve"> and 4</w:t>
      </w:r>
      <w:r w:rsidRPr="00923467">
        <w:rPr>
          <w:vertAlign w:val="superscript"/>
        </w:rPr>
        <w:t>th</w:t>
      </w:r>
      <w:r w:rsidRPr="00923467">
        <w:t xml:space="preserve"> Quarter 2021 Monitoring)</w:t>
      </w:r>
      <w:r w:rsidR="000B415F" w:rsidRPr="00923467">
        <w:t>”</w:t>
      </w:r>
      <w:r w:rsidRPr="00923467">
        <w:t xml:space="preserve"> </w:t>
      </w:r>
      <w:r w:rsidR="00C312EB" w:rsidRPr="00923467">
        <w:t xml:space="preserve">– a </w:t>
      </w:r>
      <w:r w:rsidRPr="00923467">
        <w:t>truly commendable recognition from the Commissioner of the Anti-Corruption Commission and the Chairperson of the National Anti-Corruption Strategy Steering Committee.</w:t>
      </w:r>
    </w:p>
    <w:p w14:paraId="69BE17F2" w14:textId="77777777" w:rsidR="00AA0852" w:rsidRPr="00923467" w:rsidRDefault="00AA0852" w:rsidP="00923467"/>
    <w:p w14:paraId="2BA10436" w14:textId="4D538CBB" w:rsidR="00DC56AB" w:rsidRPr="00923467" w:rsidRDefault="00B8166F" w:rsidP="00923467">
      <w:r w:rsidRPr="00923467">
        <w:t xml:space="preserve">The Authority also received a certificate of appreciation from the Maada &amp; Fatima Bio Foundation for its “Contribution and Outstanding </w:t>
      </w:r>
      <w:r w:rsidR="00AA0852">
        <w:t>S</w:t>
      </w:r>
      <w:r w:rsidRPr="00923467">
        <w:t xml:space="preserve">upport for all the </w:t>
      </w:r>
      <w:r w:rsidR="00BD11F8" w:rsidRPr="00923467">
        <w:t>Courses</w:t>
      </w:r>
      <w:r w:rsidRPr="00923467">
        <w:t xml:space="preserve"> of the Foundation and Humanity”. Despite the financial constraints faced in 2022, the Authority’s effort to support </w:t>
      </w:r>
      <w:r w:rsidR="00372368" w:rsidRPr="00923467">
        <w:t>human</w:t>
      </w:r>
      <w:r w:rsidRPr="00923467">
        <w:t xml:space="preserve"> capital development through its Corporate Social Responsibility Policy is reflected through such recognition.  </w:t>
      </w:r>
    </w:p>
    <w:p w14:paraId="0E90CC0C" w14:textId="77777777" w:rsidR="00C312EB" w:rsidRDefault="00C312EB" w:rsidP="00923467"/>
    <w:p w14:paraId="41CD4596" w14:textId="77777777" w:rsidR="00FE4F6E" w:rsidRPr="00923467" w:rsidRDefault="00FE4F6E" w:rsidP="00923467"/>
    <w:p w14:paraId="64B42877" w14:textId="65D6E193" w:rsidR="007F75F4" w:rsidRPr="00923467" w:rsidRDefault="00DC56AB" w:rsidP="00923467">
      <w:pPr>
        <w:pStyle w:val="Heading2"/>
      </w:pPr>
      <w:bookmarkStart w:id="35" w:name="_Toc137831076"/>
      <w:r w:rsidRPr="00923467">
        <w:t>CONSTRUCTION AND REHABILITATION OF NRA OFFICES</w:t>
      </w:r>
      <w:bookmarkEnd w:id="35"/>
    </w:p>
    <w:p w14:paraId="4ADF5EFC" w14:textId="38DE0D5B" w:rsidR="007F75F4" w:rsidRDefault="007F75F4" w:rsidP="00923467">
      <w:r w:rsidRPr="00923467">
        <w:t xml:space="preserve">One of the </w:t>
      </w:r>
      <w:r w:rsidR="00C97FBC" w:rsidRPr="00923467">
        <w:t xml:space="preserve">core </w:t>
      </w:r>
      <w:r w:rsidRPr="00923467">
        <w:t>functions of the Administration Department of the NRA is to ensure that staff of the Authority perform their duties in a conducive work environment. During the period under review, the Admin Department ensured the rehabilitation</w:t>
      </w:r>
      <w:r w:rsidR="009620AF" w:rsidRPr="00923467">
        <w:t xml:space="preserve">, </w:t>
      </w:r>
      <w:r w:rsidRPr="00923467">
        <w:t>construction</w:t>
      </w:r>
      <w:r w:rsidR="009620AF" w:rsidRPr="00923467">
        <w:t xml:space="preserve">, and </w:t>
      </w:r>
      <w:r w:rsidR="00BE5AE6" w:rsidRPr="00923467">
        <w:t>renting</w:t>
      </w:r>
      <w:r w:rsidR="009620AF" w:rsidRPr="00923467">
        <w:t>/purchase</w:t>
      </w:r>
      <w:r w:rsidRPr="00923467">
        <w:t xml:space="preserve"> of the following </w:t>
      </w:r>
      <w:r w:rsidR="009620AF" w:rsidRPr="00923467">
        <w:t>properties</w:t>
      </w:r>
      <w:r w:rsidRPr="00923467">
        <w:t xml:space="preserve">:  </w:t>
      </w:r>
    </w:p>
    <w:p w14:paraId="63F99CC7" w14:textId="77777777" w:rsidR="00FE4F6E" w:rsidRPr="00923467" w:rsidRDefault="00FE4F6E" w:rsidP="00923467"/>
    <w:p w14:paraId="76EEB6B6" w14:textId="12164677" w:rsidR="009F7C41" w:rsidRPr="00923467" w:rsidRDefault="009F7C41" w:rsidP="00923467">
      <w:pPr>
        <w:pStyle w:val="ListParagraph"/>
        <w:numPr>
          <w:ilvl w:val="0"/>
          <w:numId w:val="9"/>
        </w:numPr>
      </w:pPr>
      <w:r w:rsidRPr="00923467">
        <w:t xml:space="preserve">Refurbishment and </w:t>
      </w:r>
      <w:r w:rsidR="00595C39" w:rsidRPr="00923467">
        <w:t>f</w:t>
      </w:r>
      <w:r w:rsidRPr="00923467">
        <w:t xml:space="preserve">urnishing of </w:t>
      </w:r>
      <w:r w:rsidR="00547BEF" w:rsidRPr="00923467">
        <w:t>o</w:t>
      </w:r>
      <w:r w:rsidRPr="00923467">
        <w:t>ld Baggage Office (now BOLLONRA Building)</w:t>
      </w:r>
      <w:r w:rsidR="00080FF4" w:rsidRPr="00923467">
        <w:t xml:space="preserve"> at the Queen Elizabeth </w:t>
      </w:r>
      <w:r w:rsidR="00BE5AE6" w:rsidRPr="00923467">
        <w:t xml:space="preserve">II </w:t>
      </w:r>
      <w:proofErr w:type="gramStart"/>
      <w:r w:rsidR="00080FF4" w:rsidRPr="00923467">
        <w:t>Quay</w:t>
      </w:r>
      <w:r w:rsidR="00BE5AE6" w:rsidRPr="00923467">
        <w:t>;</w:t>
      </w:r>
      <w:proofErr w:type="gramEnd"/>
      <w:r w:rsidR="00080FF4" w:rsidRPr="00923467">
        <w:t xml:space="preserve"> </w:t>
      </w:r>
    </w:p>
    <w:p w14:paraId="20A69EB8" w14:textId="703DDB6B" w:rsidR="006564A3" w:rsidRPr="00923467" w:rsidRDefault="009F7C41" w:rsidP="00923467">
      <w:pPr>
        <w:pStyle w:val="ListParagraph"/>
        <w:numPr>
          <w:ilvl w:val="0"/>
          <w:numId w:val="9"/>
        </w:numPr>
      </w:pPr>
      <w:r w:rsidRPr="00923467">
        <w:t xml:space="preserve">Refurbishment and furnishing of Parcel Post </w:t>
      </w:r>
      <w:r w:rsidR="00BE5AE6" w:rsidRPr="00923467">
        <w:t>O</w:t>
      </w:r>
      <w:r w:rsidRPr="00923467">
        <w:t>ffice</w:t>
      </w:r>
      <w:r w:rsidR="00BE5AE6" w:rsidRPr="00923467">
        <w:t xml:space="preserve"> at </w:t>
      </w:r>
      <w:r w:rsidRPr="00923467">
        <w:t xml:space="preserve">SALPOST, Gloucester </w:t>
      </w:r>
      <w:proofErr w:type="gramStart"/>
      <w:r w:rsidRPr="00923467">
        <w:t>Street</w:t>
      </w:r>
      <w:r w:rsidR="00BE5AE6" w:rsidRPr="00923467">
        <w:t>;</w:t>
      </w:r>
      <w:proofErr w:type="gramEnd"/>
    </w:p>
    <w:p w14:paraId="29ABE9F1" w14:textId="7E048C01" w:rsidR="009F7C41" w:rsidRPr="00923467" w:rsidRDefault="009F7C41" w:rsidP="00923467">
      <w:pPr>
        <w:pStyle w:val="ListParagraph"/>
        <w:numPr>
          <w:ilvl w:val="0"/>
          <w:numId w:val="9"/>
        </w:numPr>
      </w:pPr>
      <w:r w:rsidRPr="00923467">
        <w:t>Renting and customi</w:t>
      </w:r>
      <w:r w:rsidR="000819D5" w:rsidRPr="00923467">
        <w:t>s</w:t>
      </w:r>
      <w:r w:rsidRPr="00923467">
        <w:t xml:space="preserve">ation of a booth for Taxpayer Services Centre </w:t>
      </w:r>
      <w:r w:rsidR="000819D5" w:rsidRPr="00923467">
        <w:t>for</w:t>
      </w:r>
      <w:r w:rsidRPr="00923467">
        <w:t xml:space="preserve"> filing of returns, payment of taxes, mail collection etc</w:t>
      </w:r>
      <w:r w:rsidR="000819D5" w:rsidRPr="00923467">
        <w:t>.</w:t>
      </w:r>
      <w:r w:rsidRPr="00923467">
        <w:t xml:space="preserve"> at SALPOST</w:t>
      </w:r>
      <w:r w:rsidR="000819D5" w:rsidRPr="00923467">
        <w:t xml:space="preserve">, Gloucester </w:t>
      </w:r>
      <w:proofErr w:type="gramStart"/>
      <w:r w:rsidR="000819D5" w:rsidRPr="00923467">
        <w:t>Street;</w:t>
      </w:r>
      <w:proofErr w:type="gramEnd"/>
    </w:p>
    <w:p w14:paraId="6A071326" w14:textId="7CA2AA38" w:rsidR="009F7C41" w:rsidRPr="00923467" w:rsidRDefault="009F7C41" w:rsidP="00923467">
      <w:pPr>
        <w:pStyle w:val="ListParagraph"/>
        <w:numPr>
          <w:ilvl w:val="0"/>
          <w:numId w:val="9"/>
        </w:numPr>
      </w:pPr>
      <w:r w:rsidRPr="00923467">
        <w:t xml:space="preserve">Acquisition of land for construction of </w:t>
      </w:r>
      <w:r w:rsidR="00C312EB" w:rsidRPr="00923467">
        <w:t xml:space="preserve">an </w:t>
      </w:r>
      <w:r w:rsidR="009620AF" w:rsidRPr="00923467">
        <w:t xml:space="preserve">NRA </w:t>
      </w:r>
      <w:r w:rsidRPr="00923467">
        <w:t xml:space="preserve">office </w:t>
      </w:r>
      <w:r w:rsidR="009620AF" w:rsidRPr="00923467">
        <w:t>on</w:t>
      </w:r>
      <w:r w:rsidRPr="00923467">
        <w:t xml:space="preserve"> Wilkinson </w:t>
      </w:r>
      <w:proofErr w:type="gramStart"/>
      <w:r w:rsidRPr="00923467">
        <w:t>Road</w:t>
      </w:r>
      <w:r w:rsidR="009620AF" w:rsidRPr="00923467">
        <w:t>;</w:t>
      </w:r>
      <w:proofErr w:type="gramEnd"/>
    </w:p>
    <w:p w14:paraId="15D9303E" w14:textId="067AB6A8" w:rsidR="009F7C41" w:rsidRPr="00923467" w:rsidRDefault="009F7C41" w:rsidP="00923467">
      <w:pPr>
        <w:pStyle w:val="ListParagraph"/>
        <w:numPr>
          <w:ilvl w:val="0"/>
          <w:numId w:val="9"/>
        </w:numPr>
      </w:pPr>
      <w:r w:rsidRPr="00923467">
        <w:t>Renovation prior to handing over to landlord</w:t>
      </w:r>
      <w:r w:rsidR="00414136" w:rsidRPr="00923467">
        <w:t>s</w:t>
      </w:r>
      <w:r w:rsidRPr="00923467">
        <w:t xml:space="preserve"> of both 17 and 19 Wellington Street properties</w:t>
      </w:r>
      <w:r w:rsidR="00414136" w:rsidRPr="00923467">
        <w:t xml:space="preserve"> </w:t>
      </w:r>
      <w:r w:rsidR="009A1CC5" w:rsidRPr="00923467">
        <w:t>previously</w:t>
      </w:r>
      <w:r w:rsidR="00414136" w:rsidRPr="00923467">
        <w:t xml:space="preserve"> occupied by the </w:t>
      </w:r>
      <w:proofErr w:type="gramStart"/>
      <w:r w:rsidR="00414136" w:rsidRPr="00923467">
        <w:t>NRA;</w:t>
      </w:r>
      <w:proofErr w:type="gramEnd"/>
    </w:p>
    <w:p w14:paraId="1CAFF4A9" w14:textId="0620F641" w:rsidR="009F7C41" w:rsidRPr="00923467" w:rsidRDefault="00414136" w:rsidP="00923467">
      <w:pPr>
        <w:pStyle w:val="ListParagraph"/>
        <w:numPr>
          <w:ilvl w:val="0"/>
          <w:numId w:val="9"/>
        </w:numPr>
      </w:pPr>
      <w:r w:rsidRPr="00923467">
        <w:t>Rehabilitation and r</w:t>
      </w:r>
      <w:r w:rsidR="009F7C41" w:rsidRPr="00923467">
        <w:t xml:space="preserve">elocation of </w:t>
      </w:r>
      <w:r w:rsidRPr="00923467">
        <w:t xml:space="preserve">NRA </w:t>
      </w:r>
      <w:r w:rsidR="00C312EB" w:rsidRPr="00923467">
        <w:t>H</w:t>
      </w:r>
      <w:r w:rsidRPr="00923467">
        <w:t>eadquarter hos</w:t>
      </w:r>
      <w:r w:rsidR="00524E2C" w:rsidRPr="00923467">
        <w:t>t</w:t>
      </w:r>
      <w:r w:rsidRPr="00923467">
        <w:t xml:space="preserve">ing the </w:t>
      </w:r>
      <w:r w:rsidR="009F7C41" w:rsidRPr="00923467">
        <w:t>CG’s office, DCG’s Office, F</w:t>
      </w:r>
      <w:r w:rsidRPr="00923467">
        <w:t xml:space="preserve">inance and </w:t>
      </w:r>
      <w:r w:rsidR="009F7C41" w:rsidRPr="00923467">
        <w:t>B</w:t>
      </w:r>
      <w:r w:rsidRPr="00923467">
        <w:t>udget Department</w:t>
      </w:r>
      <w:r w:rsidR="009F7C41" w:rsidRPr="00923467">
        <w:t>, H</w:t>
      </w:r>
      <w:r w:rsidRPr="00923467">
        <w:t xml:space="preserve">uman </w:t>
      </w:r>
      <w:r w:rsidR="009F7C41" w:rsidRPr="00923467">
        <w:t>R</w:t>
      </w:r>
      <w:r w:rsidRPr="00923467">
        <w:t>esource Department</w:t>
      </w:r>
      <w:r w:rsidR="009F7C41" w:rsidRPr="00923467">
        <w:t>, L</w:t>
      </w:r>
      <w:r w:rsidRPr="00923467">
        <w:t xml:space="preserve">egal and </w:t>
      </w:r>
      <w:r w:rsidR="009F7C41" w:rsidRPr="00923467">
        <w:t>C</w:t>
      </w:r>
      <w:r w:rsidRPr="00923467">
        <w:t xml:space="preserve">orporate </w:t>
      </w:r>
      <w:r w:rsidR="00715481" w:rsidRPr="00923467">
        <w:t>Services</w:t>
      </w:r>
      <w:r w:rsidRPr="00923467">
        <w:t xml:space="preserve"> Department</w:t>
      </w:r>
      <w:r w:rsidR="009F7C41" w:rsidRPr="00923467">
        <w:t xml:space="preserve">, and Board </w:t>
      </w:r>
      <w:proofErr w:type="gramStart"/>
      <w:r w:rsidR="009F7C41" w:rsidRPr="00923467">
        <w:t>Secretariat</w:t>
      </w:r>
      <w:r w:rsidRPr="00923467">
        <w:t>;</w:t>
      </w:r>
      <w:proofErr w:type="gramEnd"/>
      <w:r w:rsidRPr="00923467">
        <w:t xml:space="preserve"> </w:t>
      </w:r>
    </w:p>
    <w:p w14:paraId="536C6EDC" w14:textId="382CC8F0" w:rsidR="009F7C41" w:rsidRPr="00923467" w:rsidRDefault="00414136" w:rsidP="00923467">
      <w:pPr>
        <w:pStyle w:val="ListParagraph"/>
        <w:numPr>
          <w:ilvl w:val="0"/>
          <w:numId w:val="9"/>
        </w:numPr>
      </w:pPr>
      <w:r w:rsidRPr="00923467">
        <w:t xml:space="preserve">Renovation </w:t>
      </w:r>
      <w:r w:rsidR="009F7C41" w:rsidRPr="00923467">
        <w:t>of B</w:t>
      </w:r>
      <w:r w:rsidRPr="00923467">
        <w:t xml:space="preserve">lock </w:t>
      </w:r>
      <w:r w:rsidR="009F7C41" w:rsidRPr="00923467">
        <w:t>M</w:t>
      </w:r>
      <w:r w:rsidRPr="00923467">
        <w:t xml:space="preserve">anagement </w:t>
      </w:r>
      <w:r w:rsidR="009F7C41" w:rsidRPr="00923467">
        <w:t>S</w:t>
      </w:r>
      <w:r w:rsidRPr="00923467">
        <w:t>ystem (BMS)</w:t>
      </w:r>
      <w:r w:rsidR="009F7C41" w:rsidRPr="00923467">
        <w:t xml:space="preserve"> </w:t>
      </w:r>
      <w:r w:rsidRPr="00923467">
        <w:t>O</w:t>
      </w:r>
      <w:r w:rsidR="009F7C41" w:rsidRPr="00923467">
        <w:t>ffice</w:t>
      </w:r>
      <w:r w:rsidRPr="00923467">
        <w:t xml:space="preserve"> at</w:t>
      </w:r>
      <w:r w:rsidR="009F7C41" w:rsidRPr="00923467">
        <w:t xml:space="preserve"> </w:t>
      </w:r>
      <w:proofErr w:type="gramStart"/>
      <w:r w:rsidR="009F7C41" w:rsidRPr="00923467">
        <w:t>Waterloo</w:t>
      </w:r>
      <w:r w:rsidRPr="00923467">
        <w:t>;</w:t>
      </w:r>
      <w:proofErr w:type="gramEnd"/>
    </w:p>
    <w:p w14:paraId="5B2F8A6D" w14:textId="6D0148C4" w:rsidR="009F7C41" w:rsidRPr="00923467" w:rsidRDefault="009F7C41" w:rsidP="00923467">
      <w:pPr>
        <w:pStyle w:val="ListParagraph"/>
        <w:numPr>
          <w:ilvl w:val="0"/>
          <w:numId w:val="9"/>
        </w:numPr>
      </w:pPr>
      <w:r w:rsidRPr="00923467">
        <w:t xml:space="preserve">Acquisition of land for </w:t>
      </w:r>
      <w:r w:rsidR="00414136" w:rsidRPr="00923467">
        <w:t xml:space="preserve">the construction of a </w:t>
      </w:r>
      <w:r w:rsidRPr="00923467">
        <w:t xml:space="preserve">proposed </w:t>
      </w:r>
      <w:r w:rsidR="00414136" w:rsidRPr="00923467">
        <w:t xml:space="preserve">NRA office in </w:t>
      </w:r>
      <w:r w:rsidRPr="00923467">
        <w:t xml:space="preserve">Port </w:t>
      </w:r>
      <w:proofErr w:type="gramStart"/>
      <w:r w:rsidRPr="00923467">
        <w:t>Loko</w:t>
      </w:r>
      <w:r w:rsidR="00414136" w:rsidRPr="00923467">
        <w:t>;</w:t>
      </w:r>
      <w:proofErr w:type="gramEnd"/>
    </w:p>
    <w:p w14:paraId="4813A850" w14:textId="70DD9C36" w:rsidR="009F7C41" w:rsidRPr="00923467" w:rsidRDefault="009F7C41" w:rsidP="00923467">
      <w:pPr>
        <w:pStyle w:val="ListParagraph"/>
        <w:numPr>
          <w:ilvl w:val="0"/>
          <w:numId w:val="9"/>
        </w:numPr>
      </w:pPr>
      <w:r w:rsidRPr="00923467">
        <w:t xml:space="preserve">Refurbishment and furnishing of office space for </w:t>
      </w:r>
      <w:r w:rsidR="00414136" w:rsidRPr="00923467">
        <w:t xml:space="preserve">CSD </w:t>
      </w:r>
      <w:r w:rsidRPr="00923467">
        <w:t xml:space="preserve">Baggage </w:t>
      </w:r>
      <w:r w:rsidR="00414136" w:rsidRPr="00923467">
        <w:t>Unit O</w:t>
      </w:r>
      <w:r w:rsidRPr="00923467">
        <w:t>ffice</w:t>
      </w:r>
      <w:r w:rsidR="00414136" w:rsidRPr="00923467">
        <w:t xml:space="preserve"> at the Freetown </w:t>
      </w:r>
      <w:r w:rsidRPr="00923467">
        <w:t>International Airport</w:t>
      </w:r>
      <w:r w:rsidR="00414136" w:rsidRPr="00923467">
        <w:t xml:space="preserve"> in </w:t>
      </w:r>
      <w:proofErr w:type="gramStart"/>
      <w:r w:rsidR="00414136" w:rsidRPr="00923467">
        <w:t>Lungi;</w:t>
      </w:r>
      <w:proofErr w:type="gramEnd"/>
    </w:p>
    <w:p w14:paraId="4E99EF87" w14:textId="196F8AD1" w:rsidR="009F7C41" w:rsidRPr="00923467" w:rsidRDefault="00414136" w:rsidP="00923467">
      <w:pPr>
        <w:pStyle w:val="ListParagraph"/>
        <w:numPr>
          <w:ilvl w:val="0"/>
          <w:numId w:val="9"/>
        </w:numPr>
      </w:pPr>
      <w:r w:rsidRPr="00923467">
        <w:t>R</w:t>
      </w:r>
      <w:r w:rsidR="009F7C41" w:rsidRPr="00923467">
        <w:t xml:space="preserve">efurbishment of </w:t>
      </w:r>
      <w:r w:rsidRPr="00923467">
        <w:t xml:space="preserve">the CSD </w:t>
      </w:r>
      <w:r w:rsidR="009F7C41" w:rsidRPr="00923467">
        <w:t xml:space="preserve">Cargo Inspection Facility </w:t>
      </w:r>
      <w:r w:rsidRPr="00923467">
        <w:t>O</w:t>
      </w:r>
      <w:r w:rsidR="009F7C41" w:rsidRPr="00923467">
        <w:t>ffice</w:t>
      </w:r>
      <w:r w:rsidRPr="00923467">
        <w:t xml:space="preserve"> at the Freetown International Airport in </w:t>
      </w:r>
      <w:r w:rsidR="009F7C41" w:rsidRPr="00923467">
        <w:t>Lungi</w:t>
      </w:r>
      <w:r w:rsidRPr="00923467">
        <w:t xml:space="preserve">; </w:t>
      </w:r>
      <w:r w:rsidR="00BC1DA1" w:rsidRPr="00923467">
        <w:t>and</w:t>
      </w:r>
    </w:p>
    <w:p w14:paraId="515459D7" w14:textId="77777777" w:rsidR="009F7C41" w:rsidRPr="00923467" w:rsidRDefault="009F7C41" w:rsidP="00923467">
      <w:pPr>
        <w:pStyle w:val="ListParagraph"/>
        <w:numPr>
          <w:ilvl w:val="0"/>
          <w:numId w:val="9"/>
        </w:numPr>
      </w:pPr>
      <w:r w:rsidRPr="00923467">
        <w:t>Architectural design completed for:</w:t>
      </w:r>
    </w:p>
    <w:p w14:paraId="2C0760F4" w14:textId="7B6CEE4D" w:rsidR="009F7C41" w:rsidRPr="00923467" w:rsidRDefault="009F7C41" w:rsidP="00923467">
      <w:pPr>
        <w:pStyle w:val="ListParagraph"/>
        <w:numPr>
          <w:ilvl w:val="0"/>
          <w:numId w:val="10"/>
        </w:numPr>
      </w:pPr>
      <w:r w:rsidRPr="00923467">
        <w:t xml:space="preserve">Office and staff accommodation at </w:t>
      </w:r>
      <w:proofErr w:type="spellStart"/>
      <w:proofErr w:type="gramStart"/>
      <w:r w:rsidRPr="00923467">
        <w:t>Dogoloya</w:t>
      </w:r>
      <w:proofErr w:type="spellEnd"/>
      <w:r w:rsidR="00BC1DA1" w:rsidRPr="00923467">
        <w:t>;</w:t>
      </w:r>
      <w:proofErr w:type="gramEnd"/>
      <w:r w:rsidRPr="00923467">
        <w:t xml:space="preserve">  </w:t>
      </w:r>
    </w:p>
    <w:p w14:paraId="321F2DEF" w14:textId="1CFF07E5" w:rsidR="009F7C41" w:rsidRPr="00923467" w:rsidRDefault="009F7C41" w:rsidP="00923467">
      <w:pPr>
        <w:pStyle w:val="ListParagraph"/>
        <w:numPr>
          <w:ilvl w:val="0"/>
          <w:numId w:val="10"/>
        </w:numPr>
      </w:pPr>
      <w:r w:rsidRPr="00923467">
        <w:t xml:space="preserve">Staff accommodation at </w:t>
      </w:r>
      <w:proofErr w:type="gramStart"/>
      <w:r w:rsidRPr="00923467">
        <w:t>Sanya</w:t>
      </w:r>
      <w:r w:rsidR="00BC1DA1" w:rsidRPr="00923467">
        <w:t>;</w:t>
      </w:r>
      <w:proofErr w:type="gramEnd"/>
      <w:r w:rsidRPr="00923467">
        <w:t xml:space="preserve"> </w:t>
      </w:r>
    </w:p>
    <w:p w14:paraId="7131F3A0" w14:textId="3E1A43B0" w:rsidR="009F7C41" w:rsidRPr="00923467" w:rsidRDefault="009F7C41" w:rsidP="00923467">
      <w:pPr>
        <w:pStyle w:val="ListParagraph"/>
        <w:numPr>
          <w:ilvl w:val="0"/>
          <w:numId w:val="10"/>
        </w:numPr>
      </w:pPr>
      <w:r w:rsidRPr="00923467">
        <w:t xml:space="preserve">Proposed </w:t>
      </w:r>
      <w:r w:rsidR="00BC1DA1" w:rsidRPr="00923467">
        <w:t>n</w:t>
      </w:r>
      <w:r w:rsidRPr="00923467">
        <w:t xml:space="preserve">ew </w:t>
      </w:r>
      <w:r w:rsidR="00BC1DA1" w:rsidRPr="00923467">
        <w:t>c</w:t>
      </w:r>
      <w:r w:rsidRPr="00923467">
        <w:t xml:space="preserve">argo </w:t>
      </w:r>
      <w:r w:rsidR="00BC1DA1" w:rsidRPr="00923467">
        <w:t>i</w:t>
      </w:r>
      <w:r w:rsidRPr="00923467">
        <w:t xml:space="preserve">nspection </w:t>
      </w:r>
      <w:r w:rsidR="00BC1DA1" w:rsidRPr="00923467">
        <w:t>f</w:t>
      </w:r>
      <w:r w:rsidRPr="00923467">
        <w:t xml:space="preserve">acility </w:t>
      </w:r>
      <w:r w:rsidR="00BC1DA1" w:rsidRPr="00923467">
        <w:t>at</w:t>
      </w:r>
      <w:r w:rsidRPr="00923467">
        <w:t xml:space="preserve"> </w:t>
      </w:r>
      <w:proofErr w:type="spellStart"/>
      <w:proofErr w:type="gramStart"/>
      <w:r w:rsidRPr="00923467">
        <w:t>Gbalamuya</w:t>
      </w:r>
      <w:proofErr w:type="spellEnd"/>
      <w:r w:rsidR="00BC1DA1" w:rsidRPr="00923467">
        <w:t>;</w:t>
      </w:r>
      <w:proofErr w:type="gramEnd"/>
    </w:p>
    <w:p w14:paraId="245C3E1B" w14:textId="4D930316" w:rsidR="009F7C41" w:rsidRPr="00923467" w:rsidRDefault="009F7C41" w:rsidP="00923467">
      <w:pPr>
        <w:pStyle w:val="ListParagraph"/>
        <w:numPr>
          <w:ilvl w:val="0"/>
          <w:numId w:val="10"/>
        </w:numPr>
      </w:pPr>
      <w:r w:rsidRPr="00923467">
        <w:t xml:space="preserve">New </w:t>
      </w:r>
      <w:proofErr w:type="spellStart"/>
      <w:r w:rsidRPr="00923467">
        <w:t>Rokupr</w:t>
      </w:r>
      <w:proofErr w:type="spellEnd"/>
      <w:r w:rsidRPr="00923467">
        <w:t xml:space="preserve"> Customs Post</w:t>
      </w:r>
      <w:r w:rsidR="00BC1DA1" w:rsidRPr="00923467">
        <w:t xml:space="preserve"> at</w:t>
      </w:r>
      <w:r w:rsidRPr="00923467">
        <w:t xml:space="preserve"> </w:t>
      </w:r>
      <w:proofErr w:type="spellStart"/>
      <w:r w:rsidRPr="00923467">
        <w:t>Kambia</w:t>
      </w:r>
      <w:proofErr w:type="spellEnd"/>
      <w:r w:rsidR="00BC1DA1" w:rsidRPr="00923467">
        <w:t>; and</w:t>
      </w:r>
    </w:p>
    <w:p w14:paraId="5C8CA199" w14:textId="77684625" w:rsidR="009F7C41" w:rsidRPr="00923467" w:rsidRDefault="009F7C41" w:rsidP="00923467">
      <w:pPr>
        <w:pStyle w:val="ListParagraph"/>
        <w:numPr>
          <w:ilvl w:val="0"/>
          <w:numId w:val="10"/>
        </w:numPr>
      </w:pPr>
      <w:r w:rsidRPr="00923467">
        <w:t xml:space="preserve">Staff accommodation and </w:t>
      </w:r>
      <w:r w:rsidR="00BC1DA1" w:rsidRPr="00923467">
        <w:t>p</w:t>
      </w:r>
      <w:r w:rsidRPr="00923467">
        <w:t xml:space="preserve">roposed </w:t>
      </w:r>
      <w:r w:rsidR="00BC1DA1" w:rsidRPr="00923467">
        <w:t>c</w:t>
      </w:r>
      <w:r w:rsidRPr="00923467">
        <w:t xml:space="preserve">argo </w:t>
      </w:r>
      <w:r w:rsidR="00BC1DA1" w:rsidRPr="00923467">
        <w:t>i</w:t>
      </w:r>
      <w:r w:rsidRPr="00923467">
        <w:t xml:space="preserve">nspection </w:t>
      </w:r>
      <w:r w:rsidR="00BC1DA1" w:rsidRPr="00923467">
        <w:t>f</w:t>
      </w:r>
      <w:r w:rsidRPr="00923467">
        <w:t xml:space="preserve">acility at </w:t>
      </w:r>
      <w:proofErr w:type="spellStart"/>
      <w:r w:rsidRPr="00923467">
        <w:t>Jendema</w:t>
      </w:r>
      <w:proofErr w:type="spellEnd"/>
      <w:r w:rsidR="00BC1DA1" w:rsidRPr="00923467">
        <w:t>.</w:t>
      </w:r>
    </w:p>
    <w:p w14:paraId="22A3ED9A" w14:textId="77777777" w:rsidR="00C312EB" w:rsidRDefault="00C312EB" w:rsidP="00923467"/>
    <w:p w14:paraId="799A1FEA" w14:textId="77777777" w:rsidR="00FE4F6E" w:rsidRPr="00923467" w:rsidRDefault="00FE4F6E" w:rsidP="00923467"/>
    <w:p w14:paraId="5718AC05" w14:textId="6A32318D" w:rsidR="00A9368D" w:rsidRPr="00923467" w:rsidRDefault="00A9368D" w:rsidP="00923467">
      <w:pPr>
        <w:pStyle w:val="Heading2"/>
      </w:pPr>
      <w:bookmarkStart w:id="36" w:name="_Toc137831077"/>
      <w:r w:rsidRPr="00923467">
        <w:t>HUMAN RESOURCE MANAGEMENT</w:t>
      </w:r>
      <w:bookmarkEnd w:id="36"/>
      <w:r w:rsidRPr="00923467">
        <w:t xml:space="preserve"> </w:t>
      </w:r>
    </w:p>
    <w:p w14:paraId="62C58D14" w14:textId="2D7307C5" w:rsidR="00A9368D" w:rsidRPr="00923467" w:rsidRDefault="003F3322" w:rsidP="00923467">
      <w:r w:rsidRPr="00923467">
        <w:t xml:space="preserve">Issues of recruitment, training, maintenance and review of staff </w:t>
      </w:r>
      <w:r w:rsidR="008909AB" w:rsidRPr="00923467">
        <w:t>records,</w:t>
      </w:r>
      <w:r w:rsidRPr="00923467">
        <w:t xml:space="preserve"> and staff appraisal are </w:t>
      </w:r>
      <w:r w:rsidR="009534DA" w:rsidRPr="00923467">
        <w:t>handled by</w:t>
      </w:r>
      <w:r w:rsidRPr="00923467">
        <w:t xml:space="preserve"> the Human Resource Department</w:t>
      </w:r>
      <w:r w:rsidR="006D7CC3" w:rsidRPr="00923467">
        <w:t xml:space="preserve"> (HRD)</w:t>
      </w:r>
      <w:r w:rsidRPr="00923467">
        <w:t xml:space="preserve">. </w:t>
      </w:r>
      <w:r w:rsidR="002F7DE7" w:rsidRPr="00923467">
        <w:t xml:space="preserve">This Department has three </w:t>
      </w:r>
      <w:r w:rsidR="001C5E0F" w:rsidRPr="00923467">
        <w:t xml:space="preserve">(3) </w:t>
      </w:r>
      <w:r w:rsidR="002F7DE7" w:rsidRPr="00923467">
        <w:t xml:space="preserve">units (Salary and Records; Training, Manpower Planning and Capacity Building; and Recruitment and Appraisal) that carry out these functions. This section provides an </w:t>
      </w:r>
      <w:r w:rsidR="00B71B8F" w:rsidRPr="00923467">
        <w:t>update</w:t>
      </w:r>
      <w:r w:rsidR="002F7DE7" w:rsidRPr="00923467">
        <w:t xml:space="preserve"> </w:t>
      </w:r>
      <w:r w:rsidR="00C312EB" w:rsidRPr="00923467">
        <w:t xml:space="preserve">on </w:t>
      </w:r>
      <w:r w:rsidR="002F7DE7" w:rsidRPr="00923467">
        <w:t xml:space="preserve">the key activities completed by the HRD </w:t>
      </w:r>
      <w:r w:rsidR="001C5E0F" w:rsidRPr="00923467">
        <w:t xml:space="preserve">during </w:t>
      </w:r>
      <w:r w:rsidR="002F7DE7" w:rsidRPr="00923467">
        <w:t>the period under review.</w:t>
      </w:r>
    </w:p>
    <w:p w14:paraId="7E1C79A5" w14:textId="77777777" w:rsidR="00FE4F6E" w:rsidRDefault="00FE4F6E" w:rsidP="00EF2D32">
      <w:pPr>
        <w:pStyle w:val="Heading3"/>
      </w:pPr>
    </w:p>
    <w:p w14:paraId="202E9DA8" w14:textId="28C73A83" w:rsidR="00D179B7" w:rsidRPr="00923467" w:rsidRDefault="00D27E31" w:rsidP="00EF2D32">
      <w:pPr>
        <w:pStyle w:val="Heading3"/>
        <w:rPr>
          <w:highlight w:val="yellow"/>
        </w:rPr>
      </w:pPr>
      <w:bookmarkStart w:id="37" w:name="_Toc137831078"/>
      <w:r w:rsidRPr="00923467">
        <w:t>Staff Strength</w:t>
      </w:r>
      <w:bookmarkEnd w:id="37"/>
      <w:r w:rsidR="00A661F1" w:rsidRPr="00923467">
        <w:t xml:space="preserve"> </w:t>
      </w:r>
    </w:p>
    <w:p w14:paraId="18F9E8BB" w14:textId="62D8ED6F" w:rsidR="00C312EB" w:rsidRPr="00923467" w:rsidRDefault="0039370F" w:rsidP="00923467">
      <w:pPr>
        <w:rPr>
          <w:highlight w:val="yellow"/>
        </w:rPr>
      </w:pPr>
      <w:r w:rsidRPr="00FE4F6E">
        <w:t xml:space="preserve">Table </w:t>
      </w:r>
      <w:r w:rsidR="00C312EB" w:rsidRPr="00FE4F6E">
        <w:t xml:space="preserve">9 </w:t>
      </w:r>
      <w:r w:rsidR="0021229F" w:rsidRPr="00FE4F6E">
        <w:t xml:space="preserve">compares 2021 and 2022 </w:t>
      </w:r>
      <w:r w:rsidRPr="00FE4F6E">
        <w:t>staff</w:t>
      </w:r>
      <w:r w:rsidRPr="00923467">
        <w:t xml:space="preserve"> strength </w:t>
      </w:r>
      <w:r w:rsidR="0021229F" w:rsidRPr="00923467">
        <w:t xml:space="preserve">of the Authority by gender. </w:t>
      </w:r>
      <w:r w:rsidR="0003684F" w:rsidRPr="00923467">
        <w:t xml:space="preserve">The total number of staff of the </w:t>
      </w:r>
      <w:r w:rsidR="005A36FB" w:rsidRPr="00923467">
        <w:t xml:space="preserve">Authority </w:t>
      </w:r>
      <w:r w:rsidR="0003684F" w:rsidRPr="00923467">
        <w:t>increased</w:t>
      </w:r>
      <w:r w:rsidR="005A36FB" w:rsidRPr="00923467">
        <w:t xml:space="preserve"> </w:t>
      </w:r>
      <w:r w:rsidR="006F357C" w:rsidRPr="00923467">
        <w:t xml:space="preserve">in 2022 </w:t>
      </w:r>
      <w:r w:rsidR="0003684F" w:rsidRPr="00923467">
        <w:t xml:space="preserve">by 15 from </w:t>
      </w:r>
      <w:r w:rsidR="00A661F1" w:rsidRPr="00923467">
        <w:t>795 in 2021</w:t>
      </w:r>
      <w:r w:rsidR="0003684F" w:rsidRPr="00923467">
        <w:t xml:space="preserve">. </w:t>
      </w:r>
      <w:r w:rsidR="005A36FB" w:rsidRPr="00923467">
        <w:t xml:space="preserve">It can be seen from the Table that the total number of male staff decreased in 2022 by 4 </w:t>
      </w:r>
      <w:r w:rsidR="00D179B7" w:rsidRPr="00923467">
        <w:t xml:space="preserve">from 612 in 2021 </w:t>
      </w:r>
      <w:r w:rsidR="005A36FB" w:rsidRPr="00923467">
        <w:t xml:space="preserve">while </w:t>
      </w:r>
      <w:r w:rsidR="00D179B7" w:rsidRPr="00923467">
        <w:t>the number</w:t>
      </w:r>
      <w:r w:rsidR="005A36FB" w:rsidRPr="00923467">
        <w:t xml:space="preserve"> of female staff increased by 19</w:t>
      </w:r>
      <w:r w:rsidR="00D179B7" w:rsidRPr="00923467">
        <w:t xml:space="preserve"> from 186 in 2021</w:t>
      </w:r>
      <w:r w:rsidR="005A36FB" w:rsidRPr="00923467">
        <w:t xml:space="preserve">. Although the number of male </w:t>
      </w:r>
      <w:r w:rsidR="00A20236" w:rsidRPr="00923467">
        <w:t xml:space="preserve">staff </w:t>
      </w:r>
      <w:r w:rsidR="005A36FB" w:rsidRPr="00923467">
        <w:t>accounted for 75</w:t>
      </w:r>
      <w:r w:rsidR="00A20236" w:rsidRPr="00923467">
        <w:t>.1</w:t>
      </w:r>
      <w:r w:rsidR="005A36FB" w:rsidRPr="00923467">
        <w:t>% of the total staff population</w:t>
      </w:r>
      <w:r w:rsidR="00836520" w:rsidRPr="00923467">
        <w:t xml:space="preserve"> in 2022</w:t>
      </w:r>
      <w:r w:rsidR="005A36FB" w:rsidRPr="00923467">
        <w:t xml:space="preserve">, the growing rate of employment of female staff </w:t>
      </w:r>
      <w:r w:rsidR="00D179B7" w:rsidRPr="00923467">
        <w:t xml:space="preserve">by the Authority </w:t>
      </w:r>
      <w:r w:rsidR="005A36FB" w:rsidRPr="00923467">
        <w:t xml:space="preserve">shows commitment of management to gender mainstreaming. </w:t>
      </w:r>
    </w:p>
    <w:p w14:paraId="30685AA1" w14:textId="559DD73A" w:rsidR="00A9368D" w:rsidRDefault="00A9368D" w:rsidP="00923467"/>
    <w:p w14:paraId="00142551" w14:textId="77777777" w:rsidR="00A65C88" w:rsidRDefault="00A65C88" w:rsidP="00923467"/>
    <w:p w14:paraId="0ECE8FBB" w14:textId="77777777" w:rsidR="00A65C88" w:rsidRDefault="00A65C88" w:rsidP="00923467"/>
    <w:p w14:paraId="7D11EBD7" w14:textId="77777777" w:rsidR="00A65C88" w:rsidRDefault="00A65C88" w:rsidP="00923467"/>
    <w:p w14:paraId="344A43A6" w14:textId="77777777" w:rsidR="00A65C88" w:rsidRDefault="00A65C88" w:rsidP="00923467"/>
    <w:p w14:paraId="6F72F05E" w14:textId="77777777" w:rsidR="00A65C88" w:rsidRDefault="00A65C88" w:rsidP="00923467"/>
    <w:p w14:paraId="09298077" w14:textId="77777777" w:rsidR="00A65C88" w:rsidRDefault="00A65C88" w:rsidP="00923467"/>
    <w:p w14:paraId="1FF3619E" w14:textId="77777777" w:rsidR="00A65C88" w:rsidRDefault="00A65C88" w:rsidP="00923467"/>
    <w:p w14:paraId="4784C9C9" w14:textId="77777777" w:rsidR="00A65C88" w:rsidRDefault="00A65C88" w:rsidP="00923467"/>
    <w:p w14:paraId="17841AC9" w14:textId="77777777" w:rsidR="00A65C88" w:rsidRDefault="00A65C88" w:rsidP="00923467"/>
    <w:p w14:paraId="6F0012E3" w14:textId="77777777" w:rsidR="00A65C88" w:rsidRPr="00923467" w:rsidRDefault="00A65C88" w:rsidP="00923467"/>
    <w:tbl>
      <w:tblPr>
        <w:tblStyle w:val="GridTable4-Accent5"/>
        <w:tblW w:w="0" w:type="auto"/>
        <w:tblLook w:val="04A0" w:firstRow="1" w:lastRow="0" w:firstColumn="1" w:lastColumn="0" w:noHBand="0" w:noVBand="1"/>
      </w:tblPr>
      <w:tblGrid>
        <w:gridCol w:w="1480"/>
        <w:gridCol w:w="571"/>
        <w:gridCol w:w="571"/>
        <w:gridCol w:w="974"/>
        <w:gridCol w:w="571"/>
        <w:gridCol w:w="571"/>
        <w:gridCol w:w="974"/>
      </w:tblGrid>
      <w:tr w:rsidR="00FE4F6E" w:rsidRPr="00FE4F6E" w14:paraId="3EE738AF" w14:textId="77777777" w:rsidTr="009A519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hideMark/>
          </w:tcPr>
          <w:p w14:paraId="57C116E3" w14:textId="17CC54E6" w:rsidR="00C312EB" w:rsidRPr="009A5197" w:rsidRDefault="00C312EB" w:rsidP="00923467">
            <w:pPr>
              <w:rPr>
                <w:sz w:val="18"/>
                <w:szCs w:val="18"/>
              </w:rPr>
            </w:pPr>
            <w:bookmarkStart w:id="38" w:name="_Hlk92891037"/>
          </w:p>
        </w:tc>
        <w:tc>
          <w:tcPr>
            <w:tcW w:w="0" w:type="auto"/>
            <w:gridSpan w:val="3"/>
            <w:tcBorders>
              <w:bottom w:val="nil"/>
            </w:tcBorders>
            <w:hideMark/>
          </w:tcPr>
          <w:p w14:paraId="1CBC710B" w14:textId="1F855CB6" w:rsidR="00C312EB" w:rsidRPr="009A5197" w:rsidRDefault="00C312EB" w:rsidP="009A5197">
            <w:pPr>
              <w:jc w:val="center"/>
              <w:cnfStyle w:val="100000000000" w:firstRow="1" w:lastRow="0" w:firstColumn="0" w:lastColumn="0" w:oddVBand="0" w:evenVBand="0" w:oddHBand="0" w:evenHBand="0" w:firstRowFirstColumn="0" w:firstRowLastColumn="0" w:lastRowFirstColumn="0" w:lastRowLastColumn="0"/>
              <w:rPr>
                <w:sz w:val="18"/>
                <w:szCs w:val="18"/>
              </w:rPr>
            </w:pPr>
            <w:r w:rsidRPr="009A5197">
              <w:rPr>
                <w:sz w:val="18"/>
                <w:szCs w:val="18"/>
              </w:rPr>
              <w:t>Male</w:t>
            </w:r>
          </w:p>
        </w:tc>
        <w:tc>
          <w:tcPr>
            <w:tcW w:w="0" w:type="auto"/>
            <w:gridSpan w:val="3"/>
            <w:tcBorders>
              <w:bottom w:val="nil"/>
            </w:tcBorders>
            <w:hideMark/>
          </w:tcPr>
          <w:p w14:paraId="34E7E273" w14:textId="7C888156" w:rsidR="00C312EB" w:rsidRPr="009A5197" w:rsidRDefault="00C312EB" w:rsidP="009A5197">
            <w:pPr>
              <w:jc w:val="center"/>
              <w:cnfStyle w:val="100000000000" w:firstRow="1" w:lastRow="0" w:firstColumn="0" w:lastColumn="0" w:oddVBand="0" w:evenVBand="0" w:oddHBand="0" w:evenHBand="0" w:firstRowFirstColumn="0" w:firstRowLastColumn="0" w:lastRowFirstColumn="0" w:lastRowLastColumn="0"/>
              <w:rPr>
                <w:sz w:val="18"/>
                <w:szCs w:val="18"/>
              </w:rPr>
            </w:pPr>
            <w:r w:rsidRPr="009A5197">
              <w:rPr>
                <w:sz w:val="18"/>
                <w:szCs w:val="18"/>
              </w:rPr>
              <w:t>Female</w:t>
            </w:r>
          </w:p>
        </w:tc>
      </w:tr>
      <w:tr w:rsidR="00FE4F6E" w:rsidRPr="00FE4F6E" w14:paraId="4173A467"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5B9BD5" w:themeFill="accent5"/>
            <w:hideMark/>
          </w:tcPr>
          <w:p w14:paraId="4776626C" w14:textId="77777777" w:rsidR="00676FE2" w:rsidRPr="009A5197" w:rsidRDefault="00676FE2" w:rsidP="00923467">
            <w:pPr>
              <w:rPr>
                <w:sz w:val="18"/>
                <w:szCs w:val="18"/>
              </w:rPr>
            </w:pPr>
          </w:p>
        </w:tc>
        <w:tc>
          <w:tcPr>
            <w:tcW w:w="0" w:type="auto"/>
            <w:tcBorders>
              <w:top w:val="nil"/>
              <w:left w:val="nil"/>
              <w:bottom w:val="nil"/>
              <w:right w:val="nil"/>
            </w:tcBorders>
            <w:shd w:val="clear" w:color="auto" w:fill="5B9BD5" w:themeFill="accent5"/>
            <w:hideMark/>
          </w:tcPr>
          <w:p w14:paraId="23AAA2B3" w14:textId="1BD6B5CF" w:rsidR="00676FE2" w:rsidRPr="009A5197" w:rsidRDefault="00C312EB" w:rsidP="00923467">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9A5197">
              <w:rPr>
                <w:color w:val="FFFFFF" w:themeColor="background1"/>
                <w:sz w:val="18"/>
                <w:szCs w:val="18"/>
              </w:rPr>
              <w:t>2022</w:t>
            </w:r>
          </w:p>
        </w:tc>
        <w:tc>
          <w:tcPr>
            <w:tcW w:w="0" w:type="auto"/>
            <w:tcBorders>
              <w:top w:val="nil"/>
              <w:left w:val="nil"/>
              <w:bottom w:val="nil"/>
              <w:right w:val="nil"/>
            </w:tcBorders>
            <w:shd w:val="clear" w:color="auto" w:fill="5B9BD5" w:themeFill="accent5"/>
            <w:hideMark/>
          </w:tcPr>
          <w:p w14:paraId="64308238" w14:textId="17097987" w:rsidR="00676FE2" w:rsidRPr="009A5197" w:rsidRDefault="00C312EB" w:rsidP="00923467">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9A5197">
              <w:rPr>
                <w:color w:val="FFFFFF" w:themeColor="background1"/>
                <w:sz w:val="18"/>
                <w:szCs w:val="18"/>
              </w:rPr>
              <w:t>2021</w:t>
            </w:r>
          </w:p>
        </w:tc>
        <w:tc>
          <w:tcPr>
            <w:tcW w:w="0" w:type="auto"/>
            <w:tcBorders>
              <w:top w:val="nil"/>
              <w:left w:val="nil"/>
              <w:bottom w:val="nil"/>
              <w:right w:val="nil"/>
            </w:tcBorders>
            <w:shd w:val="clear" w:color="auto" w:fill="5B9BD5" w:themeFill="accent5"/>
            <w:hideMark/>
          </w:tcPr>
          <w:p w14:paraId="34008C57" w14:textId="6187F3C7" w:rsidR="00676FE2" w:rsidRPr="009A5197" w:rsidRDefault="00C312EB" w:rsidP="00923467">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9A5197">
              <w:rPr>
                <w:color w:val="FFFFFF" w:themeColor="background1"/>
                <w:sz w:val="18"/>
                <w:szCs w:val="18"/>
              </w:rPr>
              <w:t>Difference</w:t>
            </w:r>
          </w:p>
        </w:tc>
        <w:tc>
          <w:tcPr>
            <w:tcW w:w="0" w:type="auto"/>
            <w:tcBorders>
              <w:top w:val="nil"/>
              <w:left w:val="nil"/>
              <w:bottom w:val="nil"/>
              <w:right w:val="nil"/>
            </w:tcBorders>
            <w:shd w:val="clear" w:color="auto" w:fill="5B9BD5" w:themeFill="accent5"/>
            <w:hideMark/>
          </w:tcPr>
          <w:p w14:paraId="1414B1F6" w14:textId="379FFAED" w:rsidR="00676FE2" w:rsidRPr="009A5197" w:rsidRDefault="00C312EB" w:rsidP="00923467">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9A5197">
              <w:rPr>
                <w:color w:val="FFFFFF" w:themeColor="background1"/>
                <w:sz w:val="18"/>
                <w:szCs w:val="18"/>
              </w:rPr>
              <w:t>2022</w:t>
            </w:r>
          </w:p>
        </w:tc>
        <w:tc>
          <w:tcPr>
            <w:tcW w:w="0" w:type="auto"/>
            <w:tcBorders>
              <w:top w:val="nil"/>
              <w:left w:val="nil"/>
              <w:bottom w:val="nil"/>
              <w:right w:val="nil"/>
            </w:tcBorders>
            <w:shd w:val="clear" w:color="auto" w:fill="5B9BD5" w:themeFill="accent5"/>
            <w:hideMark/>
          </w:tcPr>
          <w:p w14:paraId="78FBE15D" w14:textId="0F6A2394" w:rsidR="00676FE2" w:rsidRPr="009A5197" w:rsidRDefault="00C312EB" w:rsidP="00923467">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9A5197">
              <w:rPr>
                <w:color w:val="FFFFFF" w:themeColor="background1"/>
                <w:sz w:val="18"/>
                <w:szCs w:val="18"/>
              </w:rPr>
              <w:t>2021</w:t>
            </w:r>
          </w:p>
        </w:tc>
        <w:tc>
          <w:tcPr>
            <w:tcW w:w="0" w:type="auto"/>
            <w:tcBorders>
              <w:top w:val="nil"/>
              <w:left w:val="nil"/>
              <w:bottom w:val="nil"/>
              <w:right w:val="nil"/>
            </w:tcBorders>
            <w:shd w:val="clear" w:color="auto" w:fill="5B9BD5" w:themeFill="accent5"/>
            <w:hideMark/>
          </w:tcPr>
          <w:p w14:paraId="7201930F" w14:textId="75E39132" w:rsidR="00676FE2" w:rsidRPr="009A5197" w:rsidRDefault="00C312EB" w:rsidP="00923467">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9A5197">
              <w:rPr>
                <w:color w:val="FFFFFF" w:themeColor="background1"/>
                <w:sz w:val="18"/>
                <w:szCs w:val="18"/>
              </w:rPr>
              <w:t>Difference</w:t>
            </w:r>
          </w:p>
        </w:tc>
      </w:tr>
      <w:tr w:rsidR="009A5197" w:rsidRPr="00923467" w14:paraId="459F3A71" w14:textId="77777777" w:rsidTr="009A5197">
        <w:trPr>
          <w:trHeight w:val="340"/>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0C76EA4C" w14:textId="7927D46C" w:rsidR="00676FE2" w:rsidRPr="00542064" w:rsidRDefault="00C312EB" w:rsidP="00923467">
            <w:pPr>
              <w:rPr>
                <w:b w:val="0"/>
                <w:bCs w:val="0"/>
                <w:sz w:val="18"/>
                <w:szCs w:val="18"/>
              </w:rPr>
            </w:pPr>
            <w:r w:rsidRPr="00542064">
              <w:rPr>
                <w:b w:val="0"/>
                <w:bCs w:val="0"/>
                <w:sz w:val="18"/>
                <w:szCs w:val="18"/>
              </w:rPr>
              <w:t>C</w:t>
            </w:r>
            <w:r w:rsidR="00542064">
              <w:rPr>
                <w:b w:val="0"/>
                <w:bCs w:val="0"/>
                <w:sz w:val="18"/>
                <w:szCs w:val="18"/>
              </w:rPr>
              <w:t>G</w:t>
            </w:r>
            <w:r w:rsidRPr="00542064">
              <w:rPr>
                <w:b w:val="0"/>
                <w:bCs w:val="0"/>
                <w:sz w:val="18"/>
                <w:szCs w:val="18"/>
              </w:rPr>
              <w:t>’s Office</w:t>
            </w:r>
          </w:p>
        </w:tc>
        <w:tc>
          <w:tcPr>
            <w:tcW w:w="0" w:type="auto"/>
            <w:tcBorders>
              <w:top w:val="nil"/>
            </w:tcBorders>
            <w:hideMark/>
          </w:tcPr>
          <w:p w14:paraId="49072825"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11</w:t>
            </w:r>
          </w:p>
        </w:tc>
        <w:tc>
          <w:tcPr>
            <w:tcW w:w="0" w:type="auto"/>
            <w:tcBorders>
              <w:top w:val="nil"/>
            </w:tcBorders>
            <w:hideMark/>
          </w:tcPr>
          <w:p w14:paraId="329BF8AC"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11</w:t>
            </w:r>
          </w:p>
        </w:tc>
        <w:tc>
          <w:tcPr>
            <w:tcW w:w="0" w:type="auto"/>
            <w:tcBorders>
              <w:top w:val="nil"/>
            </w:tcBorders>
            <w:hideMark/>
          </w:tcPr>
          <w:p w14:paraId="249FA12C"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0</w:t>
            </w:r>
          </w:p>
        </w:tc>
        <w:tc>
          <w:tcPr>
            <w:tcW w:w="0" w:type="auto"/>
            <w:tcBorders>
              <w:top w:val="nil"/>
            </w:tcBorders>
            <w:hideMark/>
          </w:tcPr>
          <w:p w14:paraId="1AF6E1CA"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10</w:t>
            </w:r>
          </w:p>
        </w:tc>
        <w:tc>
          <w:tcPr>
            <w:tcW w:w="0" w:type="auto"/>
            <w:tcBorders>
              <w:top w:val="nil"/>
            </w:tcBorders>
            <w:hideMark/>
          </w:tcPr>
          <w:p w14:paraId="0C40BCD5"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9</w:t>
            </w:r>
          </w:p>
        </w:tc>
        <w:tc>
          <w:tcPr>
            <w:tcW w:w="0" w:type="auto"/>
            <w:tcBorders>
              <w:top w:val="nil"/>
            </w:tcBorders>
            <w:hideMark/>
          </w:tcPr>
          <w:p w14:paraId="2A98DE91"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w:t>
            </w:r>
          </w:p>
        </w:tc>
      </w:tr>
      <w:tr w:rsidR="00FE4F6E" w:rsidRPr="00923467" w14:paraId="40F41617"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0891CBC2" w14:textId="3646205A" w:rsidR="00676FE2" w:rsidRPr="00542064" w:rsidRDefault="00C312EB" w:rsidP="00923467">
            <w:pPr>
              <w:rPr>
                <w:b w:val="0"/>
                <w:bCs w:val="0"/>
                <w:sz w:val="18"/>
                <w:szCs w:val="18"/>
              </w:rPr>
            </w:pPr>
            <w:r w:rsidRPr="00542064">
              <w:rPr>
                <w:b w:val="0"/>
                <w:bCs w:val="0"/>
                <w:sz w:val="18"/>
                <w:szCs w:val="18"/>
              </w:rPr>
              <w:t>RIID</w:t>
            </w:r>
          </w:p>
        </w:tc>
        <w:tc>
          <w:tcPr>
            <w:tcW w:w="0" w:type="auto"/>
            <w:hideMark/>
          </w:tcPr>
          <w:p w14:paraId="5C42889F"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9</w:t>
            </w:r>
          </w:p>
        </w:tc>
        <w:tc>
          <w:tcPr>
            <w:tcW w:w="0" w:type="auto"/>
            <w:hideMark/>
          </w:tcPr>
          <w:p w14:paraId="7F802FF9"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9</w:t>
            </w:r>
          </w:p>
        </w:tc>
        <w:tc>
          <w:tcPr>
            <w:tcW w:w="0" w:type="auto"/>
            <w:hideMark/>
          </w:tcPr>
          <w:p w14:paraId="73BD5917"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0</w:t>
            </w:r>
          </w:p>
        </w:tc>
        <w:tc>
          <w:tcPr>
            <w:tcW w:w="0" w:type="auto"/>
            <w:hideMark/>
          </w:tcPr>
          <w:p w14:paraId="420FCE74"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8</w:t>
            </w:r>
          </w:p>
        </w:tc>
        <w:tc>
          <w:tcPr>
            <w:tcW w:w="0" w:type="auto"/>
            <w:hideMark/>
          </w:tcPr>
          <w:p w14:paraId="736FFECC"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3</w:t>
            </w:r>
          </w:p>
        </w:tc>
        <w:tc>
          <w:tcPr>
            <w:tcW w:w="0" w:type="auto"/>
            <w:hideMark/>
          </w:tcPr>
          <w:p w14:paraId="2A8EBCF7"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5</w:t>
            </w:r>
          </w:p>
        </w:tc>
      </w:tr>
      <w:tr w:rsidR="009A5197" w:rsidRPr="00923467" w14:paraId="7D1BD015" w14:textId="77777777" w:rsidTr="009A5197">
        <w:trPr>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6F003955" w14:textId="39348096" w:rsidR="00676FE2" w:rsidRPr="00542064" w:rsidRDefault="00C312EB" w:rsidP="00923467">
            <w:pPr>
              <w:rPr>
                <w:b w:val="0"/>
                <w:bCs w:val="0"/>
                <w:sz w:val="18"/>
                <w:szCs w:val="18"/>
              </w:rPr>
            </w:pPr>
            <w:r w:rsidRPr="00542064">
              <w:rPr>
                <w:b w:val="0"/>
                <w:bCs w:val="0"/>
                <w:sz w:val="18"/>
                <w:szCs w:val="18"/>
              </w:rPr>
              <w:t>Human Resource</w:t>
            </w:r>
          </w:p>
        </w:tc>
        <w:tc>
          <w:tcPr>
            <w:tcW w:w="0" w:type="auto"/>
            <w:hideMark/>
          </w:tcPr>
          <w:p w14:paraId="76A46EEE"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8</w:t>
            </w:r>
          </w:p>
        </w:tc>
        <w:tc>
          <w:tcPr>
            <w:tcW w:w="0" w:type="auto"/>
            <w:hideMark/>
          </w:tcPr>
          <w:p w14:paraId="1D40A6CF"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8</w:t>
            </w:r>
          </w:p>
        </w:tc>
        <w:tc>
          <w:tcPr>
            <w:tcW w:w="0" w:type="auto"/>
            <w:hideMark/>
          </w:tcPr>
          <w:p w14:paraId="544C20E6"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0</w:t>
            </w:r>
          </w:p>
        </w:tc>
        <w:tc>
          <w:tcPr>
            <w:tcW w:w="0" w:type="auto"/>
            <w:hideMark/>
          </w:tcPr>
          <w:p w14:paraId="0796FF42"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24</w:t>
            </w:r>
          </w:p>
        </w:tc>
        <w:tc>
          <w:tcPr>
            <w:tcW w:w="0" w:type="auto"/>
            <w:hideMark/>
          </w:tcPr>
          <w:p w14:paraId="46CB4970"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24</w:t>
            </w:r>
          </w:p>
        </w:tc>
        <w:tc>
          <w:tcPr>
            <w:tcW w:w="0" w:type="auto"/>
            <w:hideMark/>
          </w:tcPr>
          <w:p w14:paraId="7FCD2BF2"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0</w:t>
            </w:r>
          </w:p>
        </w:tc>
      </w:tr>
      <w:tr w:rsidR="00FE4F6E" w:rsidRPr="00923467" w14:paraId="559C56B8"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2F0AA87F" w14:textId="601FE992" w:rsidR="00676FE2" w:rsidRPr="00542064" w:rsidRDefault="00C312EB" w:rsidP="00923467">
            <w:pPr>
              <w:rPr>
                <w:b w:val="0"/>
                <w:bCs w:val="0"/>
                <w:sz w:val="18"/>
                <w:szCs w:val="18"/>
              </w:rPr>
            </w:pPr>
            <w:r w:rsidRPr="00542064">
              <w:rPr>
                <w:b w:val="0"/>
                <w:bCs w:val="0"/>
                <w:sz w:val="18"/>
                <w:szCs w:val="18"/>
              </w:rPr>
              <w:t>Staff Welfare</w:t>
            </w:r>
          </w:p>
        </w:tc>
        <w:tc>
          <w:tcPr>
            <w:tcW w:w="0" w:type="auto"/>
            <w:hideMark/>
          </w:tcPr>
          <w:p w14:paraId="46EED525"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3</w:t>
            </w:r>
          </w:p>
        </w:tc>
        <w:tc>
          <w:tcPr>
            <w:tcW w:w="0" w:type="auto"/>
            <w:hideMark/>
          </w:tcPr>
          <w:p w14:paraId="5373D172"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3</w:t>
            </w:r>
          </w:p>
        </w:tc>
        <w:tc>
          <w:tcPr>
            <w:tcW w:w="0" w:type="auto"/>
            <w:hideMark/>
          </w:tcPr>
          <w:p w14:paraId="1D36D690"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0</w:t>
            </w:r>
          </w:p>
        </w:tc>
        <w:tc>
          <w:tcPr>
            <w:tcW w:w="0" w:type="auto"/>
            <w:hideMark/>
          </w:tcPr>
          <w:p w14:paraId="5BD2051D"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1</w:t>
            </w:r>
          </w:p>
        </w:tc>
        <w:tc>
          <w:tcPr>
            <w:tcW w:w="0" w:type="auto"/>
            <w:hideMark/>
          </w:tcPr>
          <w:p w14:paraId="231B0938"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1</w:t>
            </w:r>
          </w:p>
        </w:tc>
        <w:tc>
          <w:tcPr>
            <w:tcW w:w="0" w:type="auto"/>
            <w:hideMark/>
          </w:tcPr>
          <w:p w14:paraId="5F3D8175"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0</w:t>
            </w:r>
          </w:p>
        </w:tc>
      </w:tr>
      <w:tr w:rsidR="009A5197" w:rsidRPr="00923467" w14:paraId="7CE2FBA2" w14:textId="77777777" w:rsidTr="009A5197">
        <w:trPr>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69B7BC4A" w14:textId="7E1C052A" w:rsidR="00676FE2" w:rsidRPr="00542064" w:rsidRDefault="00C312EB" w:rsidP="00923467">
            <w:pPr>
              <w:rPr>
                <w:b w:val="0"/>
                <w:bCs w:val="0"/>
                <w:sz w:val="18"/>
                <w:szCs w:val="18"/>
              </w:rPr>
            </w:pPr>
            <w:r w:rsidRPr="00542064">
              <w:rPr>
                <w:b w:val="0"/>
                <w:bCs w:val="0"/>
                <w:sz w:val="18"/>
                <w:szCs w:val="18"/>
              </w:rPr>
              <w:t>Admin</w:t>
            </w:r>
          </w:p>
        </w:tc>
        <w:tc>
          <w:tcPr>
            <w:tcW w:w="0" w:type="auto"/>
            <w:hideMark/>
          </w:tcPr>
          <w:p w14:paraId="48BF4EDB"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132</w:t>
            </w:r>
          </w:p>
        </w:tc>
        <w:tc>
          <w:tcPr>
            <w:tcW w:w="0" w:type="auto"/>
            <w:hideMark/>
          </w:tcPr>
          <w:p w14:paraId="6E40F794"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136</w:t>
            </w:r>
          </w:p>
        </w:tc>
        <w:tc>
          <w:tcPr>
            <w:tcW w:w="0" w:type="auto"/>
            <w:hideMark/>
          </w:tcPr>
          <w:p w14:paraId="4D66E8AB"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-4</w:t>
            </w:r>
          </w:p>
        </w:tc>
        <w:tc>
          <w:tcPr>
            <w:tcW w:w="0" w:type="auto"/>
            <w:hideMark/>
          </w:tcPr>
          <w:p w14:paraId="7FF8C45B"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7</w:t>
            </w:r>
          </w:p>
        </w:tc>
        <w:tc>
          <w:tcPr>
            <w:tcW w:w="0" w:type="auto"/>
            <w:hideMark/>
          </w:tcPr>
          <w:p w14:paraId="0591C7E8"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7</w:t>
            </w:r>
          </w:p>
        </w:tc>
        <w:tc>
          <w:tcPr>
            <w:tcW w:w="0" w:type="auto"/>
            <w:hideMark/>
          </w:tcPr>
          <w:p w14:paraId="44AEB1AC"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0</w:t>
            </w:r>
          </w:p>
        </w:tc>
      </w:tr>
      <w:tr w:rsidR="00FE4F6E" w:rsidRPr="00923467" w14:paraId="283F412A"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2ADC6220" w14:textId="3CCB6E6D" w:rsidR="00676FE2" w:rsidRPr="00542064" w:rsidRDefault="00C312EB" w:rsidP="00923467">
            <w:pPr>
              <w:rPr>
                <w:b w:val="0"/>
                <w:bCs w:val="0"/>
                <w:sz w:val="18"/>
                <w:szCs w:val="18"/>
              </w:rPr>
            </w:pPr>
            <w:r w:rsidRPr="00542064">
              <w:rPr>
                <w:b w:val="0"/>
                <w:bCs w:val="0"/>
                <w:sz w:val="18"/>
                <w:szCs w:val="18"/>
              </w:rPr>
              <w:t>Customs</w:t>
            </w:r>
          </w:p>
        </w:tc>
        <w:tc>
          <w:tcPr>
            <w:tcW w:w="0" w:type="auto"/>
            <w:hideMark/>
          </w:tcPr>
          <w:p w14:paraId="63AD2B3B"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177</w:t>
            </w:r>
          </w:p>
        </w:tc>
        <w:tc>
          <w:tcPr>
            <w:tcW w:w="0" w:type="auto"/>
            <w:hideMark/>
          </w:tcPr>
          <w:p w14:paraId="05606CD3"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175</w:t>
            </w:r>
          </w:p>
        </w:tc>
        <w:tc>
          <w:tcPr>
            <w:tcW w:w="0" w:type="auto"/>
            <w:hideMark/>
          </w:tcPr>
          <w:p w14:paraId="5F3B8DD4"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2</w:t>
            </w:r>
          </w:p>
        </w:tc>
        <w:tc>
          <w:tcPr>
            <w:tcW w:w="0" w:type="auto"/>
            <w:hideMark/>
          </w:tcPr>
          <w:p w14:paraId="0ABCDA2E"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45</w:t>
            </w:r>
          </w:p>
        </w:tc>
        <w:tc>
          <w:tcPr>
            <w:tcW w:w="0" w:type="auto"/>
            <w:hideMark/>
          </w:tcPr>
          <w:p w14:paraId="0A0ADA3A"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45</w:t>
            </w:r>
          </w:p>
        </w:tc>
        <w:tc>
          <w:tcPr>
            <w:tcW w:w="0" w:type="auto"/>
            <w:hideMark/>
          </w:tcPr>
          <w:p w14:paraId="5D62896F"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0</w:t>
            </w:r>
          </w:p>
        </w:tc>
      </w:tr>
      <w:tr w:rsidR="009A5197" w:rsidRPr="00923467" w14:paraId="5A682FD6" w14:textId="77777777" w:rsidTr="009A5197">
        <w:trPr>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1DB3B9EF" w14:textId="3B53F9D5" w:rsidR="00676FE2" w:rsidRPr="00542064" w:rsidRDefault="00C312EB" w:rsidP="00923467">
            <w:pPr>
              <w:rPr>
                <w:b w:val="0"/>
                <w:bCs w:val="0"/>
                <w:sz w:val="18"/>
                <w:szCs w:val="18"/>
              </w:rPr>
            </w:pPr>
            <w:r w:rsidRPr="00542064">
              <w:rPr>
                <w:b w:val="0"/>
                <w:bCs w:val="0"/>
                <w:sz w:val="18"/>
                <w:szCs w:val="18"/>
              </w:rPr>
              <w:t>NTRD</w:t>
            </w:r>
          </w:p>
        </w:tc>
        <w:tc>
          <w:tcPr>
            <w:tcW w:w="0" w:type="auto"/>
            <w:hideMark/>
          </w:tcPr>
          <w:p w14:paraId="12F0B8DA"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31</w:t>
            </w:r>
          </w:p>
        </w:tc>
        <w:tc>
          <w:tcPr>
            <w:tcW w:w="0" w:type="auto"/>
            <w:hideMark/>
          </w:tcPr>
          <w:p w14:paraId="37F0516C"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35</w:t>
            </w:r>
          </w:p>
        </w:tc>
        <w:tc>
          <w:tcPr>
            <w:tcW w:w="0" w:type="auto"/>
            <w:hideMark/>
          </w:tcPr>
          <w:p w14:paraId="197067FD"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-4</w:t>
            </w:r>
          </w:p>
        </w:tc>
        <w:tc>
          <w:tcPr>
            <w:tcW w:w="0" w:type="auto"/>
            <w:hideMark/>
          </w:tcPr>
          <w:p w14:paraId="085220E4"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19</w:t>
            </w:r>
          </w:p>
        </w:tc>
        <w:tc>
          <w:tcPr>
            <w:tcW w:w="0" w:type="auto"/>
            <w:hideMark/>
          </w:tcPr>
          <w:p w14:paraId="51C48559"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17</w:t>
            </w:r>
          </w:p>
        </w:tc>
        <w:tc>
          <w:tcPr>
            <w:tcW w:w="0" w:type="auto"/>
            <w:hideMark/>
          </w:tcPr>
          <w:p w14:paraId="7B3C7BD9"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2</w:t>
            </w:r>
          </w:p>
        </w:tc>
      </w:tr>
      <w:tr w:rsidR="00FE4F6E" w:rsidRPr="00923467" w14:paraId="5A5F3E12"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6A001642" w14:textId="18AD24EE" w:rsidR="00676FE2" w:rsidRPr="00542064" w:rsidRDefault="00C312EB" w:rsidP="00923467">
            <w:pPr>
              <w:rPr>
                <w:b w:val="0"/>
                <w:bCs w:val="0"/>
                <w:sz w:val="18"/>
                <w:szCs w:val="18"/>
              </w:rPr>
            </w:pPr>
            <w:r w:rsidRPr="00542064">
              <w:rPr>
                <w:b w:val="0"/>
                <w:bCs w:val="0"/>
                <w:sz w:val="18"/>
                <w:szCs w:val="18"/>
              </w:rPr>
              <w:t>F &amp; B</w:t>
            </w:r>
          </w:p>
        </w:tc>
        <w:tc>
          <w:tcPr>
            <w:tcW w:w="0" w:type="auto"/>
            <w:hideMark/>
          </w:tcPr>
          <w:p w14:paraId="2062C2F0"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13</w:t>
            </w:r>
          </w:p>
        </w:tc>
        <w:tc>
          <w:tcPr>
            <w:tcW w:w="0" w:type="auto"/>
            <w:hideMark/>
          </w:tcPr>
          <w:p w14:paraId="07DD2651"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15</w:t>
            </w:r>
          </w:p>
        </w:tc>
        <w:tc>
          <w:tcPr>
            <w:tcW w:w="0" w:type="auto"/>
            <w:hideMark/>
          </w:tcPr>
          <w:p w14:paraId="4A139C96"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-2</w:t>
            </w:r>
          </w:p>
        </w:tc>
        <w:tc>
          <w:tcPr>
            <w:tcW w:w="0" w:type="auto"/>
            <w:hideMark/>
          </w:tcPr>
          <w:p w14:paraId="6D6AF1F1"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6</w:t>
            </w:r>
          </w:p>
        </w:tc>
        <w:tc>
          <w:tcPr>
            <w:tcW w:w="0" w:type="auto"/>
            <w:hideMark/>
          </w:tcPr>
          <w:p w14:paraId="3AD0A762"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6</w:t>
            </w:r>
          </w:p>
        </w:tc>
        <w:tc>
          <w:tcPr>
            <w:tcW w:w="0" w:type="auto"/>
            <w:hideMark/>
          </w:tcPr>
          <w:p w14:paraId="71B225C0"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0</w:t>
            </w:r>
          </w:p>
        </w:tc>
      </w:tr>
      <w:tr w:rsidR="009A5197" w:rsidRPr="00923467" w14:paraId="4FFD3E68" w14:textId="77777777" w:rsidTr="009A5197">
        <w:trPr>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12DD142E" w14:textId="1FA431C1" w:rsidR="00676FE2" w:rsidRPr="00542064" w:rsidRDefault="00C312EB" w:rsidP="00923467">
            <w:pPr>
              <w:rPr>
                <w:b w:val="0"/>
                <w:bCs w:val="0"/>
                <w:sz w:val="18"/>
                <w:szCs w:val="18"/>
              </w:rPr>
            </w:pPr>
            <w:r w:rsidRPr="00542064">
              <w:rPr>
                <w:b w:val="0"/>
                <w:bCs w:val="0"/>
                <w:sz w:val="18"/>
                <w:szCs w:val="18"/>
              </w:rPr>
              <w:t>MRP</w:t>
            </w:r>
          </w:p>
        </w:tc>
        <w:tc>
          <w:tcPr>
            <w:tcW w:w="0" w:type="auto"/>
            <w:hideMark/>
          </w:tcPr>
          <w:p w14:paraId="465BE1CE"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12</w:t>
            </w:r>
          </w:p>
        </w:tc>
        <w:tc>
          <w:tcPr>
            <w:tcW w:w="0" w:type="auto"/>
            <w:hideMark/>
          </w:tcPr>
          <w:p w14:paraId="4DF28569"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12</w:t>
            </w:r>
          </w:p>
        </w:tc>
        <w:tc>
          <w:tcPr>
            <w:tcW w:w="0" w:type="auto"/>
            <w:hideMark/>
          </w:tcPr>
          <w:p w14:paraId="6BF4E45C"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0</w:t>
            </w:r>
          </w:p>
        </w:tc>
        <w:tc>
          <w:tcPr>
            <w:tcW w:w="0" w:type="auto"/>
            <w:hideMark/>
          </w:tcPr>
          <w:p w14:paraId="2CE987BF"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0</w:t>
            </w:r>
          </w:p>
        </w:tc>
        <w:tc>
          <w:tcPr>
            <w:tcW w:w="0" w:type="auto"/>
            <w:hideMark/>
          </w:tcPr>
          <w:p w14:paraId="16097AA3"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0</w:t>
            </w:r>
          </w:p>
        </w:tc>
        <w:tc>
          <w:tcPr>
            <w:tcW w:w="0" w:type="auto"/>
            <w:hideMark/>
          </w:tcPr>
          <w:p w14:paraId="04B2874D"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0</w:t>
            </w:r>
          </w:p>
        </w:tc>
      </w:tr>
      <w:tr w:rsidR="00FE4F6E" w:rsidRPr="00923467" w14:paraId="4DD3F3B6"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415006C7" w14:textId="791576A0" w:rsidR="00676FE2" w:rsidRPr="00542064" w:rsidRDefault="00C312EB" w:rsidP="00923467">
            <w:pPr>
              <w:rPr>
                <w:b w:val="0"/>
                <w:bCs w:val="0"/>
                <w:sz w:val="18"/>
                <w:szCs w:val="18"/>
              </w:rPr>
            </w:pPr>
            <w:r w:rsidRPr="00542064">
              <w:rPr>
                <w:b w:val="0"/>
                <w:bCs w:val="0"/>
                <w:sz w:val="18"/>
                <w:szCs w:val="18"/>
              </w:rPr>
              <w:t>ICT</w:t>
            </w:r>
          </w:p>
        </w:tc>
        <w:tc>
          <w:tcPr>
            <w:tcW w:w="0" w:type="auto"/>
            <w:hideMark/>
          </w:tcPr>
          <w:p w14:paraId="3620E8D2"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30</w:t>
            </w:r>
          </w:p>
        </w:tc>
        <w:tc>
          <w:tcPr>
            <w:tcW w:w="0" w:type="auto"/>
            <w:hideMark/>
          </w:tcPr>
          <w:p w14:paraId="279082AD"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28</w:t>
            </w:r>
          </w:p>
        </w:tc>
        <w:tc>
          <w:tcPr>
            <w:tcW w:w="0" w:type="auto"/>
            <w:hideMark/>
          </w:tcPr>
          <w:p w14:paraId="6DF1FE23"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2</w:t>
            </w:r>
          </w:p>
        </w:tc>
        <w:tc>
          <w:tcPr>
            <w:tcW w:w="0" w:type="auto"/>
            <w:hideMark/>
          </w:tcPr>
          <w:p w14:paraId="77AF7601"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3</w:t>
            </w:r>
          </w:p>
        </w:tc>
        <w:tc>
          <w:tcPr>
            <w:tcW w:w="0" w:type="auto"/>
            <w:hideMark/>
          </w:tcPr>
          <w:p w14:paraId="214EF6C8"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3</w:t>
            </w:r>
          </w:p>
        </w:tc>
        <w:tc>
          <w:tcPr>
            <w:tcW w:w="0" w:type="auto"/>
            <w:hideMark/>
          </w:tcPr>
          <w:p w14:paraId="6D5E1837"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0</w:t>
            </w:r>
          </w:p>
        </w:tc>
      </w:tr>
      <w:tr w:rsidR="009A5197" w:rsidRPr="00923467" w14:paraId="579C429A" w14:textId="77777777" w:rsidTr="009A5197">
        <w:trPr>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57395F2A" w14:textId="4774DD33" w:rsidR="00676FE2" w:rsidRPr="00542064" w:rsidRDefault="00C312EB" w:rsidP="00923467">
            <w:pPr>
              <w:rPr>
                <w:b w:val="0"/>
                <w:bCs w:val="0"/>
                <w:sz w:val="18"/>
                <w:szCs w:val="18"/>
              </w:rPr>
            </w:pPr>
            <w:r w:rsidRPr="00542064">
              <w:rPr>
                <w:b w:val="0"/>
                <w:bCs w:val="0"/>
                <w:sz w:val="18"/>
                <w:szCs w:val="18"/>
              </w:rPr>
              <w:t>ICA</w:t>
            </w:r>
          </w:p>
        </w:tc>
        <w:tc>
          <w:tcPr>
            <w:tcW w:w="0" w:type="auto"/>
            <w:hideMark/>
          </w:tcPr>
          <w:p w14:paraId="4F04A420"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10</w:t>
            </w:r>
          </w:p>
        </w:tc>
        <w:tc>
          <w:tcPr>
            <w:tcW w:w="0" w:type="auto"/>
            <w:hideMark/>
          </w:tcPr>
          <w:p w14:paraId="00193F9D"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12</w:t>
            </w:r>
          </w:p>
        </w:tc>
        <w:tc>
          <w:tcPr>
            <w:tcW w:w="0" w:type="auto"/>
            <w:hideMark/>
          </w:tcPr>
          <w:p w14:paraId="63AA114C"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-2</w:t>
            </w:r>
          </w:p>
        </w:tc>
        <w:tc>
          <w:tcPr>
            <w:tcW w:w="0" w:type="auto"/>
            <w:hideMark/>
          </w:tcPr>
          <w:p w14:paraId="0E667159"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4</w:t>
            </w:r>
          </w:p>
        </w:tc>
        <w:tc>
          <w:tcPr>
            <w:tcW w:w="0" w:type="auto"/>
            <w:hideMark/>
          </w:tcPr>
          <w:p w14:paraId="0B171131"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4</w:t>
            </w:r>
          </w:p>
        </w:tc>
        <w:tc>
          <w:tcPr>
            <w:tcW w:w="0" w:type="auto"/>
            <w:hideMark/>
          </w:tcPr>
          <w:p w14:paraId="0EFB3E93"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0</w:t>
            </w:r>
          </w:p>
        </w:tc>
      </w:tr>
      <w:tr w:rsidR="00FE4F6E" w:rsidRPr="00923467" w14:paraId="623D6F6C"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20B3E670" w14:textId="4C0459D9" w:rsidR="00676FE2" w:rsidRPr="00542064" w:rsidRDefault="00C312EB" w:rsidP="00923467">
            <w:pPr>
              <w:rPr>
                <w:b w:val="0"/>
                <w:bCs w:val="0"/>
                <w:sz w:val="18"/>
                <w:szCs w:val="18"/>
              </w:rPr>
            </w:pPr>
            <w:r w:rsidRPr="00542064">
              <w:rPr>
                <w:b w:val="0"/>
                <w:bCs w:val="0"/>
                <w:sz w:val="18"/>
                <w:szCs w:val="18"/>
              </w:rPr>
              <w:t>L&amp;Cs</w:t>
            </w:r>
          </w:p>
        </w:tc>
        <w:tc>
          <w:tcPr>
            <w:tcW w:w="0" w:type="auto"/>
            <w:hideMark/>
          </w:tcPr>
          <w:p w14:paraId="309C1E05"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8</w:t>
            </w:r>
          </w:p>
        </w:tc>
        <w:tc>
          <w:tcPr>
            <w:tcW w:w="0" w:type="auto"/>
            <w:hideMark/>
          </w:tcPr>
          <w:p w14:paraId="70387CA8"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7</w:t>
            </w:r>
          </w:p>
        </w:tc>
        <w:tc>
          <w:tcPr>
            <w:tcW w:w="0" w:type="auto"/>
            <w:hideMark/>
          </w:tcPr>
          <w:p w14:paraId="421326E0"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1</w:t>
            </w:r>
          </w:p>
        </w:tc>
        <w:tc>
          <w:tcPr>
            <w:tcW w:w="0" w:type="auto"/>
            <w:hideMark/>
          </w:tcPr>
          <w:p w14:paraId="73C7444D"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6</w:t>
            </w:r>
          </w:p>
        </w:tc>
        <w:tc>
          <w:tcPr>
            <w:tcW w:w="0" w:type="auto"/>
            <w:hideMark/>
          </w:tcPr>
          <w:p w14:paraId="3E943183"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6</w:t>
            </w:r>
          </w:p>
        </w:tc>
        <w:tc>
          <w:tcPr>
            <w:tcW w:w="0" w:type="auto"/>
            <w:hideMark/>
          </w:tcPr>
          <w:p w14:paraId="563C4C06"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0</w:t>
            </w:r>
          </w:p>
        </w:tc>
      </w:tr>
      <w:tr w:rsidR="009A5197" w:rsidRPr="00923467" w14:paraId="3AFF5948" w14:textId="77777777" w:rsidTr="009A5197">
        <w:trPr>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69E87BFE" w14:textId="057A9F37" w:rsidR="00676FE2" w:rsidRPr="00542064" w:rsidRDefault="00C312EB" w:rsidP="00923467">
            <w:pPr>
              <w:rPr>
                <w:b w:val="0"/>
                <w:bCs w:val="0"/>
                <w:sz w:val="18"/>
                <w:szCs w:val="18"/>
              </w:rPr>
            </w:pPr>
            <w:r w:rsidRPr="00542064">
              <w:rPr>
                <w:b w:val="0"/>
                <w:bCs w:val="0"/>
                <w:sz w:val="18"/>
                <w:szCs w:val="18"/>
              </w:rPr>
              <w:t>Board Secretariat</w:t>
            </w:r>
          </w:p>
        </w:tc>
        <w:tc>
          <w:tcPr>
            <w:tcW w:w="0" w:type="auto"/>
            <w:hideMark/>
          </w:tcPr>
          <w:p w14:paraId="16E99F7C"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2</w:t>
            </w:r>
          </w:p>
        </w:tc>
        <w:tc>
          <w:tcPr>
            <w:tcW w:w="0" w:type="auto"/>
            <w:hideMark/>
          </w:tcPr>
          <w:p w14:paraId="1B981438"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2</w:t>
            </w:r>
          </w:p>
        </w:tc>
        <w:tc>
          <w:tcPr>
            <w:tcW w:w="0" w:type="auto"/>
            <w:hideMark/>
          </w:tcPr>
          <w:p w14:paraId="344C565A"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0</w:t>
            </w:r>
          </w:p>
        </w:tc>
        <w:tc>
          <w:tcPr>
            <w:tcW w:w="0" w:type="auto"/>
            <w:hideMark/>
          </w:tcPr>
          <w:p w14:paraId="6F998266"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0</w:t>
            </w:r>
          </w:p>
        </w:tc>
        <w:tc>
          <w:tcPr>
            <w:tcW w:w="0" w:type="auto"/>
            <w:hideMark/>
          </w:tcPr>
          <w:p w14:paraId="6F2C7CBC"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0</w:t>
            </w:r>
          </w:p>
        </w:tc>
        <w:tc>
          <w:tcPr>
            <w:tcW w:w="0" w:type="auto"/>
            <w:hideMark/>
          </w:tcPr>
          <w:p w14:paraId="18BA37E7"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0</w:t>
            </w:r>
          </w:p>
        </w:tc>
      </w:tr>
      <w:tr w:rsidR="00FE4F6E" w:rsidRPr="00923467" w14:paraId="61FCB013"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hideMark/>
          </w:tcPr>
          <w:p w14:paraId="7110FA1E" w14:textId="05C7800C" w:rsidR="00676FE2" w:rsidRPr="00542064" w:rsidRDefault="00C312EB" w:rsidP="00923467">
            <w:pPr>
              <w:rPr>
                <w:b w:val="0"/>
                <w:bCs w:val="0"/>
                <w:sz w:val="18"/>
                <w:szCs w:val="18"/>
              </w:rPr>
            </w:pPr>
            <w:r w:rsidRPr="00542064">
              <w:rPr>
                <w:b w:val="0"/>
                <w:bCs w:val="0"/>
                <w:sz w:val="18"/>
                <w:szCs w:val="18"/>
              </w:rPr>
              <w:t>Modernization</w:t>
            </w:r>
          </w:p>
        </w:tc>
        <w:tc>
          <w:tcPr>
            <w:tcW w:w="0" w:type="auto"/>
            <w:hideMark/>
          </w:tcPr>
          <w:p w14:paraId="33583E5F"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10</w:t>
            </w:r>
          </w:p>
        </w:tc>
        <w:tc>
          <w:tcPr>
            <w:tcW w:w="0" w:type="auto"/>
            <w:hideMark/>
          </w:tcPr>
          <w:p w14:paraId="5B5D8486"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10</w:t>
            </w:r>
          </w:p>
        </w:tc>
        <w:tc>
          <w:tcPr>
            <w:tcW w:w="0" w:type="auto"/>
            <w:hideMark/>
          </w:tcPr>
          <w:p w14:paraId="2DB1E37F"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0</w:t>
            </w:r>
          </w:p>
        </w:tc>
        <w:tc>
          <w:tcPr>
            <w:tcW w:w="0" w:type="auto"/>
            <w:hideMark/>
          </w:tcPr>
          <w:p w14:paraId="1C71384F"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3</w:t>
            </w:r>
          </w:p>
        </w:tc>
        <w:tc>
          <w:tcPr>
            <w:tcW w:w="0" w:type="auto"/>
            <w:hideMark/>
          </w:tcPr>
          <w:p w14:paraId="3E89F8E1"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2</w:t>
            </w:r>
          </w:p>
        </w:tc>
        <w:tc>
          <w:tcPr>
            <w:tcW w:w="0" w:type="auto"/>
            <w:hideMark/>
          </w:tcPr>
          <w:p w14:paraId="4E1DA2D5"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1</w:t>
            </w:r>
          </w:p>
        </w:tc>
      </w:tr>
      <w:tr w:rsidR="009A5197" w:rsidRPr="00923467" w14:paraId="40601F28" w14:textId="77777777" w:rsidTr="009A5197">
        <w:trPr>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5FBBBEB" w14:textId="6956B7C7" w:rsidR="00676FE2" w:rsidRPr="00542064" w:rsidRDefault="00864AAE" w:rsidP="00923467">
            <w:pPr>
              <w:rPr>
                <w:b w:val="0"/>
                <w:bCs w:val="0"/>
                <w:sz w:val="18"/>
                <w:szCs w:val="18"/>
              </w:rPr>
            </w:pPr>
            <w:r w:rsidRPr="00542064">
              <w:rPr>
                <w:b w:val="0"/>
                <w:bCs w:val="0"/>
                <w:sz w:val="18"/>
                <w:szCs w:val="18"/>
              </w:rPr>
              <w:t>DTD</w:t>
            </w:r>
          </w:p>
        </w:tc>
        <w:tc>
          <w:tcPr>
            <w:tcW w:w="0" w:type="auto"/>
            <w:noWrap/>
            <w:hideMark/>
          </w:tcPr>
          <w:p w14:paraId="1564F93F"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152</w:t>
            </w:r>
          </w:p>
        </w:tc>
        <w:tc>
          <w:tcPr>
            <w:tcW w:w="0" w:type="auto"/>
            <w:noWrap/>
            <w:hideMark/>
          </w:tcPr>
          <w:p w14:paraId="5DBA9551"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149</w:t>
            </w:r>
          </w:p>
        </w:tc>
        <w:tc>
          <w:tcPr>
            <w:tcW w:w="0" w:type="auto"/>
            <w:noWrap/>
            <w:hideMark/>
          </w:tcPr>
          <w:p w14:paraId="59FF1D70"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3</w:t>
            </w:r>
          </w:p>
        </w:tc>
        <w:tc>
          <w:tcPr>
            <w:tcW w:w="0" w:type="auto"/>
            <w:noWrap/>
            <w:hideMark/>
          </w:tcPr>
          <w:p w14:paraId="2B1949CD"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66</w:t>
            </w:r>
          </w:p>
        </w:tc>
        <w:tc>
          <w:tcPr>
            <w:tcW w:w="0" w:type="auto"/>
            <w:noWrap/>
            <w:hideMark/>
          </w:tcPr>
          <w:p w14:paraId="0430F779"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56</w:t>
            </w:r>
          </w:p>
        </w:tc>
        <w:tc>
          <w:tcPr>
            <w:tcW w:w="0" w:type="auto"/>
            <w:noWrap/>
            <w:hideMark/>
          </w:tcPr>
          <w:p w14:paraId="659280B2" w14:textId="77777777" w:rsidR="00676FE2" w:rsidRPr="009A5197" w:rsidRDefault="00676FE2"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10</w:t>
            </w:r>
          </w:p>
        </w:tc>
      </w:tr>
      <w:tr w:rsidR="00FE4F6E" w:rsidRPr="00923467" w14:paraId="0F6E70EF"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429809FD" w14:textId="3E9039E3" w:rsidR="00676FE2" w:rsidRPr="009A5197" w:rsidRDefault="00542064" w:rsidP="00923467">
            <w:pPr>
              <w:rPr>
                <w:sz w:val="18"/>
                <w:szCs w:val="18"/>
              </w:rPr>
            </w:pPr>
            <w:r>
              <w:rPr>
                <w:sz w:val="18"/>
                <w:szCs w:val="18"/>
              </w:rPr>
              <w:t>Total</w:t>
            </w:r>
          </w:p>
        </w:tc>
        <w:tc>
          <w:tcPr>
            <w:tcW w:w="0" w:type="auto"/>
            <w:noWrap/>
            <w:hideMark/>
          </w:tcPr>
          <w:p w14:paraId="5DC3FB30"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9A5197">
              <w:rPr>
                <w:b/>
                <w:bCs/>
                <w:sz w:val="18"/>
                <w:szCs w:val="18"/>
              </w:rPr>
              <w:t>608</w:t>
            </w:r>
          </w:p>
        </w:tc>
        <w:tc>
          <w:tcPr>
            <w:tcW w:w="0" w:type="auto"/>
            <w:noWrap/>
            <w:hideMark/>
          </w:tcPr>
          <w:p w14:paraId="428836D4"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9A5197">
              <w:rPr>
                <w:b/>
                <w:bCs/>
                <w:sz w:val="18"/>
                <w:szCs w:val="18"/>
              </w:rPr>
              <w:t>612</w:t>
            </w:r>
          </w:p>
        </w:tc>
        <w:tc>
          <w:tcPr>
            <w:tcW w:w="0" w:type="auto"/>
            <w:noWrap/>
            <w:hideMark/>
          </w:tcPr>
          <w:p w14:paraId="7EAC4D69"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9A5197">
              <w:rPr>
                <w:b/>
                <w:bCs/>
                <w:sz w:val="18"/>
                <w:szCs w:val="18"/>
              </w:rPr>
              <w:t>-4</w:t>
            </w:r>
          </w:p>
        </w:tc>
        <w:tc>
          <w:tcPr>
            <w:tcW w:w="0" w:type="auto"/>
            <w:noWrap/>
            <w:hideMark/>
          </w:tcPr>
          <w:p w14:paraId="3322B2A7"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9A5197">
              <w:rPr>
                <w:b/>
                <w:bCs/>
                <w:sz w:val="18"/>
                <w:szCs w:val="18"/>
              </w:rPr>
              <w:t>202</w:t>
            </w:r>
          </w:p>
        </w:tc>
        <w:tc>
          <w:tcPr>
            <w:tcW w:w="0" w:type="auto"/>
            <w:noWrap/>
            <w:hideMark/>
          </w:tcPr>
          <w:p w14:paraId="552C6DBC" w14:textId="77777777"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9A5197">
              <w:rPr>
                <w:b/>
                <w:bCs/>
                <w:sz w:val="18"/>
                <w:szCs w:val="18"/>
              </w:rPr>
              <w:t>186</w:t>
            </w:r>
          </w:p>
        </w:tc>
        <w:tc>
          <w:tcPr>
            <w:tcW w:w="0" w:type="auto"/>
            <w:noWrap/>
            <w:hideMark/>
          </w:tcPr>
          <w:p w14:paraId="247AA090" w14:textId="65A9D22E" w:rsidR="00676FE2" w:rsidRPr="009A5197" w:rsidRDefault="00676FE2"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9A5197">
              <w:rPr>
                <w:b/>
                <w:bCs/>
                <w:sz w:val="18"/>
                <w:szCs w:val="18"/>
              </w:rPr>
              <w:t>1</w:t>
            </w:r>
            <w:bookmarkEnd w:id="38"/>
            <w:r w:rsidR="00A11CE3" w:rsidRPr="009A5197">
              <w:rPr>
                <w:b/>
                <w:bCs/>
                <w:sz w:val="18"/>
                <w:szCs w:val="18"/>
              </w:rPr>
              <w:t>9</w:t>
            </w:r>
          </w:p>
        </w:tc>
      </w:tr>
    </w:tbl>
    <w:p w14:paraId="705247CC" w14:textId="5C272153" w:rsidR="00C312EB" w:rsidRPr="00923467" w:rsidRDefault="00C312EB" w:rsidP="00923467">
      <w:pPr>
        <w:pStyle w:val="Caption"/>
      </w:pPr>
      <w:bookmarkStart w:id="39" w:name="_Toc137831138"/>
      <w:r w:rsidRPr="00923467">
        <w:t xml:space="preserve">Table </w:t>
      </w:r>
      <w:r w:rsidRPr="00923467">
        <w:fldChar w:fldCharType="begin"/>
      </w:r>
      <w:r w:rsidRPr="00923467">
        <w:instrText xml:space="preserve"> SEQ Table \* ARABIC </w:instrText>
      </w:r>
      <w:r w:rsidRPr="00923467">
        <w:fldChar w:fldCharType="separate"/>
      </w:r>
      <w:r w:rsidR="00E12E6B">
        <w:rPr>
          <w:noProof/>
        </w:rPr>
        <w:t>9</w:t>
      </w:r>
      <w:r w:rsidRPr="00923467">
        <w:fldChar w:fldCharType="end"/>
      </w:r>
      <w:r w:rsidRPr="00923467">
        <w:t>: Staff Strength by Gender in 2021 and 2022</w:t>
      </w:r>
      <w:bookmarkEnd w:id="39"/>
    </w:p>
    <w:p w14:paraId="2FD60D16" w14:textId="79BA74F0" w:rsidR="009D771C" w:rsidRPr="00EA5ACB" w:rsidRDefault="00864AAE" w:rsidP="00923467">
      <w:pPr>
        <w:rPr>
          <w:i/>
          <w:iCs/>
          <w:sz w:val="16"/>
          <w:szCs w:val="16"/>
        </w:rPr>
      </w:pPr>
      <w:r w:rsidRPr="00EA5ACB">
        <w:rPr>
          <w:i/>
          <w:iCs/>
          <w:sz w:val="16"/>
          <w:szCs w:val="16"/>
        </w:rPr>
        <w:t xml:space="preserve"> </w:t>
      </w:r>
      <w:r w:rsidR="009D771C" w:rsidRPr="00EA5ACB">
        <w:rPr>
          <w:i/>
          <w:iCs/>
          <w:sz w:val="16"/>
          <w:szCs w:val="16"/>
        </w:rPr>
        <w:t>Source: HRD</w:t>
      </w:r>
    </w:p>
    <w:p w14:paraId="5D10D643" w14:textId="77777777" w:rsidR="00C312EB" w:rsidRPr="00923467" w:rsidRDefault="00C312EB" w:rsidP="00923467"/>
    <w:p w14:paraId="7EF5E118" w14:textId="77965391" w:rsidR="00C63411" w:rsidRPr="00923467" w:rsidRDefault="00D27E31" w:rsidP="00EF2D32">
      <w:pPr>
        <w:pStyle w:val="Heading3"/>
      </w:pPr>
      <w:bookmarkStart w:id="40" w:name="_Toc137831079"/>
      <w:r w:rsidRPr="00923467">
        <w:t>Staff Recruitment and Confirmation</w:t>
      </w:r>
      <w:bookmarkEnd w:id="40"/>
    </w:p>
    <w:p w14:paraId="4F82C1C3" w14:textId="3F3020B8" w:rsidR="00FE4F6E" w:rsidRDefault="008E507A" w:rsidP="00923467">
      <w:r w:rsidRPr="00923467">
        <w:t>The NRA recruited 45 staff in the year under review</w:t>
      </w:r>
      <w:r w:rsidR="008C2112" w:rsidRPr="00923467">
        <w:t xml:space="preserve"> compared to 69 in the previous year.</w:t>
      </w:r>
      <w:r w:rsidRPr="00923467">
        <w:t xml:space="preserve"> </w:t>
      </w:r>
      <w:r w:rsidR="008C2112" w:rsidRPr="00923467">
        <w:t>O</w:t>
      </w:r>
      <w:r w:rsidRPr="00923467">
        <w:t xml:space="preserve">f </w:t>
      </w:r>
      <w:r w:rsidR="008C2112" w:rsidRPr="00923467">
        <w:t>the total number of staff recruited in 2022</w:t>
      </w:r>
      <w:r w:rsidRPr="00923467">
        <w:t>, the DTD accounted for</w:t>
      </w:r>
      <w:r w:rsidR="008C2112" w:rsidRPr="00923467">
        <w:t xml:space="preserve"> the</w:t>
      </w:r>
      <w:r w:rsidRPr="00923467">
        <w:t xml:space="preserve"> highest number of staff (13 staff), followed by CSD </w:t>
      </w:r>
      <w:r w:rsidR="009D697C" w:rsidRPr="00923467">
        <w:t xml:space="preserve">with </w:t>
      </w:r>
      <w:r w:rsidRPr="00923467">
        <w:t xml:space="preserve">11 staff, RIID </w:t>
      </w:r>
      <w:r w:rsidR="009D697C" w:rsidRPr="00923467">
        <w:t xml:space="preserve">with </w:t>
      </w:r>
      <w:r w:rsidRPr="00923467">
        <w:t xml:space="preserve">6 staff and ICTD </w:t>
      </w:r>
      <w:r w:rsidR="009D697C" w:rsidRPr="00923467">
        <w:t xml:space="preserve">with </w:t>
      </w:r>
      <w:r w:rsidRPr="00923467">
        <w:t>5 staff.</w:t>
      </w:r>
      <w:r w:rsidR="001C0302" w:rsidRPr="00923467">
        <w:t xml:space="preserve"> There </w:t>
      </w:r>
      <w:r w:rsidR="009313F0" w:rsidRPr="00923467">
        <w:t>was</w:t>
      </w:r>
      <w:r w:rsidR="001C0302" w:rsidRPr="00923467">
        <w:t xml:space="preserve"> no recruitment for the MRP, F&amp;B, Welfare, ICA </w:t>
      </w:r>
      <w:r w:rsidR="008C2112" w:rsidRPr="00923467">
        <w:t xml:space="preserve">departments, </w:t>
      </w:r>
      <w:r w:rsidR="001C0302" w:rsidRPr="00923467">
        <w:t xml:space="preserve">and </w:t>
      </w:r>
      <w:r w:rsidR="00864AAE" w:rsidRPr="00923467">
        <w:t xml:space="preserve">the </w:t>
      </w:r>
      <w:r w:rsidR="001C0302" w:rsidRPr="00923467">
        <w:t xml:space="preserve">Board Secretariat. </w:t>
      </w:r>
      <w:r w:rsidR="00563FB5" w:rsidRPr="00923467">
        <w:t xml:space="preserve">A total of 67 staff were also confirmed in 2022 </w:t>
      </w:r>
      <w:r w:rsidR="00EB1988" w:rsidRPr="00923467">
        <w:t xml:space="preserve">as staff of the NRA </w:t>
      </w:r>
      <w:r w:rsidR="00563FB5" w:rsidRPr="00923467">
        <w:t>of which DTD recorded the highest (23 staff), followed by CSD (10 staff), and CG’s Office (7 staff)</w:t>
      </w:r>
      <w:r w:rsidR="00CD2AD2" w:rsidRPr="00923467">
        <w:t xml:space="preserve">. </w:t>
      </w:r>
      <w:r w:rsidR="008E1949" w:rsidRPr="00923467">
        <w:t>Furthermore, the Authority contracted a total of 91 staff, engaged the services of 5 interns, 2</w:t>
      </w:r>
      <w:r w:rsidR="00DC6CDF" w:rsidRPr="00923467">
        <w:t>6</w:t>
      </w:r>
      <w:r w:rsidR="008E1949" w:rsidRPr="00923467">
        <w:t xml:space="preserve"> </w:t>
      </w:r>
      <w:r w:rsidR="00CD1672" w:rsidRPr="00923467">
        <w:t>whistle-blowers</w:t>
      </w:r>
      <w:r w:rsidR="008E1949" w:rsidRPr="00923467">
        <w:t xml:space="preserve">, and 12 youth corps from the National Youth Commission (NYC). </w:t>
      </w:r>
    </w:p>
    <w:p w14:paraId="6396568F" w14:textId="77777777" w:rsidR="00A65C88" w:rsidRDefault="00A65C88" w:rsidP="00923467"/>
    <w:p w14:paraId="318D4F45" w14:textId="77777777" w:rsidR="00A65C88" w:rsidRDefault="00A65C88" w:rsidP="00923467"/>
    <w:p w14:paraId="0DDFE587" w14:textId="77777777" w:rsidR="00A65C88" w:rsidRDefault="00A65C88" w:rsidP="00923467"/>
    <w:p w14:paraId="6791689B" w14:textId="77777777" w:rsidR="00A65C88" w:rsidRDefault="00A65C88" w:rsidP="00923467"/>
    <w:p w14:paraId="1585AA91" w14:textId="77777777" w:rsidR="00A65C88" w:rsidRDefault="00A65C88" w:rsidP="00923467"/>
    <w:p w14:paraId="36ABA0AD" w14:textId="77777777" w:rsidR="00FE4F6E" w:rsidRPr="00923467" w:rsidRDefault="00FE4F6E" w:rsidP="00923467"/>
    <w:tbl>
      <w:tblPr>
        <w:tblStyle w:val="GridTable4-Accent5"/>
        <w:tblW w:w="0" w:type="auto"/>
        <w:tblLook w:val="04A0" w:firstRow="1" w:lastRow="0" w:firstColumn="1" w:lastColumn="0" w:noHBand="0" w:noVBand="1"/>
      </w:tblPr>
      <w:tblGrid>
        <w:gridCol w:w="1525"/>
        <w:gridCol w:w="2347"/>
        <w:gridCol w:w="2392"/>
      </w:tblGrid>
      <w:tr w:rsidR="00563FB5" w:rsidRPr="00923467" w14:paraId="1C862B0C" w14:textId="77777777" w:rsidTr="009A519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20EA28DF" w14:textId="02FCECC5" w:rsidR="00563FB5" w:rsidRPr="009A5197" w:rsidRDefault="00864AAE" w:rsidP="009A5197">
            <w:pPr>
              <w:jc w:val="left"/>
              <w:rPr>
                <w:sz w:val="18"/>
                <w:szCs w:val="18"/>
              </w:rPr>
            </w:pPr>
            <w:r w:rsidRPr="009A5197">
              <w:rPr>
                <w:sz w:val="18"/>
                <w:szCs w:val="18"/>
              </w:rPr>
              <w:t xml:space="preserve">Department </w:t>
            </w:r>
          </w:p>
        </w:tc>
        <w:tc>
          <w:tcPr>
            <w:tcW w:w="0" w:type="auto"/>
            <w:noWrap/>
            <w:hideMark/>
          </w:tcPr>
          <w:p w14:paraId="522EBA58" w14:textId="5016A3AB" w:rsidR="00563FB5" w:rsidRPr="009A5197" w:rsidRDefault="00FE4F6E" w:rsidP="009A5197">
            <w:pPr>
              <w:jc w:val="left"/>
              <w:cnfStyle w:val="100000000000" w:firstRow="1" w:lastRow="0" w:firstColumn="0" w:lastColumn="0" w:oddVBand="0" w:evenVBand="0" w:oddHBand="0" w:evenHBand="0" w:firstRowFirstColumn="0" w:firstRowLastColumn="0" w:lastRowFirstColumn="0" w:lastRowLastColumn="0"/>
              <w:rPr>
                <w:b w:val="0"/>
                <w:bCs w:val="0"/>
                <w:sz w:val="18"/>
                <w:szCs w:val="18"/>
              </w:rPr>
            </w:pPr>
            <w:r w:rsidRPr="009A5197">
              <w:rPr>
                <w:b w:val="0"/>
                <w:bCs w:val="0"/>
                <w:sz w:val="18"/>
                <w:szCs w:val="18"/>
              </w:rPr>
              <w:t xml:space="preserve"> No. Of Employees Recruited </w:t>
            </w:r>
          </w:p>
        </w:tc>
        <w:tc>
          <w:tcPr>
            <w:tcW w:w="0" w:type="auto"/>
            <w:noWrap/>
            <w:hideMark/>
          </w:tcPr>
          <w:p w14:paraId="65AF98CF" w14:textId="1B085D82" w:rsidR="00563FB5" w:rsidRPr="009A5197" w:rsidRDefault="00FE4F6E" w:rsidP="009A5197">
            <w:pPr>
              <w:jc w:val="left"/>
              <w:cnfStyle w:val="100000000000" w:firstRow="1" w:lastRow="0" w:firstColumn="0" w:lastColumn="0" w:oddVBand="0" w:evenVBand="0" w:oddHBand="0" w:evenHBand="0" w:firstRowFirstColumn="0" w:firstRowLastColumn="0" w:lastRowFirstColumn="0" w:lastRowLastColumn="0"/>
              <w:rPr>
                <w:b w:val="0"/>
                <w:bCs w:val="0"/>
                <w:sz w:val="18"/>
                <w:szCs w:val="18"/>
              </w:rPr>
            </w:pPr>
            <w:r w:rsidRPr="009A5197">
              <w:rPr>
                <w:b w:val="0"/>
                <w:bCs w:val="0"/>
                <w:sz w:val="18"/>
                <w:szCs w:val="18"/>
              </w:rPr>
              <w:t>No. Of Employees Confirmed</w:t>
            </w:r>
          </w:p>
        </w:tc>
      </w:tr>
      <w:tr w:rsidR="00563FB5" w:rsidRPr="00923467" w14:paraId="1D12C363"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622E29C6" w14:textId="72323631" w:rsidR="00563FB5" w:rsidRPr="00542064" w:rsidRDefault="00864AAE" w:rsidP="009A5197">
            <w:pPr>
              <w:jc w:val="left"/>
              <w:rPr>
                <w:b w:val="0"/>
                <w:bCs w:val="0"/>
                <w:sz w:val="18"/>
                <w:szCs w:val="18"/>
              </w:rPr>
            </w:pPr>
            <w:r w:rsidRPr="00542064">
              <w:rPr>
                <w:b w:val="0"/>
                <w:bCs w:val="0"/>
                <w:sz w:val="18"/>
                <w:szCs w:val="18"/>
              </w:rPr>
              <w:t xml:space="preserve"> C</w:t>
            </w:r>
            <w:r w:rsidR="00542064">
              <w:rPr>
                <w:b w:val="0"/>
                <w:bCs w:val="0"/>
                <w:sz w:val="18"/>
                <w:szCs w:val="18"/>
              </w:rPr>
              <w:t>G</w:t>
            </w:r>
            <w:r w:rsidRPr="00542064">
              <w:rPr>
                <w:b w:val="0"/>
                <w:bCs w:val="0"/>
                <w:sz w:val="18"/>
                <w:szCs w:val="18"/>
              </w:rPr>
              <w:t xml:space="preserve">’s Office </w:t>
            </w:r>
          </w:p>
        </w:tc>
        <w:tc>
          <w:tcPr>
            <w:tcW w:w="0" w:type="auto"/>
            <w:noWrap/>
            <w:hideMark/>
          </w:tcPr>
          <w:p w14:paraId="20057689" w14:textId="1D9FEF48" w:rsidR="00563FB5" w:rsidRPr="009A5197" w:rsidRDefault="00563FB5" w:rsidP="009A5197">
            <w:pPr>
              <w:jc w:val="left"/>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1</w:t>
            </w:r>
          </w:p>
        </w:tc>
        <w:tc>
          <w:tcPr>
            <w:tcW w:w="0" w:type="auto"/>
            <w:noWrap/>
            <w:hideMark/>
          </w:tcPr>
          <w:p w14:paraId="0CA124F0" w14:textId="77777777" w:rsidR="00563FB5" w:rsidRPr="009A5197" w:rsidRDefault="00563FB5" w:rsidP="009A5197">
            <w:pPr>
              <w:jc w:val="left"/>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7</w:t>
            </w:r>
          </w:p>
        </w:tc>
      </w:tr>
      <w:tr w:rsidR="00563FB5" w:rsidRPr="00923467" w14:paraId="232D5DBC" w14:textId="77777777" w:rsidTr="009A5197">
        <w:trPr>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3DE6947" w14:textId="018CD2E0" w:rsidR="00563FB5" w:rsidRPr="00542064" w:rsidRDefault="00864AAE" w:rsidP="009A5197">
            <w:pPr>
              <w:jc w:val="left"/>
              <w:rPr>
                <w:b w:val="0"/>
                <w:bCs w:val="0"/>
                <w:sz w:val="18"/>
                <w:szCs w:val="18"/>
              </w:rPr>
            </w:pPr>
            <w:r w:rsidRPr="00542064">
              <w:rPr>
                <w:b w:val="0"/>
                <w:bCs w:val="0"/>
                <w:sz w:val="18"/>
                <w:szCs w:val="18"/>
              </w:rPr>
              <w:t xml:space="preserve"> RIID </w:t>
            </w:r>
          </w:p>
        </w:tc>
        <w:tc>
          <w:tcPr>
            <w:tcW w:w="0" w:type="auto"/>
            <w:noWrap/>
            <w:hideMark/>
          </w:tcPr>
          <w:p w14:paraId="3679D177" w14:textId="190168D7" w:rsidR="00563FB5" w:rsidRPr="009A5197" w:rsidRDefault="00563FB5" w:rsidP="009A5197">
            <w:pPr>
              <w:jc w:val="left"/>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6</w:t>
            </w:r>
          </w:p>
        </w:tc>
        <w:tc>
          <w:tcPr>
            <w:tcW w:w="0" w:type="auto"/>
            <w:noWrap/>
            <w:hideMark/>
          </w:tcPr>
          <w:p w14:paraId="7A6581B1" w14:textId="77777777" w:rsidR="00563FB5" w:rsidRPr="009A5197" w:rsidRDefault="00563FB5" w:rsidP="009A5197">
            <w:pPr>
              <w:jc w:val="left"/>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5</w:t>
            </w:r>
          </w:p>
        </w:tc>
      </w:tr>
      <w:tr w:rsidR="00563FB5" w:rsidRPr="00923467" w14:paraId="6C434B01"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71C7A5" w14:textId="4E63FA70" w:rsidR="00563FB5" w:rsidRPr="00542064" w:rsidRDefault="00864AAE" w:rsidP="009A5197">
            <w:pPr>
              <w:jc w:val="left"/>
              <w:rPr>
                <w:b w:val="0"/>
                <w:bCs w:val="0"/>
                <w:sz w:val="18"/>
                <w:szCs w:val="18"/>
              </w:rPr>
            </w:pPr>
            <w:r w:rsidRPr="00542064">
              <w:rPr>
                <w:b w:val="0"/>
                <w:bCs w:val="0"/>
                <w:sz w:val="18"/>
                <w:szCs w:val="18"/>
              </w:rPr>
              <w:t xml:space="preserve"> Human Resource </w:t>
            </w:r>
          </w:p>
        </w:tc>
        <w:tc>
          <w:tcPr>
            <w:tcW w:w="0" w:type="auto"/>
            <w:noWrap/>
            <w:hideMark/>
          </w:tcPr>
          <w:p w14:paraId="0E04D053" w14:textId="6D132071" w:rsidR="00563FB5" w:rsidRPr="009A5197" w:rsidRDefault="00563FB5" w:rsidP="009A5197">
            <w:pPr>
              <w:jc w:val="left"/>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1</w:t>
            </w:r>
          </w:p>
        </w:tc>
        <w:tc>
          <w:tcPr>
            <w:tcW w:w="0" w:type="auto"/>
            <w:noWrap/>
            <w:hideMark/>
          </w:tcPr>
          <w:p w14:paraId="69B8A949" w14:textId="77777777" w:rsidR="00563FB5" w:rsidRPr="009A5197" w:rsidRDefault="00563FB5" w:rsidP="009A5197">
            <w:pPr>
              <w:jc w:val="left"/>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3</w:t>
            </w:r>
          </w:p>
        </w:tc>
      </w:tr>
      <w:tr w:rsidR="00563FB5" w:rsidRPr="00923467" w14:paraId="40DBB5BA" w14:textId="77777777" w:rsidTr="009A5197">
        <w:trPr>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6CA15E5F" w14:textId="3C053C19" w:rsidR="00563FB5" w:rsidRPr="00542064" w:rsidRDefault="00864AAE" w:rsidP="009A5197">
            <w:pPr>
              <w:jc w:val="left"/>
              <w:rPr>
                <w:b w:val="0"/>
                <w:bCs w:val="0"/>
                <w:sz w:val="18"/>
                <w:szCs w:val="18"/>
              </w:rPr>
            </w:pPr>
            <w:r w:rsidRPr="00542064">
              <w:rPr>
                <w:b w:val="0"/>
                <w:bCs w:val="0"/>
                <w:sz w:val="18"/>
                <w:szCs w:val="18"/>
              </w:rPr>
              <w:t xml:space="preserve"> Staff Welfare </w:t>
            </w:r>
          </w:p>
        </w:tc>
        <w:tc>
          <w:tcPr>
            <w:tcW w:w="0" w:type="auto"/>
            <w:noWrap/>
            <w:hideMark/>
          </w:tcPr>
          <w:p w14:paraId="05AE49D7" w14:textId="100BF81B" w:rsidR="00563FB5" w:rsidRPr="009A5197" w:rsidRDefault="00773B58" w:rsidP="009A5197">
            <w:pPr>
              <w:jc w:val="left"/>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w:t>
            </w:r>
          </w:p>
        </w:tc>
        <w:tc>
          <w:tcPr>
            <w:tcW w:w="0" w:type="auto"/>
            <w:noWrap/>
            <w:hideMark/>
          </w:tcPr>
          <w:p w14:paraId="0A53832B" w14:textId="3639E6F0" w:rsidR="00563FB5" w:rsidRPr="009A5197" w:rsidRDefault="00773B58" w:rsidP="009A5197">
            <w:pPr>
              <w:jc w:val="left"/>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w:t>
            </w:r>
          </w:p>
        </w:tc>
      </w:tr>
      <w:tr w:rsidR="00563FB5" w:rsidRPr="00923467" w14:paraId="309F6BBF"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47D787BF" w14:textId="623D9A9F" w:rsidR="00563FB5" w:rsidRPr="00542064" w:rsidRDefault="00864AAE" w:rsidP="009A5197">
            <w:pPr>
              <w:jc w:val="left"/>
              <w:rPr>
                <w:b w:val="0"/>
                <w:bCs w:val="0"/>
                <w:sz w:val="18"/>
                <w:szCs w:val="18"/>
              </w:rPr>
            </w:pPr>
            <w:r w:rsidRPr="00542064">
              <w:rPr>
                <w:b w:val="0"/>
                <w:bCs w:val="0"/>
                <w:sz w:val="18"/>
                <w:szCs w:val="18"/>
              </w:rPr>
              <w:t xml:space="preserve"> Admin </w:t>
            </w:r>
          </w:p>
        </w:tc>
        <w:tc>
          <w:tcPr>
            <w:tcW w:w="0" w:type="auto"/>
            <w:noWrap/>
            <w:hideMark/>
          </w:tcPr>
          <w:p w14:paraId="327F88CC" w14:textId="580B16C6" w:rsidR="00563FB5" w:rsidRPr="009A5197" w:rsidRDefault="00563FB5" w:rsidP="009A5197">
            <w:pPr>
              <w:jc w:val="left"/>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4</w:t>
            </w:r>
          </w:p>
        </w:tc>
        <w:tc>
          <w:tcPr>
            <w:tcW w:w="0" w:type="auto"/>
            <w:noWrap/>
            <w:hideMark/>
          </w:tcPr>
          <w:p w14:paraId="61AFCEDA" w14:textId="77777777" w:rsidR="00563FB5" w:rsidRPr="009A5197" w:rsidRDefault="00563FB5" w:rsidP="009A5197">
            <w:pPr>
              <w:jc w:val="left"/>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1</w:t>
            </w:r>
          </w:p>
        </w:tc>
      </w:tr>
      <w:tr w:rsidR="00563FB5" w:rsidRPr="00923467" w14:paraId="73C9DB54" w14:textId="77777777" w:rsidTr="009A5197">
        <w:trPr>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6EF53D19" w14:textId="703F7A0F" w:rsidR="00563FB5" w:rsidRPr="00542064" w:rsidRDefault="00864AAE" w:rsidP="009A5197">
            <w:pPr>
              <w:jc w:val="left"/>
              <w:rPr>
                <w:b w:val="0"/>
                <w:bCs w:val="0"/>
                <w:sz w:val="18"/>
                <w:szCs w:val="18"/>
              </w:rPr>
            </w:pPr>
            <w:r w:rsidRPr="00542064">
              <w:rPr>
                <w:b w:val="0"/>
                <w:bCs w:val="0"/>
                <w:sz w:val="18"/>
                <w:szCs w:val="18"/>
              </w:rPr>
              <w:t xml:space="preserve"> Customs </w:t>
            </w:r>
          </w:p>
        </w:tc>
        <w:tc>
          <w:tcPr>
            <w:tcW w:w="0" w:type="auto"/>
            <w:noWrap/>
            <w:hideMark/>
          </w:tcPr>
          <w:p w14:paraId="5135E98F" w14:textId="05C551CA" w:rsidR="00563FB5" w:rsidRPr="009A5197" w:rsidRDefault="00563FB5" w:rsidP="009A5197">
            <w:pPr>
              <w:jc w:val="left"/>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11</w:t>
            </w:r>
          </w:p>
        </w:tc>
        <w:tc>
          <w:tcPr>
            <w:tcW w:w="0" w:type="auto"/>
            <w:noWrap/>
            <w:hideMark/>
          </w:tcPr>
          <w:p w14:paraId="1C4DE7FF" w14:textId="77777777" w:rsidR="00563FB5" w:rsidRPr="009A5197" w:rsidRDefault="00563FB5" w:rsidP="009A5197">
            <w:pPr>
              <w:jc w:val="left"/>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10</w:t>
            </w:r>
          </w:p>
        </w:tc>
      </w:tr>
      <w:tr w:rsidR="00563FB5" w:rsidRPr="00923467" w14:paraId="5B6633E4"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21F0207A" w14:textId="1282954C" w:rsidR="00563FB5" w:rsidRPr="00542064" w:rsidRDefault="00864AAE" w:rsidP="009A5197">
            <w:pPr>
              <w:jc w:val="left"/>
              <w:rPr>
                <w:b w:val="0"/>
                <w:bCs w:val="0"/>
                <w:sz w:val="18"/>
                <w:szCs w:val="18"/>
              </w:rPr>
            </w:pPr>
            <w:r w:rsidRPr="00542064">
              <w:rPr>
                <w:b w:val="0"/>
                <w:bCs w:val="0"/>
                <w:sz w:val="18"/>
                <w:szCs w:val="18"/>
              </w:rPr>
              <w:t xml:space="preserve"> NTRD </w:t>
            </w:r>
          </w:p>
        </w:tc>
        <w:tc>
          <w:tcPr>
            <w:tcW w:w="0" w:type="auto"/>
            <w:noWrap/>
            <w:hideMark/>
          </w:tcPr>
          <w:p w14:paraId="141A9EA5" w14:textId="005EA310" w:rsidR="00563FB5" w:rsidRPr="009A5197" w:rsidRDefault="00563FB5" w:rsidP="009A5197">
            <w:pPr>
              <w:jc w:val="left"/>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2</w:t>
            </w:r>
          </w:p>
        </w:tc>
        <w:tc>
          <w:tcPr>
            <w:tcW w:w="0" w:type="auto"/>
            <w:noWrap/>
            <w:hideMark/>
          </w:tcPr>
          <w:p w14:paraId="5C44EDDE" w14:textId="77777777" w:rsidR="00563FB5" w:rsidRPr="009A5197" w:rsidRDefault="00563FB5" w:rsidP="009A5197">
            <w:pPr>
              <w:jc w:val="left"/>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2</w:t>
            </w:r>
          </w:p>
        </w:tc>
      </w:tr>
      <w:tr w:rsidR="00563FB5" w:rsidRPr="00923467" w14:paraId="071564E9" w14:textId="77777777" w:rsidTr="009A5197">
        <w:trPr>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AE18E49" w14:textId="724AEF30" w:rsidR="00563FB5" w:rsidRPr="00542064" w:rsidRDefault="00864AAE" w:rsidP="009A5197">
            <w:pPr>
              <w:jc w:val="left"/>
              <w:rPr>
                <w:b w:val="0"/>
                <w:bCs w:val="0"/>
                <w:sz w:val="18"/>
                <w:szCs w:val="18"/>
              </w:rPr>
            </w:pPr>
            <w:r w:rsidRPr="00542064">
              <w:rPr>
                <w:b w:val="0"/>
                <w:bCs w:val="0"/>
                <w:sz w:val="18"/>
                <w:szCs w:val="18"/>
              </w:rPr>
              <w:t xml:space="preserve"> F &amp; B </w:t>
            </w:r>
          </w:p>
        </w:tc>
        <w:tc>
          <w:tcPr>
            <w:tcW w:w="0" w:type="auto"/>
            <w:noWrap/>
            <w:hideMark/>
          </w:tcPr>
          <w:p w14:paraId="3A1C8C44" w14:textId="6155C5AE" w:rsidR="00563FB5" w:rsidRPr="009A5197" w:rsidRDefault="00773B58" w:rsidP="009A5197">
            <w:pPr>
              <w:jc w:val="left"/>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w:t>
            </w:r>
          </w:p>
        </w:tc>
        <w:tc>
          <w:tcPr>
            <w:tcW w:w="0" w:type="auto"/>
            <w:noWrap/>
            <w:hideMark/>
          </w:tcPr>
          <w:p w14:paraId="743DEF61" w14:textId="77777777" w:rsidR="00563FB5" w:rsidRPr="009A5197" w:rsidRDefault="00563FB5" w:rsidP="009A5197">
            <w:pPr>
              <w:jc w:val="left"/>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w:t>
            </w:r>
          </w:p>
        </w:tc>
      </w:tr>
      <w:tr w:rsidR="00563FB5" w:rsidRPr="00923467" w14:paraId="4C954EA6"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5ACCFE1C" w14:textId="36A647BF" w:rsidR="00563FB5" w:rsidRPr="00542064" w:rsidRDefault="00864AAE" w:rsidP="009A5197">
            <w:pPr>
              <w:jc w:val="left"/>
              <w:rPr>
                <w:b w:val="0"/>
                <w:bCs w:val="0"/>
                <w:sz w:val="18"/>
                <w:szCs w:val="18"/>
              </w:rPr>
            </w:pPr>
            <w:r w:rsidRPr="00542064">
              <w:rPr>
                <w:b w:val="0"/>
                <w:bCs w:val="0"/>
                <w:sz w:val="18"/>
                <w:szCs w:val="18"/>
              </w:rPr>
              <w:t xml:space="preserve"> MRP </w:t>
            </w:r>
          </w:p>
        </w:tc>
        <w:tc>
          <w:tcPr>
            <w:tcW w:w="0" w:type="auto"/>
            <w:noWrap/>
            <w:hideMark/>
          </w:tcPr>
          <w:p w14:paraId="053D4C3F" w14:textId="57EC6F33" w:rsidR="00563FB5" w:rsidRPr="009A5197" w:rsidRDefault="00773B58" w:rsidP="009A5197">
            <w:pPr>
              <w:jc w:val="left"/>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w:t>
            </w:r>
          </w:p>
        </w:tc>
        <w:tc>
          <w:tcPr>
            <w:tcW w:w="0" w:type="auto"/>
            <w:noWrap/>
            <w:hideMark/>
          </w:tcPr>
          <w:p w14:paraId="1BA2B8B9" w14:textId="2472E380" w:rsidR="00563FB5" w:rsidRPr="009A5197" w:rsidRDefault="00773B58" w:rsidP="009A5197">
            <w:pPr>
              <w:jc w:val="left"/>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w:t>
            </w:r>
          </w:p>
        </w:tc>
      </w:tr>
      <w:tr w:rsidR="00563FB5" w:rsidRPr="00923467" w14:paraId="7BC3AEA4" w14:textId="77777777" w:rsidTr="009A5197">
        <w:trPr>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6F70E0C" w14:textId="241B4623" w:rsidR="00563FB5" w:rsidRPr="00542064" w:rsidRDefault="00864AAE" w:rsidP="009A5197">
            <w:pPr>
              <w:jc w:val="left"/>
              <w:rPr>
                <w:b w:val="0"/>
                <w:bCs w:val="0"/>
                <w:sz w:val="18"/>
                <w:szCs w:val="18"/>
              </w:rPr>
            </w:pPr>
            <w:r w:rsidRPr="00542064">
              <w:rPr>
                <w:b w:val="0"/>
                <w:bCs w:val="0"/>
                <w:sz w:val="18"/>
                <w:szCs w:val="18"/>
              </w:rPr>
              <w:t xml:space="preserve"> ICT </w:t>
            </w:r>
          </w:p>
        </w:tc>
        <w:tc>
          <w:tcPr>
            <w:tcW w:w="0" w:type="auto"/>
            <w:noWrap/>
            <w:hideMark/>
          </w:tcPr>
          <w:p w14:paraId="1EE2B0BD" w14:textId="70F0AA09" w:rsidR="00563FB5" w:rsidRPr="009A5197" w:rsidRDefault="00563FB5" w:rsidP="009A5197">
            <w:pPr>
              <w:jc w:val="left"/>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5</w:t>
            </w:r>
          </w:p>
        </w:tc>
        <w:tc>
          <w:tcPr>
            <w:tcW w:w="0" w:type="auto"/>
            <w:noWrap/>
            <w:hideMark/>
          </w:tcPr>
          <w:p w14:paraId="79A2F5FC" w14:textId="77777777" w:rsidR="00563FB5" w:rsidRPr="009A5197" w:rsidRDefault="00563FB5" w:rsidP="009A5197">
            <w:pPr>
              <w:jc w:val="left"/>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6</w:t>
            </w:r>
          </w:p>
        </w:tc>
      </w:tr>
      <w:tr w:rsidR="00563FB5" w:rsidRPr="00923467" w14:paraId="323F6B7D"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D0FD193" w14:textId="455E837B" w:rsidR="00563FB5" w:rsidRPr="00542064" w:rsidRDefault="00864AAE" w:rsidP="009A5197">
            <w:pPr>
              <w:jc w:val="left"/>
              <w:rPr>
                <w:b w:val="0"/>
                <w:bCs w:val="0"/>
                <w:sz w:val="18"/>
                <w:szCs w:val="18"/>
              </w:rPr>
            </w:pPr>
            <w:r w:rsidRPr="00542064">
              <w:rPr>
                <w:b w:val="0"/>
                <w:bCs w:val="0"/>
                <w:sz w:val="18"/>
                <w:szCs w:val="18"/>
              </w:rPr>
              <w:t xml:space="preserve"> ICA</w:t>
            </w:r>
          </w:p>
        </w:tc>
        <w:tc>
          <w:tcPr>
            <w:tcW w:w="0" w:type="auto"/>
            <w:noWrap/>
            <w:hideMark/>
          </w:tcPr>
          <w:p w14:paraId="02E7C1F5" w14:textId="09F82765" w:rsidR="00563FB5" w:rsidRPr="009A5197" w:rsidRDefault="00773B58" w:rsidP="009A5197">
            <w:pPr>
              <w:jc w:val="left"/>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w:t>
            </w:r>
          </w:p>
        </w:tc>
        <w:tc>
          <w:tcPr>
            <w:tcW w:w="0" w:type="auto"/>
            <w:noWrap/>
            <w:hideMark/>
          </w:tcPr>
          <w:p w14:paraId="10088768" w14:textId="77777777" w:rsidR="00563FB5" w:rsidRPr="009A5197" w:rsidRDefault="00563FB5" w:rsidP="009A5197">
            <w:pPr>
              <w:jc w:val="left"/>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6</w:t>
            </w:r>
          </w:p>
        </w:tc>
      </w:tr>
      <w:tr w:rsidR="00563FB5" w:rsidRPr="00923467" w14:paraId="7577A137" w14:textId="77777777" w:rsidTr="009A5197">
        <w:trPr>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0B688F" w14:textId="28A4002F" w:rsidR="00563FB5" w:rsidRPr="00542064" w:rsidRDefault="00864AAE" w:rsidP="009A5197">
            <w:pPr>
              <w:jc w:val="left"/>
              <w:rPr>
                <w:b w:val="0"/>
                <w:bCs w:val="0"/>
                <w:sz w:val="18"/>
                <w:szCs w:val="18"/>
              </w:rPr>
            </w:pPr>
            <w:r w:rsidRPr="00542064">
              <w:rPr>
                <w:b w:val="0"/>
                <w:bCs w:val="0"/>
                <w:sz w:val="18"/>
                <w:szCs w:val="18"/>
              </w:rPr>
              <w:t xml:space="preserve"> L&amp;Cs </w:t>
            </w:r>
          </w:p>
        </w:tc>
        <w:tc>
          <w:tcPr>
            <w:tcW w:w="0" w:type="auto"/>
            <w:noWrap/>
            <w:hideMark/>
          </w:tcPr>
          <w:p w14:paraId="3EB72119" w14:textId="199AC56B" w:rsidR="00563FB5" w:rsidRPr="009A5197" w:rsidRDefault="00563FB5" w:rsidP="009A5197">
            <w:pPr>
              <w:jc w:val="left"/>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w:t>
            </w:r>
          </w:p>
        </w:tc>
        <w:tc>
          <w:tcPr>
            <w:tcW w:w="0" w:type="auto"/>
            <w:noWrap/>
            <w:hideMark/>
          </w:tcPr>
          <w:p w14:paraId="127D8C2F" w14:textId="77777777" w:rsidR="00563FB5" w:rsidRPr="009A5197" w:rsidRDefault="00563FB5" w:rsidP="009A5197">
            <w:pPr>
              <w:jc w:val="left"/>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w:t>
            </w:r>
          </w:p>
        </w:tc>
      </w:tr>
      <w:tr w:rsidR="00563FB5" w:rsidRPr="00923467" w14:paraId="3279808B"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0970B963" w14:textId="605969F3" w:rsidR="00563FB5" w:rsidRPr="00542064" w:rsidRDefault="00864AAE" w:rsidP="009A5197">
            <w:pPr>
              <w:jc w:val="left"/>
              <w:rPr>
                <w:b w:val="0"/>
                <w:bCs w:val="0"/>
                <w:sz w:val="18"/>
                <w:szCs w:val="18"/>
              </w:rPr>
            </w:pPr>
            <w:r w:rsidRPr="00542064">
              <w:rPr>
                <w:b w:val="0"/>
                <w:bCs w:val="0"/>
                <w:sz w:val="18"/>
                <w:szCs w:val="18"/>
              </w:rPr>
              <w:t xml:space="preserve"> Board Secretariat </w:t>
            </w:r>
          </w:p>
        </w:tc>
        <w:tc>
          <w:tcPr>
            <w:tcW w:w="0" w:type="auto"/>
            <w:noWrap/>
            <w:hideMark/>
          </w:tcPr>
          <w:p w14:paraId="4484CEED" w14:textId="665D4630" w:rsidR="00563FB5" w:rsidRPr="009A5197" w:rsidRDefault="00773B58" w:rsidP="009A5197">
            <w:pPr>
              <w:jc w:val="left"/>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w:t>
            </w:r>
          </w:p>
        </w:tc>
        <w:tc>
          <w:tcPr>
            <w:tcW w:w="0" w:type="auto"/>
            <w:noWrap/>
            <w:hideMark/>
          </w:tcPr>
          <w:p w14:paraId="36032A46" w14:textId="235A7C0D" w:rsidR="00563FB5" w:rsidRPr="009A5197" w:rsidRDefault="00773B58" w:rsidP="009A5197">
            <w:pPr>
              <w:jc w:val="left"/>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w:t>
            </w:r>
          </w:p>
        </w:tc>
      </w:tr>
      <w:tr w:rsidR="00563FB5" w:rsidRPr="00923467" w14:paraId="7A127321" w14:textId="77777777" w:rsidTr="009A5197">
        <w:trPr>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A45286A" w14:textId="206DC894" w:rsidR="00563FB5" w:rsidRPr="00542064" w:rsidRDefault="00864AAE" w:rsidP="009A5197">
            <w:pPr>
              <w:jc w:val="left"/>
              <w:rPr>
                <w:b w:val="0"/>
                <w:bCs w:val="0"/>
                <w:sz w:val="18"/>
                <w:szCs w:val="18"/>
              </w:rPr>
            </w:pPr>
            <w:r w:rsidRPr="00542064">
              <w:rPr>
                <w:b w:val="0"/>
                <w:bCs w:val="0"/>
                <w:sz w:val="18"/>
                <w:szCs w:val="18"/>
              </w:rPr>
              <w:t xml:space="preserve"> Modernization </w:t>
            </w:r>
          </w:p>
        </w:tc>
        <w:tc>
          <w:tcPr>
            <w:tcW w:w="0" w:type="auto"/>
            <w:noWrap/>
            <w:hideMark/>
          </w:tcPr>
          <w:p w14:paraId="4A2C5521" w14:textId="43ED9DD5" w:rsidR="00563FB5" w:rsidRPr="009A5197" w:rsidRDefault="00563FB5" w:rsidP="009A5197">
            <w:pPr>
              <w:jc w:val="left"/>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1</w:t>
            </w:r>
          </w:p>
        </w:tc>
        <w:tc>
          <w:tcPr>
            <w:tcW w:w="0" w:type="auto"/>
            <w:noWrap/>
            <w:hideMark/>
          </w:tcPr>
          <w:p w14:paraId="21CABF1D" w14:textId="77777777" w:rsidR="00563FB5" w:rsidRPr="009A5197" w:rsidRDefault="00563FB5" w:rsidP="009A5197">
            <w:pPr>
              <w:jc w:val="left"/>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2</w:t>
            </w:r>
          </w:p>
        </w:tc>
      </w:tr>
      <w:tr w:rsidR="00563FB5" w:rsidRPr="00923467" w14:paraId="38BFD455" w14:textId="77777777" w:rsidTr="009A51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D7B0A6" w14:textId="55E6EC8F" w:rsidR="00563FB5" w:rsidRPr="00542064" w:rsidRDefault="00864AAE" w:rsidP="009A5197">
            <w:pPr>
              <w:jc w:val="left"/>
              <w:rPr>
                <w:b w:val="0"/>
                <w:bCs w:val="0"/>
                <w:sz w:val="18"/>
                <w:szCs w:val="18"/>
              </w:rPr>
            </w:pPr>
            <w:r w:rsidRPr="00542064">
              <w:rPr>
                <w:b w:val="0"/>
                <w:bCs w:val="0"/>
                <w:sz w:val="18"/>
                <w:szCs w:val="18"/>
              </w:rPr>
              <w:t xml:space="preserve"> DTD </w:t>
            </w:r>
          </w:p>
        </w:tc>
        <w:tc>
          <w:tcPr>
            <w:tcW w:w="0" w:type="auto"/>
            <w:noWrap/>
            <w:hideMark/>
          </w:tcPr>
          <w:p w14:paraId="5DA0AD4A" w14:textId="04AE506B" w:rsidR="00563FB5" w:rsidRPr="009A5197" w:rsidRDefault="00563FB5" w:rsidP="009A5197">
            <w:pPr>
              <w:jc w:val="left"/>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13</w:t>
            </w:r>
          </w:p>
        </w:tc>
        <w:tc>
          <w:tcPr>
            <w:tcW w:w="0" w:type="auto"/>
            <w:noWrap/>
            <w:hideMark/>
          </w:tcPr>
          <w:p w14:paraId="7824D9AE" w14:textId="77777777" w:rsidR="00563FB5" w:rsidRPr="009A5197" w:rsidRDefault="00563FB5" w:rsidP="009A5197">
            <w:pPr>
              <w:jc w:val="left"/>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23</w:t>
            </w:r>
          </w:p>
        </w:tc>
      </w:tr>
      <w:tr w:rsidR="00563FB5" w:rsidRPr="00923467" w14:paraId="70AE8C8C" w14:textId="77777777" w:rsidTr="009A5197">
        <w:trPr>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2419EEA" w14:textId="51F0584D" w:rsidR="00563FB5" w:rsidRPr="009A5197" w:rsidRDefault="00864AAE" w:rsidP="009A5197">
            <w:pPr>
              <w:jc w:val="left"/>
              <w:rPr>
                <w:sz w:val="18"/>
                <w:szCs w:val="18"/>
              </w:rPr>
            </w:pPr>
            <w:r w:rsidRPr="009A5197">
              <w:rPr>
                <w:sz w:val="18"/>
                <w:szCs w:val="18"/>
              </w:rPr>
              <w:t xml:space="preserve"> Total </w:t>
            </w:r>
          </w:p>
        </w:tc>
        <w:tc>
          <w:tcPr>
            <w:tcW w:w="0" w:type="auto"/>
            <w:noWrap/>
            <w:hideMark/>
          </w:tcPr>
          <w:p w14:paraId="1A7A4F47" w14:textId="444E5BCD" w:rsidR="00563FB5" w:rsidRPr="00542064" w:rsidRDefault="00563FB5" w:rsidP="009A5197">
            <w:pPr>
              <w:jc w:val="left"/>
              <w:cnfStyle w:val="000000000000" w:firstRow="0" w:lastRow="0" w:firstColumn="0" w:lastColumn="0" w:oddVBand="0" w:evenVBand="0" w:oddHBand="0" w:evenHBand="0" w:firstRowFirstColumn="0" w:firstRowLastColumn="0" w:lastRowFirstColumn="0" w:lastRowLastColumn="0"/>
              <w:rPr>
                <w:b/>
                <w:bCs/>
                <w:sz w:val="18"/>
                <w:szCs w:val="18"/>
              </w:rPr>
            </w:pPr>
            <w:r w:rsidRPr="00542064">
              <w:rPr>
                <w:b/>
                <w:bCs/>
                <w:sz w:val="18"/>
                <w:szCs w:val="18"/>
              </w:rPr>
              <w:t>45</w:t>
            </w:r>
          </w:p>
        </w:tc>
        <w:tc>
          <w:tcPr>
            <w:tcW w:w="0" w:type="auto"/>
            <w:noWrap/>
            <w:hideMark/>
          </w:tcPr>
          <w:p w14:paraId="61400938" w14:textId="77777777" w:rsidR="00563FB5" w:rsidRPr="00542064" w:rsidRDefault="00563FB5" w:rsidP="009A5197">
            <w:pPr>
              <w:jc w:val="left"/>
              <w:cnfStyle w:val="000000000000" w:firstRow="0" w:lastRow="0" w:firstColumn="0" w:lastColumn="0" w:oddVBand="0" w:evenVBand="0" w:oddHBand="0" w:evenHBand="0" w:firstRowFirstColumn="0" w:firstRowLastColumn="0" w:lastRowFirstColumn="0" w:lastRowLastColumn="0"/>
              <w:rPr>
                <w:b/>
                <w:bCs/>
                <w:sz w:val="18"/>
                <w:szCs w:val="18"/>
              </w:rPr>
            </w:pPr>
            <w:r w:rsidRPr="00542064">
              <w:rPr>
                <w:b/>
                <w:bCs/>
                <w:sz w:val="18"/>
                <w:szCs w:val="18"/>
              </w:rPr>
              <w:t>67</w:t>
            </w:r>
          </w:p>
        </w:tc>
      </w:tr>
    </w:tbl>
    <w:p w14:paraId="6EC8E4CE" w14:textId="0039D9D6" w:rsidR="00864AAE" w:rsidRPr="00923467" w:rsidRDefault="00864AAE" w:rsidP="00923467">
      <w:pPr>
        <w:pStyle w:val="Caption"/>
      </w:pPr>
      <w:bookmarkStart w:id="41" w:name="_Toc137831139"/>
      <w:r w:rsidRPr="00923467">
        <w:t xml:space="preserve">Table </w:t>
      </w:r>
      <w:r w:rsidRPr="00923467">
        <w:fldChar w:fldCharType="begin"/>
      </w:r>
      <w:r w:rsidRPr="00923467">
        <w:instrText xml:space="preserve"> SEQ Table \* ARABIC </w:instrText>
      </w:r>
      <w:r w:rsidRPr="00923467">
        <w:fldChar w:fldCharType="separate"/>
      </w:r>
      <w:r w:rsidR="00E12E6B">
        <w:rPr>
          <w:noProof/>
        </w:rPr>
        <w:t>10</w:t>
      </w:r>
      <w:r w:rsidRPr="00923467">
        <w:fldChar w:fldCharType="end"/>
      </w:r>
      <w:r w:rsidRPr="00923467">
        <w:t>: Staff Recruitment by Department, 2022</w:t>
      </w:r>
      <w:bookmarkEnd w:id="41"/>
    </w:p>
    <w:p w14:paraId="709D6460" w14:textId="04A86389" w:rsidR="00864AAE" w:rsidRPr="009A5197" w:rsidRDefault="009D771C" w:rsidP="00923467">
      <w:pPr>
        <w:rPr>
          <w:sz w:val="16"/>
          <w:szCs w:val="16"/>
        </w:rPr>
      </w:pPr>
      <w:r w:rsidRPr="009A5197">
        <w:rPr>
          <w:sz w:val="16"/>
          <w:szCs w:val="16"/>
        </w:rPr>
        <w:t>Source: HRD</w:t>
      </w:r>
    </w:p>
    <w:p w14:paraId="27825EE1" w14:textId="77777777" w:rsidR="009A5197" w:rsidRDefault="009A5197" w:rsidP="00EF2D32">
      <w:pPr>
        <w:pStyle w:val="Heading3"/>
      </w:pPr>
    </w:p>
    <w:p w14:paraId="3B0ADEA6" w14:textId="0C7960C7" w:rsidR="00D179B7" w:rsidRPr="00923467" w:rsidRDefault="00D27E31" w:rsidP="00EF2D32">
      <w:pPr>
        <w:pStyle w:val="Heading3"/>
      </w:pPr>
      <w:bookmarkStart w:id="42" w:name="_Toc137831080"/>
      <w:r w:rsidRPr="00923467">
        <w:t>Staff Promotion</w:t>
      </w:r>
      <w:bookmarkEnd w:id="42"/>
    </w:p>
    <w:p w14:paraId="4533DE2C" w14:textId="0467F590" w:rsidR="005E766E" w:rsidRDefault="00256115" w:rsidP="00923467">
      <w:r w:rsidRPr="00923467">
        <w:t xml:space="preserve">The Authority </w:t>
      </w:r>
      <w:r w:rsidR="00503E21" w:rsidRPr="00923467">
        <w:t>recognises</w:t>
      </w:r>
      <w:r w:rsidRPr="00923467">
        <w:t xml:space="preserve"> excellent perform</w:t>
      </w:r>
      <w:r w:rsidR="00BE77CF" w:rsidRPr="00923467">
        <w:t>ance</w:t>
      </w:r>
      <w:r w:rsidRPr="00923467">
        <w:t xml:space="preserve"> and diligent services</w:t>
      </w:r>
      <w:r w:rsidR="00BE77CF" w:rsidRPr="00923467">
        <w:t xml:space="preserve"> by staff</w:t>
      </w:r>
      <w:r w:rsidRPr="00923467">
        <w:t xml:space="preserve">, and as a way of </w:t>
      </w:r>
      <w:r w:rsidR="002F525D" w:rsidRPr="00923467">
        <w:t>reward</w:t>
      </w:r>
      <w:r w:rsidRPr="00923467">
        <w:t>, 18 staff from different departments were prom</w:t>
      </w:r>
      <w:r w:rsidR="000B0F31" w:rsidRPr="00923467">
        <w:t>oted</w:t>
      </w:r>
      <w:r w:rsidRPr="00923467">
        <w:t xml:space="preserve"> in 2022</w:t>
      </w:r>
      <w:r w:rsidR="000B0F31" w:rsidRPr="00923467">
        <w:t xml:space="preserve"> of which 13 were </w:t>
      </w:r>
      <w:r w:rsidR="0096427C" w:rsidRPr="00923467">
        <w:t xml:space="preserve">promoted as </w:t>
      </w:r>
      <w:r w:rsidR="000B0F31" w:rsidRPr="00923467">
        <w:t>supervisors</w:t>
      </w:r>
      <w:r w:rsidR="0096427C" w:rsidRPr="00923467">
        <w:t>,</w:t>
      </w:r>
      <w:r w:rsidR="000B0F31" w:rsidRPr="00923467">
        <w:t xml:space="preserve"> and 5 </w:t>
      </w:r>
      <w:r w:rsidR="00F73C85" w:rsidRPr="00923467">
        <w:t xml:space="preserve">as </w:t>
      </w:r>
      <w:r w:rsidR="000B0F31" w:rsidRPr="00923467">
        <w:t>managers.</w:t>
      </w:r>
    </w:p>
    <w:p w14:paraId="7CD3200B" w14:textId="77777777" w:rsidR="00A65C88" w:rsidRDefault="00A65C88" w:rsidP="00923467"/>
    <w:p w14:paraId="4605D79C" w14:textId="77777777" w:rsidR="009A5197" w:rsidRPr="00923467" w:rsidRDefault="009A5197" w:rsidP="00923467"/>
    <w:p w14:paraId="405748E6" w14:textId="77777777" w:rsidR="00864AAE" w:rsidRPr="00923467" w:rsidRDefault="00EC09DC" w:rsidP="00923467">
      <w:r w:rsidRPr="00923467">
        <w:rPr>
          <w:noProof/>
        </w:rPr>
        <mc:AlternateContent>
          <mc:Choice Requires="cx2">
            <w:drawing>
              <wp:inline distT="0" distB="0" distL="0" distR="0" wp14:anchorId="5FC8E6A2" wp14:editId="194ACDC2">
                <wp:extent cx="4046899" cy="2399030"/>
                <wp:effectExtent l="0" t="0" r="4445" b="1270"/>
                <wp:docPr id="23" name="Chart 23">
                  <a:extLst xmlns:a="http://schemas.openxmlformats.org/drawingml/2006/main">
                    <a:ext uri="{FF2B5EF4-FFF2-40B4-BE49-F238E27FC236}">
                      <a16:creationId xmlns:a16="http://schemas.microsoft.com/office/drawing/2014/main" id="{ABF2A18B-35A1-A778-2316-9BB18FA04A5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5FC8E6A2" wp14:editId="194ACDC2">
                <wp:extent cx="4046899" cy="2399030"/>
                <wp:effectExtent l="0" t="0" r="4445" b="1270"/>
                <wp:docPr id="23" name="Chart 23">
                  <a:extLst xmlns:a="http://schemas.openxmlformats.org/drawingml/2006/main">
                    <a:ext uri="{FF2B5EF4-FFF2-40B4-BE49-F238E27FC236}">
                      <a16:creationId xmlns:a16="http://schemas.microsoft.com/office/drawing/2014/main" id="{ABF2A18B-35A1-A778-2316-9BB18FA04A5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3" name="Chart 23">
                          <a:extLst>
                            <a:ext uri="{FF2B5EF4-FFF2-40B4-BE49-F238E27FC236}">
                              <a16:creationId xmlns:a16="http://schemas.microsoft.com/office/drawing/2014/main" id="{ABF2A18B-35A1-A778-2316-9BB18FA04A5F}"/>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4046855" cy="2399030"/>
                        </a:xfrm>
                        <a:prstGeom prst="rect">
                          <a:avLst/>
                        </a:prstGeom>
                      </pic:spPr>
                    </pic:pic>
                  </a:graphicData>
                </a:graphic>
              </wp:inline>
            </w:drawing>
          </mc:Fallback>
        </mc:AlternateContent>
      </w:r>
    </w:p>
    <w:p w14:paraId="1663AB03" w14:textId="11413EFA" w:rsidR="00D179B7" w:rsidRPr="00923467" w:rsidRDefault="00864AAE" w:rsidP="00923467">
      <w:pPr>
        <w:pStyle w:val="Caption"/>
        <w:rPr>
          <w:sz w:val="24"/>
          <w:szCs w:val="24"/>
        </w:rPr>
      </w:pPr>
      <w:bookmarkStart w:id="43" w:name="_Toc137831170"/>
      <w:r w:rsidRPr="00923467">
        <w:t xml:space="preserve">Figure </w:t>
      </w:r>
      <w:r w:rsidRPr="00923467">
        <w:fldChar w:fldCharType="begin"/>
      </w:r>
      <w:r w:rsidRPr="00923467">
        <w:instrText xml:space="preserve"> SEQ Figure \* ARABIC </w:instrText>
      </w:r>
      <w:r w:rsidRPr="00923467">
        <w:fldChar w:fldCharType="separate"/>
      </w:r>
      <w:r w:rsidR="00E12E6B">
        <w:rPr>
          <w:noProof/>
        </w:rPr>
        <w:t>7</w:t>
      </w:r>
      <w:r w:rsidRPr="00923467">
        <w:fldChar w:fldCharType="end"/>
      </w:r>
      <w:r w:rsidRPr="00923467">
        <w:t>: Staff Promotion by Department, 2022</w:t>
      </w:r>
      <w:bookmarkEnd w:id="43"/>
    </w:p>
    <w:p w14:paraId="065FE3CA" w14:textId="77777777" w:rsidR="009D771C" w:rsidRPr="009A5197" w:rsidRDefault="009D771C" w:rsidP="00923467">
      <w:pPr>
        <w:rPr>
          <w:sz w:val="16"/>
          <w:szCs w:val="16"/>
        </w:rPr>
      </w:pPr>
      <w:r w:rsidRPr="009A5197">
        <w:rPr>
          <w:sz w:val="16"/>
          <w:szCs w:val="16"/>
        </w:rPr>
        <w:t>Source: HRD</w:t>
      </w:r>
    </w:p>
    <w:p w14:paraId="1FA15F9A" w14:textId="77777777" w:rsidR="00753E01" w:rsidRPr="00923467" w:rsidRDefault="00753E01" w:rsidP="00EF2D32">
      <w:pPr>
        <w:pStyle w:val="Heading3"/>
      </w:pPr>
    </w:p>
    <w:p w14:paraId="70508B55" w14:textId="6202C736" w:rsidR="001B210F" w:rsidRPr="00923467" w:rsidRDefault="00D27E31" w:rsidP="00EF2D32">
      <w:pPr>
        <w:pStyle w:val="Heading3"/>
      </w:pPr>
      <w:bookmarkStart w:id="44" w:name="_Toc137831081"/>
      <w:r w:rsidRPr="00923467">
        <w:t>Staff Separation</w:t>
      </w:r>
      <w:bookmarkEnd w:id="44"/>
      <w:r w:rsidRPr="00923467">
        <w:t xml:space="preserve"> </w:t>
      </w:r>
    </w:p>
    <w:p w14:paraId="6A5311FF" w14:textId="21B4BF62" w:rsidR="00753E01" w:rsidRPr="00923467" w:rsidRDefault="00025339" w:rsidP="00923467">
      <w:r w:rsidRPr="00923467">
        <w:t xml:space="preserve">Table </w:t>
      </w:r>
      <w:r w:rsidR="00753E01" w:rsidRPr="00923467">
        <w:t xml:space="preserve">11 </w:t>
      </w:r>
      <w:r w:rsidR="007C7392" w:rsidRPr="00923467">
        <w:t>shows the number of staff separation by department</w:t>
      </w:r>
      <w:r w:rsidR="00957956" w:rsidRPr="00923467">
        <w:t xml:space="preserve"> while</w:t>
      </w:r>
      <w:r w:rsidR="00523EA1" w:rsidRPr="00923467">
        <w:t xml:space="preserve"> </w:t>
      </w:r>
      <w:r w:rsidR="00953DCE" w:rsidRPr="00923467">
        <w:t>Figure</w:t>
      </w:r>
      <w:r w:rsidR="00454162" w:rsidRPr="00923467">
        <w:t xml:space="preserve"> </w:t>
      </w:r>
      <w:r w:rsidR="00753E01" w:rsidRPr="00923467">
        <w:t xml:space="preserve">8 </w:t>
      </w:r>
      <w:r w:rsidR="00454162" w:rsidRPr="00923467">
        <w:t>shows the</w:t>
      </w:r>
      <w:r w:rsidR="00523EA1" w:rsidRPr="00923467">
        <w:t xml:space="preserve"> separation by category</w:t>
      </w:r>
      <w:r w:rsidR="00454162" w:rsidRPr="00923467">
        <w:t>.</w:t>
      </w:r>
      <w:r w:rsidR="00D5001A" w:rsidRPr="00923467">
        <w:t xml:space="preserve"> </w:t>
      </w:r>
      <w:r w:rsidR="00D1090E" w:rsidRPr="00923467">
        <w:t xml:space="preserve">A total of 32 staff separated from the Authority in the year under review. </w:t>
      </w:r>
      <w:r w:rsidR="00D5001A" w:rsidRPr="00923467">
        <w:t xml:space="preserve">The CSD recorded the highest number of </w:t>
      </w:r>
      <w:r w:rsidR="004F6632" w:rsidRPr="00923467">
        <w:t>separations</w:t>
      </w:r>
      <w:r w:rsidR="00D5001A" w:rsidRPr="00923467">
        <w:t xml:space="preserve"> (9 staff), followed by Admin</w:t>
      </w:r>
      <w:r w:rsidR="00454162" w:rsidRPr="00923467">
        <w:t xml:space="preserve"> </w:t>
      </w:r>
      <w:r w:rsidR="00D5001A" w:rsidRPr="00923467">
        <w:t xml:space="preserve">(7 staff), and then NTR (4 staff) and DTD (4 staff). </w:t>
      </w:r>
    </w:p>
    <w:p w14:paraId="37EB30C6" w14:textId="15057386" w:rsidR="009C6798" w:rsidRPr="00923467" w:rsidRDefault="009C6798" w:rsidP="00923467"/>
    <w:tbl>
      <w:tblPr>
        <w:tblStyle w:val="GridTable4-Accent5"/>
        <w:tblW w:w="3539" w:type="dxa"/>
        <w:tblLook w:val="04A0" w:firstRow="1" w:lastRow="0" w:firstColumn="1" w:lastColumn="0" w:noHBand="0" w:noVBand="1"/>
      </w:tblPr>
      <w:tblGrid>
        <w:gridCol w:w="1470"/>
        <w:gridCol w:w="2069"/>
      </w:tblGrid>
      <w:tr w:rsidR="009C6798" w:rsidRPr="00923467" w14:paraId="40E7C324" w14:textId="77777777" w:rsidTr="009A519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470" w:type="dxa"/>
            <w:hideMark/>
          </w:tcPr>
          <w:p w14:paraId="44F7BB26" w14:textId="49FDF579" w:rsidR="009C6798" w:rsidRPr="009A5197" w:rsidRDefault="009A5197" w:rsidP="00923467">
            <w:pPr>
              <w:rPr>
                <w:sz w:val="18"/>
                <w:szCs w:val="18"/>
              </w:rPr>
            </w:pPr>
            <w:r w:rsidRPr="009A5197">
              <w:rPr>
                <w:sz w:val="18"/>
                <w:szCs w:val="18"/>
              </w:rPr>
              <w:t>Department</w:t>
            </w:r>
          </w:p>
        </w:tc>
        <w:tc>
          <w:tcPr>
            <w:tcW w:w="2069" w:type="dxa"/>
            <w:hideMark/>
          </w:tcPr>
          <w:p w14:paraId="6ED372CB" w14:textId="7319CB91" w:rsidR="009C6798" w:rsidRPr="009A5197" w:rsidRDefault="009A5197" w:rsidP="00923467">
            <w:pPr>
              <w:cnfStyle w:val="100000000000" w:firstRow="1" w:lastRow="0" w:firstColumn="0" w:lastColumn="0" w:oddVBand="0" w:evenVBand="0" w:oddHBand="0" w:evenHBand="0" w:firstRowFirstColumn="0" w:firstRowLastColumn="0" w:lastRowFirstColumn="0" w:lastRowLastColumn="0"/>
              <w:rPr>
                <w:sz w:val="18"/>
                <w:szCs w:val="18"/>
              </w:rPr>
            </w:pPr>
            <w:r w:rsidRPr="009A5197">
              <w:rPr>
                <w:sz w:val="18"/>
                <w:szCs w:val="18"/>
              </w:rPr>
              <w:t>No. Of Employees</w:t>
            </w:r>
          </w:p>
        </w:tc>
      </w:tr>
      <w:tr w:rsidR="009C6798" w:rsidRPr="00923467" w14:paraId="39509E74" w14:textId="77777777" w:rsidTr="009A519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470" w:type="dxa"/>
            <w:hideMark/>
          </w:tcPr>
          <w:p w14:paraId="16361D6A" w14:textId="77777777" w:rsidR="009C6798" w:rsidRPr="009A5197" w:rsidRDefault="009C6798" w:rsidP="00923467">
            <w:pPr>
              <w:rPr>
                <w:b w:val="0"/>
                <w:bCs w:val="0"/>
                <w:sz w:val="18"/>
                <w:szCs w:val="18"/>
              </w:rPr>
            </w:pPr>
            <w:r w:rsidRPr="009A5197">
              <w:rPr>
                <w:b w:val="0"/>
                <w:bCs w:val="0"/>
                <w:sz w:val="18"/>
                <w:szCs w:val="18"/>
              </w:rPr>
              <w:t>RIID</w:t>
            </w:r>
          </w:p>
        </w:tc>
        <w:tc>
          <w:tcPr>
            <w:tcW w:w="2069" w:type="dxa"/>
            <w:hideMark/>
          </w:tcPr>
          <w:p w14:paraId="35131D1D" w14:textId="77777777" w:rsidR="009C6798" w:rsidRPr="009A5197" w:rsidRDefault="009C6798"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1</w:t>
            </w:r>
          </w:p>
        </w:tc>
      </w:tr>
      <w:tr w:rsidR="009C6798" w:rsidRPr="00923467" w14:paraId="7E32F634" w14:textId="77777777" w:rsidTr="009A5197">
        <w:trPr>
          <w:trHeight w:val="180"/>
        </w:trPr>
        <w:tc>
          <w:tcPr>
            <w:cnfStyle w:val="001000000000" w:firstRow="0" w:lastRow="0" w:firstColumn="1" w:lastColumn="0" w:oddVBand="0" w:evenVBand="0" w:oddHBand="0" w:evenHBand="0" w:firstRowFirstColumn="0" w:firstRowLastColumn="0" w:lastRowFirstColumn="0" w:lastRowLastColumn="0"/>
            <w:tcW w:w="1470" w:type="dxa"/>
            <w:hideMark/>
          </w:tcPr>
          <w:p w14:paraId="64DB9577" w14:textId="77777777" w:rsidR="009C6798" w:rsidRPr="009A5197" w:rsidRDefault="009C6798" w:rsidP="00923467">
            <w:pPr>
              <w:rPr>
                <w:b w:val="0"/>
                <w:bCs w:val="0"/>
                <w:sz w:val="18"/>
                <w:szCs w:val="18"/>
              </w:rPr>
            </w:pPr>
            <w:r w:rsidRPr="009A5197">
              <w:rPr>
                <w:b w:val="0"/>
                <w:bCs w:val="0"/>
                <w:sz w:val="18"/>
                <w:szCs w:val="18"/>
              </w:rPr>
              <w:t>ADMIN</w:t>
            </w:r>
          </w:p>
        </w:tc>
        <w:tc>
          <w:tcPr>
            <w:tcW w:w="2069" w:type="dxa"/>
            <w:hideMark/>
          </w:tcPr>
          <w:p w14:paraId="5701E174" w14:textId="77777777" w:rsidR="009C6798" w:rsidRPr="009A5197" w:rsidRDefault="009C6798"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7</w:t>
            </w:r>
          </w:p>
        </w:tc>
      </w:tr>
      <w:tr w:rsidR="009C6798" w:rsidRPr="00923467" w14:paraId="208C78DF" w14:textId="77777777" w:rsidTr="009A519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70" w:type="dxa"/>
            <w:hideMark/>
          </w:tcPr>
          <w:p w14:paraId="041C2BA5" w14:textId="34EA4EEE" w:rsidR="009C6798" w:rsidRPr="009A5197" w:rsidRDefault="009C6798" w:rsidP="00923467">
            <w:pPr>
              <w:rPr>
                <w:b w:val="0"/>
                <w:bCs w:val="0"/>
                <w:sz w:val="18"/>
                <w:szCs w:val="18"/>
              </w:rPr>
            </w:pPr>
            <w:r w:rsidRPr="009A5197">
              <w:rPr>
                <w:b w:val="0"/>
                <w:bCs w:val="0"/>
                <w:sz w:val="18"/>
                <w:szCs w:val="18"/>
              </w:rPr>
              <w:t>C</w:t>
            </w:r>
            <w:r w:rsidR="009B313D" w:rsidRPr="009A5197">
              <w:rPr>
                <w:b w:val="0"/>
                <w:bCs w:val="0"/>
                <w:sz w:val="18"/>
                <w:szCs w:val="18"/>
              </w:rPr>
              <w:t>SD</w:t>
            </w:r>
          </w:p>
        </w:tc>
        <w:tc>
          <w:tcPr>
            <w:tcW w:w="2069" w:type="dxa"/>
            <w:hideMark/>
          </w:tcPr>
          <w:p w14:paraId="47C30B11" w14:textId="77777777" w:rsidR="009C6798" w:rsidRPr="009A5197" w:rsidRDefault="009C6798"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9</w:t>
            </w:r>
          </w:p>
        </w:tc>
      </w:tr>
      <w:tr w:rsidR="009C6798" w:rsidRPr="00923467" w14:paraId="04215A6A" w14:textId="77777777" w:rsidTr="009A5197">
        <w:trPr>
          <w:trHeight w:val="252"/>
        </w:trPr>
        <w:tc>
          <w:tcPr>
            <w:cnfStyle w:val="001000000000" w:firstRow="0" w:lastRow="0" w:firstColumn="1" w:lastColumn="0" w:oddVBand="0" w:evenVBand="0" w:oddHBand="0" w:evenHBand="0" w:firstRowFirstColumn="0" w:firstRowLastColumn="0" w:lastRowFirstColumn="0" w:lastRowLastColumn="0"/>
            <w:tcW w:w="1470" w:type="dxa"/>
            <w:hideMark/>
          </w:tcPr>
          <w:p w14:paraId="4805D9DA" w14:textId="77777777" w:rsidR="009C6798" w:rsidRPr="009A5197" w:rsidRDefault="009C6798" w:rsidP="00923467">
            <w:pPr>
              <w:rPr>
                <w:b w:val="0"/>
                <w:bCs w:val="0"/>
                <w:sz w:val="18"/>
                <w:szCs w:val="18"/>
              </w:rPr>
            </w:pPr>
            <w:r w:rsidRPr="009A5197">
              <w:rPr>
                <w:b w:val="0"/>
                <w:bCs w:val="0"/>
                <w:sz w:val="18"/>
                <w:szCs w:val="18"/>
              </w:rPr>
              <w:t>NTR</w:t>
            </w:r>
          </w:p>
        </w:tc>
        <w:tc>
          <w:tcPr>
            <w:tcW w:w="2069" w:type="dxa"/>
            <w:hideMark/>
          </w:tcPr>
          <w:p w14:paraId="23836E0B" w14:textId="77777777" w:rsidR="009C6798" w:rsidRPr="009A5197" w:rsidRDefault="009C6798"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4</w:t>
            </w:r>
          </w:p>
        </w:tc>
      </w:tr>
      <w:tr w:rsidR="009C6798" w:rsidRPr="00923467" w14:paraId="7F2B0E90" w14:textId="77777777" w:rsidTr="009A519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70" w:type="dxa"/>
            <w:hideMark/>
          </w:tcPr>
          <w:p w14:paraId="0E9653C0" w14:textId="77777777" w:rsidR="009C6798" w:rsidRPr="009A5197" w:rsidRDefault="009C6798" w:rsidP="00923467">
            <w:pPr>
              <w:rPr>
                <w:b w:val="0"/>
                <w:bCs w:val="0"/>
                <w:sz w:val="18"/>
                <w:szCs w:val="18"/>
              </w:rPr>
            </w:pPr>
            <w:r w:rsidRPr="009A5197">
              <w:rPr>
                <w:b w:val="0"/>
                <w:bCs w:val="0"/>
                <w:sz w:val="18"/>
                <w:szCs w:val="18"/>
              </w:rPr>
              <w:t>F &amp; B</w:t>
            </w:r>
          </w:p>
        </w:tc>
        <w:tc>
          <w:tcPr>
            <w:tcW w:w="2069" w:type="dxa"/>
            <w:hideMark/>
          </w:tcPr>
          <w:p w14:paraId="3817ABEA" w14:textId="77777777" w:rsidR="009C6798" w:rsidRPr="009A5197" w:rsidRDefault="009C6798"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2</w:t>
            </w:r>
          </w:p>
        </w:tc>
      </w:tr>
      <w:tr w:rsidR="009C6798" w:rsidRPr="00923467" w14:paraId="0B5B917D" w14:textId="77777777" w:rsidTr="009A5197">
        <w:trPr>
          <w:trHeight w:val="243"/>
        </w:trPr>
        <w:tc>
          <w:tcPr>
            <w:cnfStyle w:val="001000000000" w:firstRow="0" w:lastRow="0" w:firstColumn="1" w:lastColumn="0" w:oddVBand="0" w:evenVBand="0" w:oddHBand="0" w:evenHBand="0" w:firstRowFirstColumn="0" w:firstRowLastColumn="0" w:lastRowFirstColumn="0" w:lastRowLastColumn="0"/>
            <w:tcW w:w="1470" w:type="dxa"/>
            <w:hideMark/>
          </w:tcPr>
          <w:p w14:paraId="31DAB35C" w14:textId="77777777" w:rsidR="009C6798" w:rsidRPr="009A5197" w:rsidRDefault="009C6798" w:rsidP="00923467">
            <w:pPr>
              <w:rPr>
                <w:b w:val="0"/>
                <w:bCs w:val="0"/>
                <w:sz w:val="18"/>
                <w:szCs w:val="18"/>
              </w:rPr>
            </w:pPr>
            <w:r w:rsidRPr="009A5197">
              <w:rPr>
                <w:b w:val="0"/>
                <w:bCs w:val="0"/>
                <w:sz w:val="18"/>
                <w:szCs w:val="18"/>
              </w:rPr>
              <w:t>ICT</w:t>
            </w:r>
          </w:p>
        </w:tc>
        <w:tc>
          <w:tcPr>
            <w:tcW w:w="2069" w:type="dxa"/>
            <w:hideMark/>
          </w:tcPr>
          <w:p w14:paraId="2E1F8C71" w14:textId="77777777" w:rsidR="009C6798" w:rsidRPr="009A5197" w:rsidRDefault="009C6798"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3</w:t>
            </w:r>
          </w:p>
        </w:tc>
      </w:tr>
      <w:tr w:rsidR="009C6798" w:rsidRPr="00923467" w14:paraId="69806F89" w14:textId="77777777" w:rsidTr="009A519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0" w:type="dxa"/>
            <w:hideMark/>
          </w:tcPr>
          <w:p w14:paraId="52E911FF" w14:textId="77777777" w:rsidR="009C6798" w:rsidRPr="009A5197" w:rsidRDefault="009C6798" w:rsidP="00923467">
            <w:pPr>
              <w:rPr>
                <w:b w:val="0"/>
                <w:bCs w:val="0"/>
                <w:sz w:val="18"/>
                <w:szCs w:val="18"/>
              </w:rPr>
            </w:pPr>
            <w:r w:rsidRPr="009A5197">
              <w:rPr>
                <w:b w:val="0"/>
                <w:bCs w:val="0"/>
                <w:sz w:val="18"/>
                <w:szCs w:val="18"/>
              </w:rPr>
              <w:t>ICA</w:t>
            </w:r>
          </w:p>
        </w:tc>
        <w:tc>
          <w:tcPr>
            <w:tcW w:w="2069" w:type="dxa"/>
            <w:hideMark/>
          </w:tcPr>
          <w:p w14:paraId="52643635" w14:textId="77777777" w:rsidR="009C6798" w:rsidRPr="009A5197" w:rsidRDefault="009C6798" w:rsidP="00923467">
            <w:pPr>
              <w:cnfStyle w:val="000000100000" w:firstRow="0" w:lastRow="0" w:firstColumn="0" w:lastColumn="0" w:oddVBand="0" w:evenVBand="0" w:oddHBand="1" w:evenHBand="0" w:firstRowFirstColumn="0" w:firstRowLastColumn="0" w:lastRowFirstColumn="0" w:lastRowLastColumn="0"/>
              <w:rPr>
                <w:sz w:val="18"/>
                <w:szCs w:val="18"/>
              </w:rPr>
            </w:pPr>
            <w:r w:rsidRPr="009A5197">
              <w:rPr>
                <w:sz w:val="18"/>
                <w:szCs w:val="18"/>
              </w:rPr>
              <w:t>2</w:t>
            </w:r>
          </w:p>
        </w:tc>
      </w:tr>
      <w:tr w:rsidR="009C6798" w:rsidRPr="00923467" w14:paraId="1234FA96" w14:textId="77777777" w:rsidTr="009A5197">
        <w:trPr>
          <w:trHeight w:val="243"/>
        </w:trPr>
        <w:tc>
          <w:tcPr>
            <w:cnfStyle w:val="001000000000" w:firstRow="0" w:lastRow="0" w:firstColumn="1" w:lastColumn="0" w:oddVBand="0" w:evenVBand="0" w:oddHBand="0" w:evenHBand="0" w:firstRowFirstColumn="0" w:firstRowLastColumn="0" w:lastRowFirstColumn="0" w:lastRowLastColumn="0"/>
            <w:tcW w:w="1470" w:type="dxa"/>
            <w:hideMark/>
          </w:tcPr>
          <w:p w14:paraId="7F43C444" w14:textId="77777777" w:rsidR="009C6798" w:rsidRPr="009A5197" w:rsidRDefault="009C6798" w:rsidP="00923467">
            <w:pPr>
              <w:rPr>
                <w:b w:val="0"/>
                <w:bCs w:val="0"/>
                <w:sz w:val="18"/>
                <w:szCs w:val="18"/>
              </w:rPr>
            </w:pPr>
            <w:r w:rsidRPr="009A5197">
              <w:rPr>
                <w:b w:val="0"/>
                <w:bCs w:val="0"/>
                <w:sz w:val="18"/>
                <w:szCs w:val="18"/>
              </w:rPr>
              <w:t>DTD</w:t>
            </w:r>
          </w:p>
        </w:tc>
        <w:tc>
          <w:tcPr>
            <w:tcW w:w="2069" w:type="dxa"/>
            <w:hideMark/>
          </w:tcPr>
          <w:p w14:paraId="65CD5B50" w14:textId="77777777" w:rsidR="009C6798" w:rsidRPr="009A5197" w:rsidRDefault="009C6798" w:rsidP="00923467">
            <w:pPr>
              <w:cnfStyle w:val="000000000000" w:firstRow="0" w:lastRow="0" w:firstColumn="0" w:lastColumn="0" w:oddVBand="0" w:evenVBand="0" w:oddHBand="0" w:evenHBand="0" w:firstRowFirstColumn="0" w:firstRowLastColumn="0" w:lastRowFirstColumn="0" w:lastRowLastColumn="0"/>
              <w:rPr>
                <w:sz w:val="18"/>
                <w:szCs w:val="18"/>
              </w:rPr>
            </w:pPr>
            <w:r w:rsidRPr="009A5197">
              <w:rPr>
                <w:sz w:val="18"/>
                <w:szCs w:val="18"/>
              </w:rPr>
              <w:t>4</w:t>
            </w:r>
          </w:p>
        </w:tc>
      </w:tr>
      <w:tr w:rsidR="009C6798" w:rsidRPr="00923467" w14:paraId="647DA913" w14:textId="77777777" w:rsidTr="009A519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470" w:type="dxa"/>
            <w:hideMark/>
          </w:tcPr>
          <w:p w14:paraId="157DFCE6" w14:textId="0F84B319" w:rsidR="009C6798" w:rsidRPr="009A5197" w:rsidRDefault="00542064" w:rsidP="00923467">
            <w:pPr>
              <w:rPr>
                <w:sz w:val="18"/>
                <w:szCs w:val="18"/>
              </w:rPr>
            </w:pPr>
            <w:r>
              <w:rPr>
                <w:sz w:val="18"/>
                <w:szCs w:val="18"/>
              </w:rPr>
              <w:t>Total</w:t>
            </w:r>
          </w:p>
        </w:tc>
        <w:tc>
          <w:tcPr>
            <w:tcW w:w="2069" w:type="dxa"/>
            <w:hideMark/>
          </w:tcPr>
          <w:p w14:paraId="1D5BC412" w14:textId="77777777" w:rsidR="009C6798" w:rsidRPr="00542064" w:rsidRDefault="009C6798"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542064">
              <w:rPr>
                <w:b/>
                <w:bCs/>
                <w:sz w:val="18"/>
                <w:szCs w:val="18"/>
              </w:rPr>
              <w:t>32</w:t>
            </w:r>
          </w:p>
        </w:tc>
      </w:tr>
    </w:tbl>
    <w:p w14:paraId="5B6C49D7" w14:textId="0E8B8099" w:rsidR="00753E01" w:rsidRPr="00923467" w:rsidRDefault="00753E01" w:rsidP="00923467">
      <w:pPr>
        <w:pStyle w:val="Caption"/>
      </w:pPr>
      <w:bookmarkStart w:id="45" w:name="_Toc137831140"/>
      <w:r w:rsidRPr="00923467">
        <w:t xml:space="preserve">Table </w:t>
      </w:r>
      <w:r w:rsidRPr="00923467">
        <w:fldChar w:fldCharType="begin"/>
      </w:r>
      <w:r w:rsidRPr="00923467">
        <w:instrText xml:space="preserve"> SEQ Table \* ARABIC </w:instrText>
      </w:r>
      <w:r w:rsidRPr="00923467">
        <w:fldChar w:fldCharType="separate"/>
      </w:r>
      <w:r w:rsidR="00E12E6B">
        <w:rPr>
          <w:noProof/>
        </w:rPr>
        <w:t>11</w:t>
      </w:r>
      <w:r w:rsidRPr="00923467">
        <w:fldChar w:fldCharType="end"/>
      </w:r>
      <w:r w:rsidRPr="00923467">
        <w:t>: Staff Separation by Department, 2022</w:t>
      </w:r>
      <w:bookmarkEnd w:id="45"/>
    </w:p>
    <w:p w14:paraId="383EE87C" w14:textId="77777777" w:rsidR="009D771C" w:rsidRPr="009A5197" w:rsidRDefault="009D771C" w:rsidP="00923467">
      <w:pPr>
        <w:rPr>
          <w:sz w:val="16"/>
          <w:szCs w:val="16"/>
        </w:rPr>
      </w:pPr>
      <w:r w:rsidRPr="009A5197">
        <w:rPr>
          <w:sz w:val="16"/>
          <w:szCs w:val="16"/>
        </w:rPr>
        <w:t>Source: HRD</w:t>
      </w:r>
    </w:p>
    <w:p w14:paraId="5C43FDD0" w14:textId="77777777" w:rsidR="00BB2515" w:rsidRDefault="00BB2515" w:rsidP="00923467"/>
    <w:p w14:paraId="4B9DC2EF" w14:textId="25904DC2" w:rsidR="00E10820" w:rsidRPr="00923467" w:rsidRDefault="00D1090E" w:rsidP="00923467">
      <w:r w:rsidRPr="00923467">
        <w:t xml:space="preserve">From </w:t>
      </w:r>
      <w:r w:rsidR="00953DCE" w:rsidRPr="00923467">
        <w:t xml:space="preserve">Figure </w:t>
      </w:r>
      <w:r w:rsidR="00EA5ACB">
        <w:t>8</w:t>
      </w:r>
      <w:r w:rsidRPr="00923467">
        <w:t xml:space="preserve">, </w:t>
      </w:r>
      <w:r w:rsidR="00EA5ACB">
        <w:t xml:space="preserve">it can be observed that </w:t>
      </w:r>
      <w:r w:rsidR="006871D4" w:rsidRPr="00923467">
        <w:t>the main reason for staff separation was due to retirement (</w:t>
      </w:r>
      <w:r w:rsidR="00C51646" w:rsidRPr="00923467">
        <w:t>with 14 staff</w:t>
      </w:r>
      <w:r w:rsidR="006871D4" w:rsidRPr="00923467">
        <w:t>)</w:t>
      </w:r>
      <w:r w:rsidR="00396782" w:rsidRPr="00923467">
        <w:t>, followed by resignation (</w:t>
      </w:r>
      <w:r w:rsidR="00424089" w:rsidRPr="00923467">
        <w:t xml:space="preserve">with </w:t>
      </w:r>
      <w:r w:rsidR="00396782" w:rsidRPr="00923467">
        <w:t>12</w:t>
      </w:r>
      <w:r w:rsidR="00424089" w:rsidRPr="00923467">
        <w:t xml:space="preserve"> staff</w:t>
      </w:r>
      <w:r w:rsidR="00396782" w:rsidRPr="00923467">
        <w:t>) and then termination (</w:t>
      </w:r>
      <w:r w:rsidR="00424089" w:rsidRPr="00923467">
        <w:t xml:space="preserve">with </w:t>
      </w:r>
      <w:r w:rsidR="00396782" w:rsidRPr="00923467">
        <w:t>4</w:t>
      </w:r>
      <w:r w:rsidR="00424089" w:rsidRPr="00923467">
        <w:t xml:space="preserve"> staff</w:t>
      </w:r>
      <w:r w:rsidR="00396782" w:rsidRPr="00923467">
        <w:t xml:space="preserve">). Compared to 2021, retirement also accounted for the highest number of staff separation from the Authority. Death of staff and resignation were respectively the other main factors responsible for staff separating from the Authority in 2021. </w:t>
      </w:r>
      <w:r w:rsidR="00265F42" w:rsidRPr="00923467">
        <w:t xml:space="preserve"> </w:t>
      </w:r>
    </w:p>
    <w:p w14:paraId="7B5D7A2F" w14:textId="77777777" w:rsidR="00753E01" w:rsidRPr="00923467" w:rsidRDefault="00753E01" w:rsidP="00923467"/>
    <w:p w14:paraId="095CD631" w14:textId="77777777" w:rsidR="00753E01" w:rsidRPr="00923467" w:rsidRDefault="00953DCE" w:rsidP="00923467">
      <w:r w:rsidRPr="00923467">
        <w:rPr>
          <w:noProof/>
        </w:rPr>
        <w:drawing>
          <wp:inline distT="0" distB="0" distL="0" distR="0" wp14:anchorId="2EF126FC" wp14:editId="3F5DBC32">
            <wp:extent cx="4608214" cy="2276475"/>
            <wp:effectExtent l="0" t="0" r="14605" b="9525"/>
            <wp:docPr id="9" name="Chart 9">
              <a:extLst xmlns:a="http://schemas.openxmlformats.org/drawingml/2006/main">
                <a:ext uri="{FF2B5EF4-FFF2-40B4-BE49-F238E27FC236}">
                  <a16:creationId xmlns:a16="http://schemas.microsoft.com/office/drawing/2014/main" id="{651193DA-3F90-CC1F-D7EF-E7993D2FF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593EFD" w14:textId="155BBB35" w:rsidR="00953DCE" w:rsidRPr="00923467" w:rsidRDefault="00753E01" w:rsidP="00923467">
      <w:pPr>
        <w:pStyle w:val="Caption"/>
        <w:rPr>
          <w:b/>
          <w:bCs/>
          <w:sz w:val="24"/>
          <w:szCs w:val="24"/>
        </w:rPr>
      </w:pPr>
      <w:bookmarkStart w:id="46" w:name="_Toc137831171"/>
      <w:r w:rsidRPr="00923467">
        <w:t xml:space="preserve">Figure </w:t>
      </w:r>
      <w:r w:rsidRPr="00923467">
        <w:fldChar w:fldCharType="begin"/>
      </w:r>
      <w:r w:rsidRPr="00923467">
        <w:instrText xml:space="preserve"> SEQ Figure \* ARABIC </w:instrText>
      </w:r>
      <w:r w:rsidRPr="00923467">
        <w:fldChar w:fldCharType="separate"/>
      </w:r>
      <w:r w:rsidR="00E12E6B">
        <w:rPr>
          <w:noProof/>
        </w:rPr>
        <w:t>8</w:t>
      </w:r>
      <w:r w:rsidRPr="00923467">
        <w:fldChar w:fldCharType="end"/>
      </w:r>
      <w:r w:rsidRPr="00923467">
        <w:t>: Staff Separation (2022 vs 2021)</w:t>
      </w:r>
      <w:bookmarkEnd w:id="46"/>
    </w:p>
    <w:p w14:paraId="7442ED95" w14:textId="77777777" w:rsidR="00F77AEC" w:rsidRPr="00EA5ACB" w:rsidRDefault="00F77AEC" w:rsidP="00923467">
      <w:pPr>
        <w:rPr>
          <w:sz w:val="16"/>
          <w:szCs w:val="16"/>
        </w:rPr>
      </w:pPr>
      <w:r w:rsidRPr="00EA5ACB">
        <w:rPr>
          <w:sz w:val="16"/>
          <w:szCs w:val="16"/>
        </w:rPr>
        <w:t>Source: HRD</w:t>
      </w:r>
    </w:p>
    <w:p w14:paraId="5A115FD4" w14:textId="77777777" w:rsidR="00753E01" w:rsidRPr="00923467" w:rsidRDefault="00753E01" w:rsidP="00923467"/>
    <w:p w14:paraId="24321BF0" w14:textId="5A10341F" w:rsidR="00EC526D" w:rsidRPr="00923467" w:rsidRDefault="000A20C5" w:rsidP="00EF2D32">
      <w:pPr>
        <w:pStyle w:val="Heading3"/>
      </w:pPr>
      <w:bookmarkStart w:id="47" w:name="_Toc137831082"/>
      <w:r w:rsidRPr="00923467">
        <w:t>Training and Capacity Development</w:t>
      </w:r>
      <w:bookmarkEnd w:id="47"/>
    </w:p>
    <w:p w14:paraId="6C844E36" w14:textId="31F53583" w:rsidR="002F15CE" w:rsidRDefault="009E3ECB" w:rsidP="00923467">
      <w:r w:rsidRPr="00923467">
        <w:t xml:space="preserve">Goal </w:t>
      </w:r>
      <w:r w:rsidR="00B50743" w:rsidRPr="00923467">
        <w:t xml:space="preserve">two (2) </w:t>
      </w:r>
      <w:r w:rsidRPr="00923467">
        <w:t>of the NRA 2018-2022 strategic plan is to “Develop Human Capital and Institutional Capacity</w:t>
      </w:r>
      <w:r w:rsidR="00753E01" w:rsidRPr="00923467">
        <w:t>.</w:t>
      </w:r>
      <w:r w:rsidRPr="00923467">
        <w:t xml:space="preserve">” </w:t>
      </w:r>
      <w:r w:rsidR="00B50743" w:rsidRPr="00923467">
        <w:t xml:space="preserve">In line with this goal, the </w:t>
      </w:r>
      <w:r w:rsidR="00102B9B" w:rsidRPr="00923467">
        <w:t>HRD</w:t>
      </w:r>
      <w:r w:rsidR="00B50743" w:rsidRPr="00923467">
        <w:t xml:space="preserve"> </w:t>
      </w:r>
      <w:r w:rsidR="00A27FA5" w:rsidRPr="00923467">
        <w:t>organised/</w:t>
      </w:r>
      <w:r w:rsidR="00B50743" w:rsidRPr="00923467">
        <w:t xml:space="preserve">coordinated several local and international trainings </w:t>
      </w:r>
      <w:r w:rsidR="00A27FA5" w:rsidRPr="00923467">
        <w:t xml:space="preserve">that benefitted </w:t>
      </w:r>
      <w:r w:rsidR="00B50743" w:rsidRPr="00923467">
        <w:t>staff from various department</w:t>
      </w:r>
      <w:r w:rsidR="008C5B09" w:rsidRPr="00923467">
        <w:t>s</w:t>
      </w:r>
      <w:r w:rsidR="00B50743" w:rsidRPr="00923467">
        <w:t xml:space="preserve">. </w:t>
      </w:r>
      <w:r w:rsidR="00E9725E" w:rsidRPr="00923467">
        <w:t xml:space="preserve">Overall, 27 training programmes were </w:t>
      </w:r>
      <w:r w:rsidR="00AA2CA7" w:rsidRPr="00923467">
        <w:t>organised</w:t>
      </w:r>
      <w:r w:rsidR="00E9725E" w:rsidRPr="00923467">
        <w:t xml:space="preserve"> locally</w:t>
      </w:r>
      <w:r w:rsidR="000C0027" w:rsidRPr="00923467">
        <w:t xml:space="preserve">, and </w:t>
      </w:r>
      <w:r w:rsidR="00E9725E" w:rsidRPr="00923467">
        <w:t>18 externally</w:t>
      </w:r>
      <w:r w:rsidR="000C0027" w:rsidRPr="00923467">
        <w:t>. A</w:t>
      </w:r>
      <w:r w:rsidR="00B50743" w:rsidRPr="00923467">
        <w:t xml:space="preserve"> total of 549 staff participated in both local and international trainings</w:t>
      </w:r>
      <w:r w:rsidR="00982ABC" w:rsidRPr="00923467">
        <w:t xml:space="preserve"> with DTD staff benefited the most</w:t>
      </w:r>
      <w:r w:rsidR="00AA53AB" w:rsidRPr="00923467">
        <w:t xml:space="preserve"> (with 143 beneficiaries)</w:t>
      </w:r>
      <w:r w:rsidR="00982ABC" w:rsidRPr="00923467">
        <w:t xml:space="preserve">, followed by NTR staff </w:t>
      </w:r>
      <w:r w:rsidR="00AA53AB" w:rsidRPr="00923467">
        <w:t xml:space="preserve">(with 78 beneficiaries), </w:t>
      </w:r>
      <w:r w:rsidR="00982ABC" w:rsidRPr="00923467">
        <w:t>Admin staff</w:t>
      </w:r>
      <w:r w:rsidR="00AA53AB" w:rsidRPr="00923467">
        <w:t xml:space="preserve"> (with 70 beneficiaries) and then </w:t>
      </w:r>
      <w:r w:rsidR="005307B0" w:rsidRPr="00923467">
        <w:t>CSD staff (with 60 beneficiaries)</w:t>
      </w:r>
      <w:r w:rsidR="00B50743" w:rsidRPr="00923467">
        <w:t xml:space="preserve">. </w:t>
      </w:r>
    </w:p>
    <w:p w14:paraId="2ADD78FB" w14:textId="77777777" w:rsidR="00EA5ACB" w:rsidRPr="00923467" w:rsidRDefault="00EA5ACB" w:rsidP="00923467"/>
    <w:p w14:paraId="2FC67E13" w14:textId="2C07AA52" w:rsidR="001A59E5" w:rsidRPr="00923467" w:rsidRDefault="00EC526D" w:rsidP="00923467">
      <w:r w:rsidRPr="00923467">
        <w:t xml:space="preserve">It should be noted that the </w:t>
      </w:r>
      <w:r w:rsidR="00B50743" w:rsidRPr="00923467">
        <w:t xml:space="preserve">total number </w:t>
      </w:r>
      <w:r w:rsidRPr="00923467">
        <w:t xml:space="preserve">of </w:t>
      </w:r>
      <w:r w:rsidR="00B50743" w:rsidRPr="00923467">
        <w:t>staff that participated in the different training programmes include</w:t>
      </w:r>
      <w:r w:rsidR="00547E36" w:rsidRPr="00923467">
        <w:t>d</w:t>
      </w:r>
      <w:r w:rsidR="00B50743" w:rsidRPr="00923467">
        <w:t xml:space="preserve"> those that benefitted from more than one training in the year.</w:t>
      </w:r>
      <w:r w:rsidR="00993744" w:rsidRPr="00923467">
        <w:t xml:space="preserve"> Of </w:t>
      </w:r>
      <w:r w:rsidR="00640441" w:rsidRPr="00923467">
        <w:t>these 549 staff</w:t>
      </w:r>
      <w:r w:rsidR="00993744" w:rsidRPr="00923467">
        <w:t xml:space="preserve">, 401 (73.0%) were male and 148 (27.0%) were female. Furthermore, 375 male staff and 139 female staff participated in trainings organised locally, while 26 male staff and </w:t>
      </w:r>
      <w:r w:rsidR="001A59E5" w:rsidRPr="00923467">
        <w:t xml:space="preserve">9 female </w:t>
      </w:r>
      <w:r w:rsidR="005A774C" w:rsidRPr="00923467">
        <w:t>staff participated</w:t>
      </w:r>
      <w:r w:rsidR="00993744" w:rsidRPr="00923467">
        <w:t xml:space="preserve"> </w:t>
      </w:r>
      <w:r w:rsidR="001A59E5" w:rsidRPr="00923467">
        <w:t xml:space="preserve">in </w:t>
      </w:r>
      <w:r w:rsidR="00640441" w:rsidRPr="00923467">
        <w:t>external</w:t>
      </w:r>
      <w:r w:rsidR="001A59E5" w:rsidRPr="00923467">
        <w:t xml:space="preserve"> training programmes. </w:t>
      </w:r>
      <w:r w:rsidR="00D31E9E" w:rsidRPr="00923467">
        <w:t xml:space="preserve"> </w:t>
      </w:r>
    </w:p>
    <w:tbl>
      <w:tblPr>
        <w:tblStyle w:val="GridTable4-Accent5"/>
        <w:tblW w:w="4248" w:type="dxa"/>
        <w:tblLook w:val="04A0" w:firstRow="1" w:lastRow="0" w:firstColumn="1" w:lastColumn="0" w:noHBand="0" w:noVBand="1"/>
      </w:tblPr>
      <w:tblGrid>
        <w:gridCol w:w="1980"/>
        <w:gridCol w:w="2268"/>
      </w:tblGrid>
      <w:tr w:rsidR="00932195" w:rsidRPr="00923467" w14:paraId="5A95F640" w14:textId="77777777" w:rsidTr="00EA5ACB">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DEA5D10" w14:textId="1D1A94A8" w:rsidR="00932195" w:rsidRPr="00EA5ACB" w:rsidRDefault="00EA5ACB" w:rsidP="00923467">
            <w:pPr>
              <w:rPr>
                <w:sz w:val="18"/>
                <w:szCs w:val="18"/>
              </w:rPr>
            </w:pPr>
            <w:r w:rsidRPr="00EA5ACB">
              <w:rPr>
                <w:sz w:val="18"/>
                <w:szCs w:val="18"/>
              </w:rPr>
              <w:t>Department</w:t>
            </w:r>
          </w:p>
        </w:tc>
        <w:tc>
          <w:tcPr>
            <w:tcW w:w="2268" w:type="dxa"/>
            <w:noWrap/>
            <w:hideMark/>
          </w:tcPr>
          <w:p w14:paraId="03010E80" w14:textId="152465F4" w:rsidR="00932195" w:rsidRPr="00EA5ACB" w:rsidRDefault="00EA5ACB" w:rsidP="00923467">
            <w:pPr>
              <w:cnfStyle w:val="100000000000" w:firstRow="1"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No. </w:t>
            </w:r>
            <w:r>
              <w:rPr>
                <w:sz w:val="18"/>
                <w:szCs w:val="18"/>
              </w:rPr>
              <w:t>o</w:t>
            </w:r>
            <w:r w:rsidRPr="00EA5ACB">
              <w:rPr>
                <w:sz w:val="18"/>
                <w:szCs w:val="18"/>
              </w:rPr>
              <w:t>f Employee</w:t>
            </w:r>
            <w:r>
              <w:rPr>
                <w:sz w:val="18"/>
                <w:szCs w:val="18"/>
              </w:rPr>
              <w:t>s*</w:t>
            </w:r>
          </w:p>
        </w:tc>
      </w:tr>
      <w:tr w:rsidR="00932195" w:rsidRPr="00923467" w14:paraId="177BA71E" w14:textId="77777777" w:rsidTr="00EA5A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614E678" w14:textId="66973963" w:rsidR="00932195" w:rsidRPr="00EA5ACB" w:rsidRDefault="00753E01" w:rsidP="00923467">
            <w:pPr>
              <w:rPr>
                <w:b w:val="0"/>
                <w:bCs w:val="0"/>
                <w:sz w:val="18"/>
                <w:szCs w:val="18"/>
              </w:rPr>
            </w:pPr>
            <w:r w:rsidRPr="00EA5ACB">
              <w:rPr>
                <w:b w:val="0"/>
                <w:bCs w:val="0"/>
                <w:sz w:val="18"/>
                <w:szCs w:val="18"/>
              </w:rPr>
              <w:t>CG’s Office</w:t>
            </w:r>
          </w:p>
        </w:tc>
        <w:tc>
          <w:tcPr>
            <w:tcW w:w="2268" w:type="dxa"/>
            <w:noWrap/>
            <w:hideMark/>
          </w:tcPr>
          <w:p w14:paraId="2ADA65AF" w14:textId="77777777" w:rsidR="00932195" w:rsidRPr="00EA5ACB" w:rsidRDefault="00932195"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6</w:t>
            </w:r>
          </w:p>
        </w:tc>
      </w:tr>
      <w:tr w:rsidR="00932195" w:rsidRPr="00923467" w14:paraId="4EDA628A" w14:textId="77777777" w:rsidTr="00EA5ACB">
        <w:trPr>
          <w:trHeight w:val="34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DC6FABE" w14:textId="52817AC2" w:rsidR="00932195" w:rsidRPr="00EA5ACB" w:rsidRDefault="00753E01" w:rsidP="00923467">
            <w:pPr>
              <w:rPr>
                <w:b w:val="0"/>
                <w:bCs w:val="0"/>
                <w:sz w:val="18"/>
                <w:szCs w:val="18"/>
              </w:rPr>
            </w:pPr>
            <w:r w:rsidRPr="00EA5ACB">
              <w:rPr>
                <w:b w:val="0"/>
                <w:bCs w:val="0"/>
                <w:sz w:val="18"/>
                <w:szCs w:val="18"/>
              </w:rPr>
              <w:t>RIID</w:t>
            </w:r>
          </w:p>
        </w:tc>
        <w:tc>
          <w:tcPr>
            <w:tcW w:w="2268" w:type="dxa"/>
            <w:noWrap/>
            <w:hideMark/>
          </w:tcPr>
          <w:p w14:paraId="558E4ADA" w14:textId="77777777" w:rsidR="00932195" w:rsidRPr="00EA5ACB" w:rsidRDefault="00932195"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43</w:t>
            </w:r>
          </w:p>
        </w:tc>
      </w:tr>
      <w:tr w:rsidR="00932195" w:rsidRPr="00923467" w14:paraId="13787A9D" w14:textId="77777777" w:rsidTr="00EA5A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B031DB4" w14:textId="7A56FEEA" w:rsidR="00932195" w:rsidRPr="00EA5ACB" w:rsidRDefault="00753E01" w:rsidP="00923467">
            <w:pPr>
              <w:rPr>
                <w:b w:val="0"/>
                <w:bCs w:val="0"/>
                <w:sz w:val="18"/>
                <w:szCs w:val="18"/>
              </w:rPr>
            </w:pPr>
            <w:r w:rsidRPr="00EA5ACB">
              <w:rPr>
                <w:b w:val="0"/>
                <w:bCs w:val="0"/>
                <w:sz w:val="18"/>
                <w:szCs w:val="18"/>
              </w:rPr>
              <w:t>Human Resource</w:t>
            </w:r>
          </w:p>
        </w:tc>
        <w:tc>
          <w:tcPr>
            <w:tcW w:w="2268" w:type="dxa"/>
            <w:noWrap/>
            <w:hideMark/>
          </w:tcPr>
          <w:p w14:paraId="31974680" w14:textId="77777777" w:rsidR="00932195" w:rsidRPr="00EA5ACB" w:rsidRDefault="00932195"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21</w:t>
            </w:r>
          </w:p>
        </w:tc>
      </w:tr>
      <w:tr w:rsidR="00932195" w:rsidRPr="00923467" w14:paraId="2DAE5EDC" w14:textId="77777777" w:rsidTr="00EA5ACB">
        <w:trPr>
          <w:trHeight w:val="34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00491E9" w14:textId="65EA9B20" w:rsidR="00932195" w:rsidRPr="00EA5ACB" w:rsidRDefault="00753E01" w:rsidP="00923467">
            <w:pPr>
              <w:rPr>
                <w:b w:val="0"/>
                <w:bCs w:val="0"/>
                <w:sz w:val="18"/>
                <w:szCs w:val="18"/>
              </w:rPr>
            </w:pPr>
            <w:r w:rsidRPr="00EA5ACB">
              <w:rPr>
                <w:b w:val="0"/>
                <w:bCs w:val="0"/>
                <w:sz w:val="18"/>
                <w:szCs w:val="18"/>
              </w:rPr>
              <w:t>Staff Welfare</w:t>
            </w:r>
          </w:p>
        </w:tc>
        <w:tc>
          <w:tcPr>
            <w:tcW w:w="2268" w:type="dxa"/>
            <w:noWrap/>
            <w:hideMark/>
          </w:tcPr>
          <w:p w14:paraId="1A5E45F4" w14:textId="77777777" w:rsidR="00932195" w:rsidRPr="00EA5ACB" w:rsidRDefault="00932195"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w:t>
            </w:r>
          </w:p>
        </w:tc>
      </w:tr>
      <w:tr w:rsidR="00932195" w:rsidRPr="00923467" w14:paraId="298F0F8C" w14:textId="77777777" w:rsidTr="00EA5A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579E0C3" w14:textId="6E1B45BA" w:rsidR="00932195" w:rsidRPr="00EA5ACB" w:rsidRDefault="00753E01" w:rsidP="00923467">
            <w:pPr>
              <w:rPr>
                <w:b w:val="0"/>
                <w:bCs w:val="0"/>
                <w:sz w:val="18"/>
                <w:szCs w:val="18"/>
              </w:rPr>
            </w:pPr>
            <w:r w:rsidRPr="00EA5ACB">
              <w:rPr>
                <w:b w:val="0"/>
                <w:bCs w:val="0"/>
                <w:sz w:val="18"/>
                <w:szCs w:val="18"/>
              </w:rPr>
              <w:t>Admin</w:t>
            </w:r>
          </w:p>
        </w:tc>
        <w:tc>
          <w:tcPr>
            <w:tcW w:w="2268" w:type="dxa"/>
            <w:noWrap/>
            <w:hideMark/>
          </w:tcPr>
          <w:p w14:paraId="7FB04D36" w14:textId="77777777" w:rsidR="00932195" w:rsidRPr="00EA5ACB" w:rsidRDefault="00932195"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70</w:t>
            </w:r>
          </w:p>
        </w:tc>
      </w:tr>
      <w:tr w:rsidR="00932195" w:rsidRPr="00923467" w14:paraId="44AE2030" w14:textId="77777777" w:rsidTr="00EA5ACB">
        <w:trPr>
          <w:trHeight w:val="34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0543C4F" w14:textId="4C4F3E9D" w:rsidR="00932195" w:rsidRPr="00EA5ACB" w:rsidRDefault="00753E01" w:rsidP="00923467">
            <w:pPr>
              <w:rPr>
                <w:b w:val="0"/>
                <w:bCs w:val="0"/>
                <w:sz w:val="18"/>
                <w:szCs w:val="18"/>
              </w:rPr>
            </w:pPr>
            <w:r w:rsidRPr="00EA5ACB">
              <w:rPr>
                <w:b w:val="0"/>
                <w:bCs w:val="0"/>
                <w:sz w:val="18"/>
                <w:szCs w:val="18"/>
              </w:rPr>
              <w:t>CSD</w:t>
            </w:r>
          </w:p>
        </w:tc>
        <w:tc>
          <w:tcPr>
            <w:tcW w:w="2268" w:type="dxa"/>
            <w:noWrap/>
            <w:hideMark/>
          </w:tcPr>
          <w:p w14:paraId="6A9A835B" w14:textId="77777777" w:rsidR="00932195" w:rsidRPr="00EA5ACB" w:rsidRDefault="00932195"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60</w:t>
            </w:r>
          </w:p>
        </w:tc>
      </w:tr>
      <w:tr w:rsidR="00932195" w:rsidRPr="00923467" w14:paraId="7894B058" w14:textId="77777777" w:rsidTr="00EA5A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7159B04" w14:textId="1721FA95" w:rsidR="00932195" w:rsidRPr="00EA5ACB" w:rsidRDefault="00753E01" w:rsidP="00923467">
            <w:pPr>
              <w:rPr>
                <w:b w:val="0"/>
                <w:bCs w:val="0"/>
                <w:sz w:val="18"/>
                <w:szCs w:val="18"/>
              </w:rPr>
            </w:pPr>
            <w:r w:rsidRPr="00EA5ACB">
              <w:rPr>
                <w:b w:val="0"/>
                <w:bCs w:val="0"/>
                <w:sz w:val="18"/>
                <w:szCs w:val="18"/>
              </w:rPr>
              <w:t>NTRD</w:t>
            </w:r>
          </w:p>
        </w:tc>
        <w:tc>
          <w:tcPr>
            <w:tcW w:w="2268" w:type="dxa"/>
            <w:noWrap/>
            <w:hideMark/>
          </w:tcPr>
          <w:p w14:paraId="42E8D087" w14:textId="77777777" w:rsidR="00932195" w:rsidRPr="00EA5ACB" w:rsidRDefault="00932195"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78</w:t>
            </w:r>
          </w:p>
        </w:tc>
      </w:tr>
      <w:tr w:rsidR="00932195" w:rsidRPr="00923467" w14:paraId="48C9D2FC" w14:textId="77777777" w:rsidTr="00EA5ACB">
        <w:trPr>
          <w:trHeight w:val="34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B3E0FFC" w14:textId="464147AB" w:rsidR="00932195" w:rsidRPr="00EA5ACB" w:rsidRDefault="00753E01" w:rsidP="00923467">
            <w:pPr>
              <w:rPr>
                <w:b w:val="0"/>
                <w:bCs w:val="0"/>
                <w:sz w:val="18"/>
                <w:szCs w:val="18"/>
              </w:rPr>
            </w:pPr>
            <w:r w:rsidRPr="00EA5ACB">
              <w:rPr>
                <w:b w:val="0"/>
                <w:bCs w:val="0"/>
                <w:sz w:val="18"/>
                <w:szCs w:val="18"/>
              </w:rPr>
              <w:t>F &amp; B</w:t>
            </w:r>
          </w:p>
        </w:tc>
        <w:tc>
          <w:tcPr>
            <w:tcW w:w="2268" w:type="dxa"/>
            <w:noWrap/>
            <w:hideMark/>
          </w:tcPr>
          <w:p w14:paraId="16F825AB" w14:textId="77777777" w:rsidR="00932195" w:rsidRPr="00EA5ACB" w:rsidRDefault="00932195"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13</w:t>
            </w:r>
          </w:p>
        </w:tc>
      </w:tr>
      <w:tr w:rsidR="00932195" w:rsidRPr="00923467" w14:paraId="130CC186" w14:textId="77777777" w:rsidTr="00EA5A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1AFDA6D" w14:textId="0D96EF0A" w:rsidR="00932195" w:rsidRPr="00EA5ACB" w:rsidRDefault="00753E01" w:rsidP="00923467">
            <w:pPr>
              <w:rPr>
                <w:b w:val="0"/>
                <w:bCs w:val="0"/>
                <w:sz w:val="18"/>
                <w:szCs w:val="18"/>
              </w:rPr>
            </w:pPr>
            <w:r w:rsidRPr="00EA5ACB">
              <w:rPr>
                <w:b w:val="0"/>
                <w:bCs w:val="0"/>
                <w:sz w:val="18"/>
                <w:szCs w:val="18"/>
              </w:rPr>
              <w:t>MRP</w:t>
            </w:r>
          </w:p>
        </w:tc>
        <w:tc>
          <w:tcPr>
            <w:tcW w:w="2268" w:type="dxa"/>
            <w:noWrap/>
            <w:hideMark/>
          </w:tcPr>
          <w:p w14:paraId="525B4902" w14:textId="77777777" w:rsidR="00932195" w:rsidRPr="00EA5ACB" w:rsidRDefault="00932195"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52</w:t>
            </w:r>
          </w:p>
        </w:tc>
      </w:tr>
      <w:tr w:rsidR="00932195" w:rsidRPr="00923467" w14:paraId="54C1A55A" w14:textId="77777777" w:rsidTr="00EA5ACB">
        <w:trPr>
          <w:trHeight w:val="34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B68FC75" w14:textId="725CFBFE" w:rsidR="00932195" w:rsidRPr="00EA5ACB" w:rsidRDefault="00753E01" w:rsidP="00923467">
            <w:pPr>
              <w:rPr>
                <w:b w:val="0"/>
                <w:bCs w:val="0"/>
                <w:sz w:val="18"/>
                <w:szCs w:val="18"/>
              </w:rPr>
            </w:pPr>
            <w:r w:rsidRPr="00EA5ACB">
              <w:rPr>
                <w:b w:val="0"/>
                <w:bCs w:val="0"/>
                <w:sz w:val="18"/>
                <w:szCs w:val="18"/>
              </w:rPr>
              <w:t>ICT</w:t>
            </w:r>
          </w:p>
        </w:tc>
        <w:tc>
          <w:tcPr>
            <w:tcW w:w="2268" w:type="dxa"/>
            <w:noWrap/>
            <w:hideMark/>
          </w:tcPr>
          <w:p w14:paraId="35A9F8FC" w14:textId="77777777" w:rsidR="00932195" w:rsidRPr="00EA5ACB" w:rsidRDefault="00932195"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32</w:t>
            </w:r>
          </w:p>
        </w:tc>
      </w:tr>
      <w:tr w:rsidR="00932195" w:rsidRPr="00923467" w14:paraId="36791325" w14:textId="77777777" w:rsidTr="00EA5A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3F14451" w14:textId="743C234D" w:rsidR="00932195" w:rsidRPr="00EA5ACB" w:rsidRDefault="00753E01" w:rsidP="00923467">
            <w:pPr>
              <w:rPr>
                <w:b w:val="0"/>
                <w:bCs w:val="0"/>
                <w:sz w:val="18"/>
                <w:szCs w:val="18"/>
              </w:rPr>
            </w:pPr>
            <w:r w:rsidRPr="00EA5ACB">
              <w:rPr>
                <w:b w:val="0"/>
                <w:bCs w:val="0"/>
                <w:sz w:val="18"/>
                <w:szCs w:val="18"/>
              </w:rPr>
              <w:t>ICA</w:t>
            </w:r>
          </w:p>
        </w:tc>
        <w:tc>
          <w:tcPr>
            <w:tcW w:w="2268" w:type="dxa"/>
            <w:noWrap/>
            <w:hideMark/>
          </w:tcPr>
          <w:p w14:paraId="79D68A00" w14:textId="77777777" w:rsidR="00932195" w:rsidRPr="00EA5ACB" w:rsidRDefault="00932195"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11</w:t>
            </w:r>
          </w:p>
        </w:tc>
      </w:tr>
      <w:tr w:rsidR="00932195" w:rsidRPr="00923467" w14:paraId="6FC161A3" w14:textId="77777777" w:rsidTr="00EA5ACB">
        <w:trPr>
          <w:trHeight w:val="34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DE030B5" w14:textId="7651B44A" w:rsidR="00932195" w:rsidRPr="00EA5ACB" w:rsidRDefault="00753E01" w:rsidP="00923467">
            <w:pPr>
              <w:rPr>
                <w:b w:val="0"/>
                <w:bCs w:val="0"/>
                <w:sz w:val="18"/>
                <w:szCs w:val="18"/>
              </w:rPr>
            </w:pPr>
            <w:r w:rsidRPr="00EA5ACB">
              <w:rPr>
                <w:b w:val="0"/>
                <w:bCs w:val="0"/>
                <w:sz w:val="18"/>
                <w:szCs w:val="18"/>
              </w:rPr>
              <w:t>L&amp;Cs</w:t>
            </w:r>
          </w:p>
        </w:tc>
        <w:tc>
          <w:tcPr>
            <w:tcW w:w="2268" w:type="dxa"/>
            <w:noWrap/>
            <w:hideMark/>
          </w:tcPr>
          <w:p w14:paraId="7CB9676B" w14:textId="77777777" w:rsidR="00932195" w:rsidRPr="00EA5ACB" w:rsidRDefault="00932195"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1</w:t>
            </w:r>
          </w:p>
        </w:tc>
      </w:tr>
      <w:tr w:rsidR="00932195" w:rsidRPr="00923467" w14:paraId="7A408FD9" w14:textId="77777777" w:rsidTr="00EA5A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8CBAE76" w14:textId="0653DA10" w:rsidR="00932195" w:rsidRPr="00EA5ACB" w:rsidRDefault="00753E01" w:rsidP="00923467">
            <w:pPr>
              <w:rPr>
                <w:b w:val="0"/>
                <w:bCs w:val="0"/>
                <w:sz w:val="18"/>
                <w:szCs w:val="18"/>
              </w:rPr>
            </w:pPr>
            <w:r w:rsidRPr="00EA5ACB">
              <w:rPr>
                <w:b w:val="0"/>
                <w:bCs w:val="0"/>
                <w:sz w:val="18"/>
                <w:szCs w:val="18"/>
              </w:rPr>
              <w:t>Modernization</w:t>
            </w:r>
          </w:p>
        </w:tc>
        <w:tc>
          <w:tcPr>
            <w:tcW w:w="2268" w:type="dxa"/>
            <w:noWrap/>
            <w:hideMark/>
          </w:tcPr>
          <w:p w14:paraId="68F0D5A2" w14:textId="77777777" w:rsidR="00932195" w:rsidRPr="00EA5ACB" w:rsidRDefault="00932195"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16</w:t>
            </w:r>
          </w:p>
        </w:tc>
      </w:tr>
      <w:tr w:rsidR="00932195" w:rsidRPr="00923467" w14:paraId="3EFF2240" w14:textId="77777777" w:rsidTr="00EA5ACB">
        <w:trPr>
          <w:trHeight w:val="34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9DB7C88" w14:textId="42232DB2" w:rsidR="00932195" w:rsidRPr="00EA5ACB" w:rsidRDefault="00753E01" w:rsidP="00923467">
            <w:pPr>
              <w:rPr>
                <w:b w:val="0"/>
                <w:bCs w:val="0"/>
                <w:sz w:val="18"/>
                <w:szCs w:val="18"/>
              </w:rPr>
            </w:pPr>
            <w:r w:rsidRPr="00EA5ACB">
              <w:rPr>
                <w:b w:val="0"/>
                <w:bCs w:val="0"/>
                <w:sz w:val="18"/>
                <w:szCs w:val="18"/>
              </w:rPr>
              <w:t>DTD</w:t>
            </w:r>
          </w:p>
        </w:tc>
        <w:tc>
          <w:tcPr>
            <w:tcW w:w="2268" w:type="dxa"/>
            <w:noWrap/>
            <w:hideMark/>
          </w:tcPr>
          <w:p w14:paraId="14453B42" w14:textId="77777777" w:rsidR="00932195" w:rsidRPr="00EA5ACB" w:rsidRDefault="00932195"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143</w:t>
            </w:r>
          </w:p>
        </w:tc>
      </w:tr>
      <w:tr w:rsidR="00932195" w:rsidRPr="00923467" w14:paraId="57673717" w14:textId="77777777" w:rsidTr="00EA5A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CD1D1D5" w14:textId="5A9CCEB8" w:rsidR="00932195" w:rsidRPr="00EA5ACB" w:rsidRDefault="00753E01" w:rsidP="00923467">
            <w:pPr>
              <w:rPr>
                <w:b w:val="0"/>
                <w:bCs w:val="0"/>
                <w:sz w:val="18"/>
                <w:szCs w:val="18"/>
              </w:rPr>
            </w:pPr>
            <w:r w:rsidRPr="00EA5ACB">
              <w:rPr>
                <w:b w:val="0"/>
                <w:bCs w:val="0"/>
                <w:sz w:val="18"/>
                <w:szCs w:val="18"/>
              </w:rPr>
              <w:t>IAU</w:t>
            </w:r>
          </w:p>
        </w:tc>
        <w:tc>
          <w:tcPr>
            <w:tcW w:w="2268" w:type="dxa"/>
            <w:noWrap/>
            <w:hideMark/>
          </w:tcPr>
          <w:p w14:paraId="786BB763" w14:textId="77777777" w:rsidR="00932195" w:rsidRPr="00EA5ACB" w:rsidRDefault="00932195"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3</w:t>
            </w:r>
          </w:p>
        </w:tc>
      </w:tr>
      <w:tr w:rsidR="00932195" w:rsidRPr="00923467" w14:paraId="1F95CCC5" w14:textId="77777777" w:rsidTr="00EA5ACB">
        <w:trPr>
          <w:trHeight w:val="34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DB95D60" w14:textId="15CDF834" w:rsidR="00932195" w:rsidRPr="00EA5ACB" w:rsidRDefault="00753E01" w:rsidP="00923467">
            <w:pPr>
              <w:rPr>
                <w:sz w:val="18"/>
                <w:szCs w:val="18"/>
              </w:rPr>
            </w:pPr>
            <w:r w:rsidRPr="00EA5ACB">
              <w:rPr>
                <w:sz w:val="18"/>
                <w:szCs w:val="18"/>
              </w:rPr>
              <w:t>Total</w:t>
            </w:r>
          </w:p>
        </w:tc>
        <w:tc>
          <w:tcPr>
            <w:tcW w:w="2268" w:type="dxa"/>
            <w:noWrap/>
            <w:hideMark/>
          </w:tcPr>
          <w:p w14:paraId="3B3FF48E" w14:textId="77777777" w:rsidR="00932195" w:rsidRPr="00542064" w:rsidRDefault="00932195"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542064">
              <w:rPr>
                <w:b/>
                <w:bCs/>
                <w:sz w:val="18"/>
                <w:szCs w:val="18"/>
              </w:rPr>
              <w:t>549</w:t>
            </w:r>
          </w:p>
        </w:tc>
      </w:tr>
    </w:tbl>
    <w:p w14:paraId="452D4C9D" w14:textId="2CAE9651" w:rsidR="00753E01" w:rsidRPr="00923467" w:rsidRDefault="00753E01" w:rsidP="00923467">
      <w:pPr>
        <w:pStyle w:val="Caption"/>
      </w:pPr>
      <w:bookmarkStart w:id="48" w:name="_Toc137831141"/>
      <w:r w:rsidRPr="00923467">
        <w:t xml:space="preserve">Table </w:t>
      </w:r>
      <w:r w:rsidRPr="00923467">
        <w:fldChar w:fldCharType="begin"/>
      </w:r>
      <w:r w:rsidRPr="00923467">
        <w:instrText xml:space="preserve"> SEQ Table \* ARABIC </w:instrText>
      </w:r>
      <w:r w:rsidRPr="00923467">
        <w:fldChar w:fldCharType="separate"/>
      </w:r>
      <w:r w:rsidR="00E12E6B">
        <w:rPr>
          <w:noProof/>
        </w:rPr>
        <w:t>12</w:t>
      </w:r>
      <w:r w:rsidRPr="00923467">
        <w:fldChar w:fldCharType="end"/>
      </w:r>
      <w:r w:rsidRPr="00923467">
        <w:t>: Number of Training Beneficiaries by Department</w:t>
      </w:r>
      <w:bookmarkEnd w:id="48"/>
    </w:p>
    <w:p w14:paraId="21FC3180" w14:textId="61AD3BFA" w:rsidR="00EA5ACB" w:rsidRPr="00EA5ACB" w:rsidRDefault="00EA5ACB" w:rsidP="00923467">
      <w:pPr>
        <w:rPr>
          <w:sz w:val="16"/>
          <w:szCs w:val="16"/>
        </w:rPr>
      </w:pPr>
      <w:r>
        <w:rPr>
          <w:sz w:val="16"/>
          <w:szCs w:val="16"/>
        </w:rPr>
        <w:t>*</w:t>
      </w:r>
      <w:r w:rsidRPr="00EA5ACB">
        <w:rPr>
          <w:sz w:val="16"/>
          <w:szCs w:val="16"/>
        </w:rPr>
        <w:t>Includes staff that benefited from more than one training</w:t>
      </w:r>
    </w:p>
    <w:p w14:paraId="6F613E6D" w14:textId="77777777" w:rsidR="00EA5ACB" w:rsidRDefault="00EA5ACB" w:rsidP="00EA5ACB">
      <w:pPr>
        <w:rPr>
          <w:sz w:val="16"/>
          <w:szCs w:val="16"/>
        </w:rPr>
      </w:pPr>
      <w:r w:rsidRPr="00EA5ACB">
        <w:rPr>
          <w:sz w:val="16"/>
          <w:szCs w:val="16"/>
        </w:rPr>
        <w:t>Source: HRD</w:t>
      </w:r>
    </w:p>
    <w:p w14:paraId="0BD770EE" w14:textId="77777777" w:rsidR="008104DC" w:rsidRPr="00923467" w:rsidRDefault="008104DC" w:rsidP="00923467"/>
    <w:p w14:paraId="26812838" w14:textId="77777777" w:rsidR="008104DC" w:rsidRPr="00923467" w:rsidRDefault="008104DC" w:rsidP="00923467"/>
    <w:p w14:paraId="78634AEB" w14:textId="5A80232F" w:rsidR="00E92293" w:rsidRPr="00923467" w:rsidRDefault="00E92293" w:rsidP="00923467">
      <w:pPr>
        <w:pStyle w:val="Heading2"/>
      </w:pPr>
      <w:bookmarkStart w:id="49" w:name="_Toc137831083"/>
      <w:r w:rsidRPr="00923467">
        <w:t>REVENUE INTELLIGENCE AND INVESTIGATIONS</w:t>
      </w:r>
      <w:bookmarkEnd w:id="49"/>
    </w:p>
    <w:p w14:paraId="3DEF63A9" w14:textId="77777777" w:rsidR="00EA5ACB" w:rsidRDefault="00AD490D" w:rsidP="00923467">
      <w:r w:rsidRPr="00923467">
        <w:t>T</w:t>
      </w:r>
      <w:r w:rsidR="00E92293" w:rsidRPr="00923467">
        <w:t>he Revenue Intelligence and Investigation Department (RIID) started as a unit under the Commissioner</w:t>
      </w:r>
      <w:r w:rsidR="000652CE" w:rsidRPr="00923467">
        <w:t>-</w:t>
      </w:r>
      <w:r w:rsidR="00E92293" w:rsidRPr="00923467">
        <w:t xml:space="preserve">General’s Office </w:t>
      </w:r>
      <w:r w:rsidRPr="00923467">
        <w:t xml:space="preserve">in 2012 and was referred to as the Revenue Intelligence and Investigation Unit (RIIU). The RIIU </w:t>
      </w:r>
      <w:r w:rsidR="00E92293" w:rsidRPr="00923467">
        <w:t>became a fully</w:t>
      </w:r>
      <w:r w:rsidR="0059271D" w:rsidRPr="00923467">
        <w:t xml:space="preserve"> </w:t>
      </w:r>
      <w:r w:rsidR="00E92293" w:rsidRPr="00923467">
        <w:t xml:space="preserve">independent department named </w:t>
      </w:r>
      <w:r w:rsidRPr="00923467">
        <w:t xml:space="preserve">the </w:t>
      </w:r>
      <w:r w:rsidR="00E92293" w:rsidRPr="00923467">
        <w:t>RIID in March 2021</w:t>
      </w:r>
      <w:r w:rsidR="004E44AA" w:rsidRPr="00923467">
        <w:t>.</w:t>
      </w:r>
      <w:r w:rsidR="00E92293" w:rsidRPr="00923467">
        <w:t xml:space="preserve"> </w:t>
      </w:r>
      <w:r w:rsidR="00F573B1" w:rsidRPr="00923467">
        <w:t>The prim</w:t>
      </w:r>
      <w:r w:rsidR="000652CE" w:rsidRPr="00923467">
        <w:t>ary</w:t>
      </w:r>
      <w:r w:rsidR="00F573B1" w:rsidRPr="00923467">
        <w:t xml:space="preserve"> responsibilities of the </w:t>
      </w:r>
      <w:r w:rsidR="003B36F1" w:rsidRPr="00923467">
        <w:t>D</w:t>
      </w:r>
      <w:r w:rsidR="00F573B1" w:rsidRPr="00923467">
        <w:t>epartment include gathering and processing intelligence on delinquent taxpayers, conduct</w:t>
      </w:r>
      <w:r w:rsidR="00E01D92" w:rsidRPr="00923467">
        <w:t>ing</w:t>
      </w:r>
      <w:r w:rsidR="00F573B1" w:rsidRPr="00923467">
        <w:t xml:space="preserve"> revenue investigations on such taxpayers</w:t>
      </w:r>
      <w:r w:rsidR="008A32A0" w:rsidRPr="00923467">
        <w:t>,</w:t>
      </w:r>
      <w:r w:rsidR="00F573B1" w:rsidRPr="00923467">
        <w:t xml:space="preserve"> and produc</w:t>
      </w:r>
      <w:r w:rsidR="00E01D92" w:rsidRPr="00923467">
        <w:t>ing</w:t>
      </w:r>
      <w:r w:rsidR="00F573B1" w:rsidRPr="00923467">
        <w:t xml:space="preserve"> and </w:t>
      </w:r>
      <w:r w:rsidR="00695A06" w:rsidRPr="00923467">
        <w:t>submitting</w:t>
      </w:r>
      <w:r w:rsidR="00F573B1" w:rsidRPr="00923467">
        <w:t xml:space="preserve"> reports to the </w:t>
      </w:r>
      <w:r w:rsidR="007B38D5" w:rsidRPr="00923467">
        <w:t>Commissioner-General</w:t>
      </w:r>
      <w:r w:rsidR="00F573B1" w:rsidRPr="00923467">
        <w:t>.</w:t>
      </w:r>
      <w:r w:rsidR="00174205" w:rsidRPr="00923467">
        <w:t xml:space="preserve"> The intelligence reports and</w:t>
      </w:r>
      <w:r w:rsidR="0059271D" w:rsidRPr="00923467">
        <w:t xml:space="preserve"> </w:t>
      </w:r>
      <w:r w:rsidR="00174205" w:rsidRPr="00923467">
        <w:t>results of investigations are often used as bases for revenue recovery, discovery, disciplinary actions and possibly, prosecution.</w:t>
      </w:r>
    </w:p>
    <w:p w14:paraId="7A53B88F" w14:textId="52DB30E3" w:rsidR="00DA3D41" w:rsidRPr="00923467" w:rsidRDefault="00CA6D92" w:rsidP="00923467">
      <w:r w:rsidRPr="00923467">
        <w:t xml:space="preserve"> </w:t>
      </w:r>
    </w:p>
    <w:p w14:paraId="658D60FC" w14:textId="4AB75116" w:rsidR="00AD490D" w:rsidRPr="00923467" w:rsidRDefault="00CA6D92" w:rsidP="00923467">
      <w:r w:rsidRPr="00923467">
        <w:t xml:space="preserve">The RIID also has the role </w:t>
      </w:r>
      <w:r w:rsidR="0059271D" w:rsidRPr="00923467">
        <w:t xml:space="preserve">in </w:t>
      </w:r>
      <w:r w:rsidRPr="00923467">
        <w:t>integrity management and general tax fraud detection both within and outside the NRA.</w:t>
      </w:r>
      <w:r w:rsidR="00C9223C" w:rsidRPr="00923467">
        <w:t xml:space="preserve"> The Department further undertakes legislative functions relating to licensing of Customs Clearing and Forwarding Agencies (C&amp;FAs</w:t>
      </w:r>
      <w:proofErr w:type="gramStart"/>
      <w:r w:rsidR="00C9223C" w:rsidRPr="00923467">
        <w:t>),</w:t>
      </w:r>
      <w:r w:rsidR="00E01D92" w:rsidRPr="00923467">
        <w:t xml:space="preserve"> and</w:t>
      </w:r>
      <w:proofErr w:type="gramEnd"/>
      <w:r w:rsidR="00C9223C" w:rsidRPr="00923467">
        <w:t xml:space="preserve"> compl</w:t>
      </w:r>
      <w:r w:rsidR="00E01D92" w:rsidRPr="00923467">
        <w:t>e</w:t>
      </w:r>
      <w:r w:rsidR="00C9223C" w:rsidRPr="00923467">
        <w:t>ment</w:t>
      </w:r>
      <w:r w:rsidR="00E01D92" w:rsidRPr="00923467">
        <w:t>s</w:t>
      </w:r>
      <w:r w:rsidR="00C9223C" w:rsidRPr="00923467">
        <w:t xml:space="preserve"> operation departments in undertaking tax enforcement activities.</w:t>
      </w:r>
      <w:r w:rsidR="000255E7" w:rsidRPr="00923467">
        <w:t xml:space="preserve"> Th</w:t>
      </w:r>
      <w:r w:rsidR="00456E9D" w:rsidRPr="00923467">
        <w:t>is</w:t>
      </w:r>
      <w:r w:rsidR="00A938A7" w:rsidRPr="00923467">
        <w:t xml:space="preserve"> </w:t>
      </w:r>
      <w:r w:rsidR="000255E7" w:rsidRPr="00923467">
        <w:t>section provide</w:t>
      </w:r>
      <w:r w:rsidR="00456E9D" w:rsidRPr="00923467">
        <w:t>s</w:t>
      </w:r>
      <w:r w:rsidR="000255E7" w:rsidRPr="00923467">
        <w:t xml:space="preserve"> update on the activities undertaken by the Department</w:t>
      </w:r>
      <w:r w:rsidR="00456E9D" w:rsidRPr="00923467">
        <w:t xml:space="preserve"> as follows:</w:t>
      </w:r>
    </w:p>
    <w:p w14:paraId="4ECC7C85" w14:textId="4168F548" w:rsidR="006C78AA" w:rsidRPr="00EA5ACB" w:rsidRDefault="000255E7" w:rsidP="00EA5ACB">
      <w:pPr>
        <w:pStyle w:val="Heading3"/>
      </w:pPr>
      <w:bookmarkStart w:id="50" w:name="_Toc137831084"/>
      <w:r w:rsidRPr="00EA5ACB">
        <w:t>Foreign Currency Declarations for Tax Revenue</w:t>
      </w:r>
      <w:bookmarkEnd w:id="50"/>
    </w:p>
    <w:p w14:paraId="43884DAF" w14:textId="01DE03BB" w:rsidR="00657D70" w:rsidRDefault="00477895" w:rsidP="00923467">
      <w:r w:rsidRPr="00923467">
        <w:t>T</w:t>
      </w:r>
      <w:r w:rsidR="00FB0C75" w:rsidRPr="00923467">
        <w:t>he RIID</w:t>
      </w:r>
      <w:r w:rsidR="00F05201" w:rsidRPr="00923467">
        <w:t xml:space="preserve"> </w:t>
      </w:r>
      <w:r w:rsidR="00FB0C75" w:rsidRPr="00923467">
        <w:t>collaborate</w:t>
      </w:r>
      <w:r w:rsidR="004E3C9D" w:rsidRPr="00923467">
        <w:t>d</w:t>
      </w:r>
      <w:r w:rsidR="00FB0C75" w:rsidRPr="00923467">
        <w:t xml:space="preserve"> with CSD staff from the Freetown International Airport in Lungi for data relating to </w:t>
      </w:r>
      <w:r w:rsidR="00F931E9" w:rsidRPr="00923467">
        <w:t>foreign currency declarations</w:t>
      </w:r>
      <w:r w:rsidR="00FB0C75" w:rsidRPr="00923467">
        <w:t xml:space="preserve"> and </w:t>
      </w:r>
      <w:r w:rsidR="00F931E9" w:rsidRPr="00923467">
        <w:t xml:space="preserve">for </w:t>
      </w:r>
      <w:r w:rsidR="00FB0C75" w:rsidRPr="00923467">
        <w:t xml:space="preserve">onward submission to the </w:t>
      </w:r>
      <w:r w:rsidR="00F931E9" w:rsidRPr="00923467">
        <w:t>Financial Intelligence Unit (</w:t>
      </w:r>
      <w:r w:rsidR="00FB0C75" w:rsidRPr="00923467">
        <w:t>FIU</w:t>
      </w:r>
      <w:r w:rsidR="00F931E9" w:rsidRPr="00923467">
        <w:t>)</w:t>
      </w:r>
      <w:r w:rsidR="00FB0C75" w:rsidRPr="00923467">
        <w:t xml:space="preserve"> </w:t>
      </w:r>
      <w:proofErr w:type="gramStart"/>
      <w:r w:rsidR="00FB0C75" w:rsidRPr="00923467">
        <w:t>on</w:t>
      </w:r>
      <w:r w:rsidR="00E01D92" w:rsidRPr="00923467">
        <w:t xml:space="preserve"> a</w:t>
      </w:r>
      <w:r w:rsidR="00FB0C75" w:rsidRPr="00923467">
        <w:t xml:space="preserve"> monthly basis</w:t>
      </w:r>
      <w:proofErr w:type="gramEnd"/>
      <w:r w:rsidR="00FB0C75" w:rsidRPr="00923467">
        <w:t>.</w:t>
      </w:r>
    </w:p>
    <w:p w14:paraId="1B04628B" w14:textId="77777777" w:rsidR="00EA5ACB" w:rsidRPr="00923467" w:rsidRDefault="00EA5ACB" w:rsidP="00923467"/>
    <w:p w14:paraId="09C4139D" w14:textId="416B4BC2" w:rsidR="009F0050" w:rsidRPr="00EA5ACB" w:rsidRDefault="000255E7" w:rsidP="00EA5ACB">
      <w:pPr>
        <w:pStyle w:val="Heading3"/>
      </w:pPr>
      <w:bookmarkStart w:id="51" w:name="_Toc137831085"/>
      <w:r w:rsidRPr="00EA5ACB">
        <w:t xml:space="preserve">Implementation </w:t>
      </w:r>
      <w:r w:rsidR="003543D0" w:rsidRPr="00EA5ACB">
        <w:t>of</w:t>
      </w:r>
      <w:r w:rsidRPr="00EA5ACB">
        <w:t xml:space="preserve"> The Whistle</w:t>
      </w:r>
      <w:r w:rsidR="00CD1672" w:rsidRPr="00EA5ACB">
        <w:t>-</w:t>
      </w:r>
      <w:r w:rsidRPr="00EA5ACB">
        <w:t>Blowers Policy</w:t>
      </w:r>
      <w:bookmarkEnd w:id="51"/>
    </w:p>
    <w:p w14:paraId="53E35D5B" w14:textId="557DBD90" w:rsidR="009F0050" w:rsidRDefault="009F0050" w:rsidP="00923467">
      <w:r w:rsidRPr="00923467">
        <w:t xml:space="preserve">Twenty-Six (26) </w:t>
      </w:r>
      <w:r w:rsidR="00CD1672" w:rsidRPr="00923467">
        <w:t>whistle-blowers</w:t>
      </w:r>
      <w:r w:rsidRPr="00923467">
        <w:t xml:space="preserve"> were recruited in </w:t>
      </w:r>
      <w:r w:rsidR="00C5642E" w:rsidRPr="00923467">
        <w:t>quarter four</w:t>
      </w:r>
      <w:r w:rsidRPr="00923467">
        <w:t xml:space="preserve"> of 2021 and this number was maintained up to March 2022</w:t>
      </w:r>
      <w:r w:rsidR="002B19BB" w:rsidRPr="00923467">
        <w:t xml:space="preserve">. Of </w:t>
      </w:r>
      <w:r w:rsidR="00D73FDB" w:rsidRPr="00923467">
        <w:t xml:space="preserve">these 26 </w:t>
      </w:r>
      <w:r w:rsidR="00CD1672" w:rsidRPr="00923467">
        <w:t>whistle-blowers</w:t>
      </w:r>
      <w:r w:rsidR="002B19BB" w:rsidRPr="00923467">
        <w:t xml:space="preserve">, the </w:t>
      </w:r>
      <w:r w:rsidRPr="00923467">
        <w:t xml:space="preserve">contracts of </w:t>
      </w:r>
      <w:r w:rsidR="00BD7E3E" w:rsidRPr="00923467">
        <w:t>16</w:t>
      </w:r>
      <w:r w:rsidRPr="00923467">
        <w:t xml:space="preserve"> were terminated at </w:t>
      </w:r>
      <w:r w:rsidR="0059271D" w:rsidRPr="00923467">
        <w:t xml:space="preserve">the </w:t>
      </w:r>
      <w:r w:rsidRPr="00923467">
        <w:t xml:space="preserve">end </w:t>
      </w:r>
      <w:r w:rsidR="0059271D" w:rsidRPr="00923467">
        <w:t xml:space="preserve">of </w:t>
      </w:r>
      <w:r w:rsidRPr="00923467">
        <w:t>March 2022</w:t>
      </w:r>
      <w:r w:rsidR="00235FF0" w:rsidRPr="00923467">
        <w:t xml:space="preserve">. The remaining 10 </w:t>
      </w:r>
      <w:r w:rsidR="00CD1672" w:rsidRPr="00923467">
        <w:t>whistle-blowers</w:t>
      </w:r>
      <w:r w:rsidR="00235FF0" w:rsidRPr="00923467">
        <w:t xml:space="preserve"> were deployed along the borders to assist in border management activities. However, </w:t>
      </w:r>
      <w:r w:rsidR="00BD7E3E" w:rsidRPr="00923467">
        <w:t>t</w:t>
      </w:r>
      <w:r w:rsidRPr="00923467">
        <w:t>he contract</w:t>
      </w:r>
      <w:r w:rsidR="009E46FA" w:rsidRPr="00923467">
        <w:t>s</w:t>
      </w:r>
      <w:r w:rsidRPr="00923467">
        <w:t xml:space="preserve"> of the</w:t>
      </w:r>
      <w:r w:rsidR="00235FF0" w:rsidRPr="00923467">
        <w:t>se</w:t>
      </w:r>
      <w:r w:rsidRPr="00923467">
        <w:t xml:space="preserve"> 10 </w:t>
      </w:r>
      <w:r w:rsidR="00CD1672" w:rsidRPr="00923467">
        <w:t>whistle-blowers</w:t>
      </w:r>
      <w:r w:rsidR="00235FF0" w:rsidRPr="00923467">
        <w:t xml:space="preserve"> </w:t>
      </w:r>
      <w:r w:rsidRPr="00923467">
        <w:t>ended in October 2022 and ha</w:t>
      </w:r>
      <w:r w:rsidR="009E46FA" w:rsidRPr="00923467">
        <w:t>ve</w:t>
      </w:r>
      <w:r w:rsidRPr="00923467">
        <w:t xml:space="preserve"> </w:t>
      </w:r>
      <w:r w:rsidR="00235FF0" w:rsidRPr="00923467">
        <w:t>not been</w:t>
      </w:r>
      <w:r w:rsidRPr="00923467">
        <w:t xml:space="preserve"> </w:t>
      </w:r>
      <w:r w:rsidR="00235FF0" w:rsidRPr="00923467">
        <w:t>renewed</w:t>
      </w:r>
      <w:r w:rsidRPr="00923467">
        <w:t>.</w:t>
      </w:r>
      <w:r w:rsidR="00235FF0" w:rsidRPr="00923467">
        <w:t xml:space="preserve"> </w:t>
      </w:r>
    </w:p>
    <w:p w14:paraId="4BFB4C5B" w14:textId="77777777" w:rsidR="00EA5ACB" w:rsidRPr="00923467" w:rsidRDefault="00EA5ACB" w:rsidP="00923467"/>
    <w:p w14:paraId="1192BB2E" w14:textId="53DE17E6" w:rsidR="003543D0" w:rsidRPr="00EA5ACB" w:rsidRDefault="003543D0" w:rsidP="00EA5ACB">
      <w:pPr>
        <w:pStyle w:val="Heading3"/>
        <w:rPr>
          <w:highlight w:val="green"/>
        </w:rPr>
      </w:pPr>
      <w:bookmarkStart w:id="52" w:name="_Toc137831086"/>
      <w:r w:rsidRPr="00EA5ACB">
        <w:t>Intelligence and Revenue Investigations on Delinquent Taxpayers</w:t>
      </w:r>
      <w:bookmarkEnd w:id="52"/>
      <w:r w:rsidRPr="00EA5ACB">
        <w:t xml:space="preserve"> </w:t>
      </w:r>
    </w:p>
    <w:p w14:paraId="452395DF" w14:textId="77777777" w:rsidR="003543D0" w:rsidRPr="00923467" w:rsidRDefault="003543D0" w:rsidP="00923467">
      <w:r w:rsidRPr="00923467">
        <w:t>The following investigations were completed by the RIID in 2022:</w:t>
      </w:r>
    </w:p>
    <w:p w14:paraId="013974C4" w14:textId="77777777" w:rsidR="003543D0" w:rsidRPr="00923467" w:rsidRDefault="003543D0" w:rsidP="00EA5ACB">
      <w:pPr>
        <w:pStyle w:val="ListParagraph"/>
        <w:numPr>
          <w:ilvl w:val="0"/>
          <w:numId w:val="36"/>
        </w:numPr>
      </w:pPr>
      <w:r w:rsidRPr="00923467">
        <w:t>MR Distilleries (excise duty)</w:t>
      </w:r>
    </w:p>
    <w:p w14:paraId="14413422" w14:textId="77777777" w:rsidR="003543D0" w:rsidRPr="00923467" w:rsidRDefault="003543D0" w:rsidP="00EA5ACB">
      <w:pPr>
        <w:pStyle w:val="ListParagraph"/>
        <w:numPr>
          <w:ilvl w:val="0"/>
          <w:numId w:val="36"/>
        </w:numPr>
      </w:pPr>
      <w:r w:rsidRPr="00923467">
        <w:t>International Insurance Company</w:t>
      </w:r>
    </w:p>
    <w:p w14:paraId="2479C748" w14:textId="77777777" w:rsidR="003543D0" w:rsidRPr="00923467" w:rsidRDefault="003543D0" w:rsidP="00EA5ACB">
      <w:pPr>
        <w:pStyle w:val="ListParagraph"/>
        <w:numPr>
          <w:ilvl w:val="0"/>
          <w:numId w:val="36"/>
        </w:numPr>
      </w:pPr>
      <w:r w:rsidRPr="00923467">
        <w:t xml:space="preserve">Outstation Monitoring </w:t>
      </w:r>
    </w:p>
    <w:p w14:paraId="6EDEECB5" w14:textId="77777777" w:rsidR="003543D0" w:rsidRPr="00923467" w:rsidRDefault="003543D0" w:rsidP="00EA5ACB">
      <w:pPr>
        <w:pStyle w:val="ListParagraph"/>
        <w:numPr>
          <w:ilvl w:val="0"/>
          <w:numId w:val="36"/>
        </w:numPr>
      </w:pPr>
      <w:r w:rsidRPr="00923467">
        <w:t xml:space="preserve">Customs Site Examination Verification </w:t>
      </w:r>
    </w:p>
    <w:p w14:paraId="792BD240" w14:textId="77777777" w:rsidR="003543D0" w:rsidRPr="00923467" w:rsidRDefault="003543D0" w:rsidP="00EA5ACB">
      <w:pPr>
        <w:pStyle w:val="ListParagraph"/>
        <w:numPr>
          <w:ilvl w:val="0"/>
          <w:numId w:val="36"/>
        </w:numPr>
      </w:pPr>
      <w:r w:rsidRPr="00923467">
        <w:t>The Customs Credit Analysis</w:t>
      </w:r>
    </w:p>
    <w:p w14:paraId="212DD877" w14:textId="77777777" w:rsidR="003543D0" w:rsidRDefault="003543D0" w:rsidP="00EA5ACB">
      <w:pPr>
        <w:pStyle w:val="ListParagraph"/>
        <w:numPr>
          <w:ilvl w:val="0"/>
          <w:numId w:val="36"/>
        </w:numPr>
      </w:pPr>
      <w:r w:rsidRPr="00923467">
        <w:t>Customs Warehouse Analysis</w:t>
      </w:r>
    </w:p>
    <w:p w14:paraId="3BD41565" w14:textId="77777777" w:rsidR="00EA5ACB" w:rsidRPr="00923467" w:rsidRDefault="00EA5ACB" w:rsidP="00EA5ACB"/>
    <w:p w14:paraId="76D60067" w14:textId="0F581369" w:rsidR="003543D0" w:rsidRPr="00923467" w:rsidRDefault="003543D0" w:rsidP="00923467">
      <w:r w:rsidRPr="00923467">
        <w:t>The following cases were carried over to 2023 for investigations:</w:t>
      </w:r>
    </w:p>
    <w:p w14:paraId="0ADA71F2" w14:textId="77777777" w:rsidR="003543D0" w:rsidRPr="00923467" w:rsidRDefault="003543D0" w:rsidP="00EA5ACB">
      <w:pPr>
        <w:pStyle w:val="ListParagraph"/>
        <w:numPr>
          <w:ilvl w:val="0"/>
          <w:numId w:val="35"/>
        </w:numPr>
      </w:pPr>
      <w:r w:rsidRPr="00923467">
        <w:t>Maersk Line (Investigation of GST on Local Purchase)</w:t>
      </w:r>
    </w:p>
    <w:p w14:paraId="79521492" w14:textId="77777777" w:rsidR="003543D0" w:rsidRPr="00923467" w:rsidRDefault="003543D0" w:rsidP="00EA5ACB">
      <w:pPr>
        <w:pStyle w:val="ListParagraph"/>
        <w:numPr>
          <w:ilvl w:val="0"/>
          <w:numId w:val="35"/>
        </w:numPr>
      </w:pPr>
      <w:r w:rsidRPr="00923467">
        <w:t>Hong Peng</w:t>
      </w:r>
    </w:p>
    <w:p w14:paraId="5CEC2610" w14:textId="77777777" w:rsidR="003543D0" w:rsidRPr="00923467" w:rsidRDefault="003543D0" w:rsidP="00EA5ACB">
      <w:pPr>
        <w:pStyle w:val="ListParagraph"/>
        <w:numPr>
          <w:ilvl w:val="0"/>
          <w:numId w:val="35"/>
        </w:numPr>
      </w:pPr>
      <w:r w:rsidRPr="00923467">
        <w:t xml:space="preserve">BRAC </w:t>
      </w:r>
      <w:proofErr w:type="spellStart"/>
      <w:r w:rsidRPr="00923467">
        <w:t>Microfinace</w:t>
      </w:r>
      <w:proofErr w:type="spellEnd"/>
      <w:r w:rsidRPr="00923467">
        <w:t xml:space="preserve"> SL Ltd</w:t>
      </w:r>
    </w:p>
    <w:p w14:paraId="6A7D2BEC" w14:textId="77777777" w:rsidR="003543D0" w:rsidRDefault="003543D0" w:rsidP="00EA5ACB">
      <w:pPr>
        <w:pStyle w:val="ListParagraph"/>
        <w:numPr>
          <w:ilvl w:val="0"/>
          <w:numId w:val="35"/>
        </w:numPr>
      </w:pPr>
      <w:r w:rsidRPr="00923467">
        <w:t>Shalimar Trading SL Ltd</w:t>
      </w:r>
    </w:p>
    <w:p w14:paraId="20C44C54" w14:textId="77777777" w:rsidR="00EA5ACB" w:rsidRPr="00923467" w:rsidRDefault="00EA5ACB" w:rsidP="00EA5ACB"/>
    <w:p w14:paraId="390BD2D0" w14:textId="755C64F2" w:rsidR="003543D0" w:rsidRPr="00EA5ACB" w:rsidRDefault="003543D0" w:rsidP="00EA5ACB">
      <w:pPr>
        <w:pStyle w:val="Heading3"/>
      </w:pPr>
      <w:bookmarkStart w:id="53" w:name="_Toc137831087"/>
      <w:r w:rsidRPr="00EA5ACB">
        <w:t>Licencing of Clearing and Forwarding Agencies</w:t>
      </w:r>
      <w:bookmarkEnd w:id="53"/>
    </w:p>
    <w:p w14:paraId="302D4E26" w14:textId="77777777" w:rsidR="00EA5ACB" w:rsidRDefault="003543D0" w:rsidP="00923467">
      <w:r w:rsidRPr="00923467">
        <w:t xml:space="preserve">As shown in Table </w:t>
      </w:r>
      <w:r w:rsidR="0059271D" w:rsidRPr="00923467">
        <w:t>13</w:t>
      </w:r>
      <w:r w:rsidRPr="00923467">
        <w:t>, a total of 139 Clearing and Forwarding Agencies (C&amp;FAs) applied for license to operate in 2022</w:t>
      </w:r>
      <w:r w:rsidR="0059271D" w:rsidRPr="00923467">
        <w:t>,</w:t>
      </w:r>
      <w:r w:rsidRPr="00923467">
        <w:t xml:space="preserve"> of which 131 applications were processed and licensed grated to these agencies while the application </w:t>
      </w:r>
      <w:r w:rsidR="00C20379" w:rsidRPr="00923467">
        <w:t>for</w:t>
      </w:r>
      <w:r w:rsidRPr="00923467">
        <w:t xml:space="preserve"> 8 </w:t>
      </w:r>
      <w:r w:rsidR="00C20379" w:rsidRPr="00923467">
        <w:t xml:space="preserve">Agencies </w:t>
      </w:r>
      <w:r w:rsidRPr="00923467">
        <w:t>were not processed.</w:t>
      </w:r>
    </w:p>
    <w:p w14:paraId="34A5BA0A" w14:textId="5244B053" w:rsidR="003543D0" w:rsidRDefault="003543D0" w:rsidP="00923467">
      <w:r w:rsidRPr="00923467">
        <w:t xml:space="preserve">  </w:t>
      </w:r>
    </w:p>
    <w:p w14:paraId="4893CC5D" w14:textId="77777777" w:rsidR="00EA5ACB" w:rsidRPr="00923467" w:rsidRDefault="00EA5ACB" w:rsidP="00923467">
      <w:pPr>
        <w:rPr>
          <w:color w:val="002060"/>
        </w:rPr>
      </w:pPr>
    </w:p>
    <w:tbl>
      <w:tblPr>
        <w:tblStyle w:val="GridTable4-Accent5"/>
        <w:tblW w:w="5240" w:type="dxa"/>
        <w:tblLook w:val="04A0" w:firstRow="1" w:lastRow="0" w:firstColumn="1" w:lastColumn="0" w:noHBand="0" w:noVBand="1"/>
      </w:tblPr>
      <w:tblGrid>
        <w:gridCol w:w="3823"/>
        <w:gridCol w:w="1417"/>
      </w:tblGrid>
      <w:tr w:rsidR="003543D0" w:rsidRPr="00923467" w14:paraId="1713DFD1" w14:textId="77777777" w:rsidTr="00EA5ACB">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823" w:type="dxa"/>
          </w:tcPr>
          <w:p w14:paraId="54DEE8C6" w14:textId="77777777" w:rsidR="003543D0" w:rsidRPr="0005120F" w:rsidRDefault="003543D0" w:rsidP="00923467">
            <w:pPr>
              <w:rPr>
                <w:b w:val="0"/>
                <w:bCs w:val="0"/>
                <w:sz w:val="18"/>
                <w:szCs w:val="18"/>
              </w:rPr>
            </w:pPr>
            <w:r w:rsidRPr="0005120F">
              <w:rPr>
                <w:sz w:val="18"/>
                <w:szCs w:val="18"/>
              </w:rPr>
              <w:t>Detail</w:t>
            </w:r>
          </w:p>
        </w:tc>
        <w:tc>
          <w:tcPr>
            <w:tcW w:w="1417" w:type="dxa"/>
          </w:tcPr>
          <w:p w14:paraId="0694D74A" w14:textId="77777777" w:rsidR="003543D0" w:rsidRPr="0005120F" w:rsidRDefault="003543D0"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05120F">
              <w:rPr>
                <w:sz w:val="18"/>
                <w:szCs w:val="18"/>
              </w:rPr>
              <w:t>Amount</w:t>
            </w:r>
          </w:p>
        </w:tc>
      </w:tr>
      <w:tr w:rsidR="003543D0" w:rsidRPr="00923467" w14:paraId="3B856778" w14:textId="77777777" w:rsidTr="00EA5AC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23" w:type="dxa"/>
          </w:tcPr>
          <w:p w14:paraId="707E15A9" w14:textId="34384FED" w:rsidR="003543D0" w:rsidRPr="0005120F" w:rsidRDefault="003543D0" w:rsidP="00923467">
            <w:pPr>
              <w:rPr>
                <w:b w:val="0"/>
                <w:bCs w:val="0"/>
                <w:sz w:val="18"/>
                <w:szCs w:val="18"/>
              </w:rPr>
            </w:pPr>
            <w:r w:rsidRPr="0005120F">
              <w:rPr>
                <w:b w:val="0"/>
                <w:bCs w:val="0"/>
                <w:sz w:val="18"/>
                <w:szCs w:val="18"/>
              </w:rPr>
              <w:t xml:space="preserve">Total Number of Applications </w:t>
            </w:r>
            <w:r w:rsidR="0005120F">
              <w:rPr>
                <w:b w:val="0"/>
                <w:bCs w:val="0"/>
                <w:sz w:val="18"/>
                <w:szCs w:val="18"/>
              </w:rPr>
              <w:t>R</w:t>
            </w:r>
            <w:r w:rsidRPr="0005120F">
              <w:rPr>
                <w:b w:val="0"/>
                <w:bCs w:val="0"/>
                <w:sz w:val="18"/>
                <w:szCs w:val="18"/>
              </w:rPr>
              <w:t>eceived (A)</w:t>
            </w:r>
          </w:p>
        </w:tc>
        <w:tc>
          <w:tcPr>
            <w:tcW w:w="1417" w:type="dxa"/>
          </w:tcPr>
          <w:p w14:paraId="3011F233" w14:textId="77777777" w:rsidR="003543D0" w:rsidRPr="0005120F" w:rsidRDefault="003543D0" w:rsidP="00923467">
            <w:pPr>
              <w:cnfStyle w:val="000000100000" w:firstRow="0" w:lastRow="0" w:firstColumn="0" w:lastColumn="0" w:oddVBand="0" w:evenVBand="0" w:oddHBand="1" w:evenHBand="0" w:firstRowFirstColumn="0" w:firstRowLastColumn="0" w:lastRowFirstColumn="0" w:lastRowLastColumn="0"/>
              <w:rPr>
                <w:sz w:val="18"/>
                <w:szCs w:val="18"/>
              </w:rPr>
            </w:pPr>
            <w:r w:rsidRPr="0005120F">
              <w:rPr>
                <w:sz w:val="18"/>
                <w:szCs w:val="18"/>
              </w:rPr>
              <w:t>139</w:t>
            </w:r>
          </w:p>
        </w:tc>
      </w:tr>
      <w:tr w:rsidR="003543D0" w:rsidRPr="00923467" w14:paraId="7F37F300" w14:textId="77777777" w:rsidTr="00EA5ACB">
        <w:trPr>
          <w:trHeight w:val="260"/>
        </w:trPr>
        <w:tc>
          <w:tcPr>
            <w:cnfStyle w:val="001000000000" w:firstRow="0" w:lastRow="0" w:firstColumn="1" w:lastColumn="0" w:oddVBand="0" w:evenVBand="0" w:oddHBand="0" w:evenHBand="0" w:firstRowFirstColumn="0" w:firstRowLastColumn="0" w:lastRowFirstColumn="0" w:lastRowLastColumn="0"/>
            <w:tcW w:w="3823" w:type="dxa"/>
          </w:tcPr>
          <w:p w14:paraId="07DF3160" w14:textId="2BD1E79B" w:rsidR="003543D0" w:rsidRPr="0005120F" w:rsidRDefault="003543D0" w:rsidP="00923467">
            <w:pPr>
              <w:rPr>
                <w:b w:val="0"/>
                <w:bCs w:val="0"/>
                <w:sz w:val="18"/>
                <w:szCs w:val="18"/>
              </w:rPr>
            </w:pPr>
            <w:r w:rsidRPr="0005120F">
              <w:rPr>
                <w:b w:val="0"/>
                <w:bCs w:val="0"/>
                <w:sz w:val="18"/>
                <w:szCs w:val="18"/>
              </w:rPr>
              <w:t xml:space="preserve">Total C&amp;FA Licenses </w:t>
            </w:r>
            <w:r w:rsidR="0005120F">
              <w:rPr>
                <w:b w:val="0"/>
                <w:bCs w:val="0"/>
                <w:sz w:val="18"/>
                <w:szCs w:val="18"/>
              </w:rPr>
              <w:t>R</w:t>
            </w:r>
            <w:r w:rsidRPr="0005120F">
              <w:rPr>
                <w:b w:val="0"/>
                <w:bCs w:val="0"/>
                <w:sz w:val="18"/>
                <w:szCs w:val="18"/>
              </w:rPr>
              <w:t>enewed (B)</w:t>
            </w:r>
          </w:p>
        </w:tc>
        <w:tc>
          <w:tcPr>
            <w:tcW w:w="1417" w:type="dxa"/>
          </w:tcPr>
          <w:p w14:paraId="1875EDFE" w14:textId="77777777" w:rsidR="003543D0" w:rsidRPr="0005120F" w:rsidRDefault="003543D0" w:rsidP="00923467">
            <w:pPr>
              <w:cnfStyle w:val="000000000000" w:firstRow="0" w:lastRow="0" w:firstColumn="0" w:lastColumn="0" w:oddVBand="0" w:evenVBand="0" w:oddHBand="0" w:evenHBand="0" w:firstRowFirstColumn="0" w:firstRowLastColumn="0" w:lastRowFirstColumn="0" w:lastRowLastColumn="0"/>
              <w:rPr>
                <w:sz w:val="18"/>
                <w:szCs w:val="18"/>
              </w:rPr>
            </w:pPr>
            <w:r w:rsidRPr="0005120F">
              <w:rPr>
                <w:sz w:val="18"/>
                <w:szCs w:val="18"/>
              </w:rPr>
              <w:t>119</w:t>
            </w:r>
          </w:p>
        </w:tc>
      </w:tr>
      <w:tr w:rsidR="003543D0" w:rsidRPr="00923467" w14:paraId="3C867771" w14:textId="77777777" w:rsidTr="00EA5AC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823" w:type="dxa"/>
          </w:tcPr>
          <w:p w14:paraId="20723D04" w14:textId="77777777" w:rsidR="003543D0" w:rsidRPr="0005120F" w:rsidRDefault="003543D0" w:rsidP="00923467">
            <w:pPr>
              <w:rPr>
                <w:b w:val="0"/>
                <w:bCs w:val="0"/>
                <w:sz w:val="18"/>
                <w:szCs w:val="18"/>
              </w:rPr>
            </w:pPr>
            <w:r w:rsidRPr="0005120F">
              <w:rPr>
                <w:b w:val="0"/>
                <w:bCs w:val="0"/>
                <w:sz w:val="18"/>
                <w:szCs w:val="18"/>
              </w:rPr>
              <w:t>Total New C&amp;FAs Licensed (C)</w:t>
            </w:r>
          </w:p>
        </w:tc>
        <w:tc>
          <w:tcPr>
            <w:tcW w:w="1417" w:type="dxa"/>
          </w:tcPr>
          <w:p w14:paraId="599B7939" w14:textId="77777777" w:rsidR="003543D0" w:rsidRPr="0005120F" w:rsidRDefault="003543D0" w:rsidP="00923467">
            <w:pPr>
              <w:cnfStyle w:val="000000100000" w:firstRow="0" w:lastRow="0" w:firstColumn="0" w:lastColumn="0" w:oddVBand="0" w:evenVBand="0" w:oddHBand="1" w:evenHBand="0" w:firstRowFirstColumn="0" w:firstRowLastColumn="0" w:lastRowFirstColumn="0" w:lastRowLastColumn="0"/>
              <w:rPr>
                <w:sz w:val="18"/>
                <w:szCs w:val="18"/>
              </w:rPr>
            </w:pPr>
            <w:r w:rsidRPr="0005120F">
              <w:rPr>
                <w:sz w:val="18"/>
                <w:szCs w:val="18"/>
              </w:rPr>
              <w:t>12</w:t>
            </w:r>
          </w:p>
        </w:tc>
      </w:tr>
      <w:tr w:rsidR="003543D0" w:rsidRPr="00923467" w14:paraId="7D175C3C" w14:textId="77777777" w:rsidTr="00EA5ACB">
        <w:tc>
          <w:tcPr>
            <w:cnfStyle w:val="001000000000" w:firstRow="0" w:lastRow="0" w:firstColumn="1" w:lastColumn="0" w:oddVBand="0" w:evenVBand="0" w:oddHBand="0" w:evenHBand="0" w:firstRowFirstColumn="0" w:firstRowLastColumn="0" w:lastRowFirstColumn="0" w:lastRowLastColumn="0"/>
            <w:tcW w:w="3823" w:type="dxa"/>
          </w:tcPr>
          <w:p w14:paraId="0DA10DEF" w14:textId="77777777" w:rsidR="003543D0" w:rsidRPr="0005120F" w:rsidRDefault="003543D0" w:rsidP="00923467">
            <w:pPr>
              <w:rPr>
                <w:b w:val="0"/>
                <w:bCs w:val="0"/>
                <w:sz w:val="18"/>
                <w:szCs w:val="18"/>
              </w:rPr>
            </w:pPr>
            <w:r w:rsidRPr="0005120F">
              <w:rPr>
                <w:b w:val="0"/>
                <w:bCs w:val="0"/>
                <w:sz w:val="18"/>
                <w:szCs w:val="18"/>
              </w:rPr>
              <w:t>Total C&amp;FAs Licensed in 2022 (D = B + C)</w:t>
            </w:r>
          </w:p>
        </w:tc>
        <w:tc>
          <w:tcPr>
            <w:tcW w:w="1417" w:type="dxa"/>
          </w:tcPr>
          <w:p w14:paraId="76A0422B" w14:textId="77777777" w:rsidR="003543D0" w:rsidRPr="0005120F" w:rsidRDefault="003543D0" w:rsidP="00923467">
            <w:pPr>
              <w:cnfStyle w:val="000000000000" w:firstRow="0" w:lastRow="0" w:firstColumn="0" w:lastColumn="0" w:oddVBand="0" w:evenVBand="0" w:oddHBand="0" w:evenHBand="0" w:firstRowFirstColumn="0" w:firstRowLastColumn="0" w:lastRowFirstColumn="0" w:lastRowLastColumn="0"/>
              <w:rPr>
                <w:sz w:val="18"/>
                <w:szCs w:val="18"/>
              </w:rPr>
            </w:pPr>
            <w:r w:rsidRPr="0005120F">
              <w:rPr>
                <w:sz w:val="18"/>
                <w:szCs w:val="18"/>
              </w:rPr>
              <w:t>131</w:t>
            </w:r>
          </w:p>
        </w:tc>
      </w:tr>
      <w:tr w:rsidR="003543D0" w:rsidRPr="00923467" w14:paraId="17104E4F" w14:textId="77777777" w:rsidTr="00EA5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43A6A4E" w14:textId="7E6517DB" w:rsidR="003543D0" w:rsidRPr="0005120F" w:rsidRDefault="003543D0" w:rsidP="00923467">
            <w:pPr>
              <w:rPr>
                <w:b w:val="0"/>
                <w:bCs w:val="0"/>
                <w:sz w:val="18"/>
                <w:szCs w:val="18"/>
              </w:rPr>
            </w:pPr>
            <w:r w:rsidRPr="0005120F">
              <w:rPr>
                <w:b w:val="0"/>
                <w:bCs w:val="0"/>
                <w:sz w:val="18"/>
                <w:szCs w:val="18"/>
              </w:rPr>
              <w:t xml:space="preserve">Total Applications </w:t>
            </w:r>
            <w:r w:rsidR="0005120F">
              <w:rPr>
                <w:b w:val="0"/>
                <w:bCs w:val="0"/>
                <w:sz w:val="18"/>
                <w:szCs w:val="18"/>
              </w:rPr>
              <w:t>N</w:t>
            </w:r>
            <w:r w:rsidRPr="0005120F">
              <w:rPr>
                <w:b w:val="0"/>
                <w:bCs w:val="0"/>
                <w:sz w:val="18"/>
                <w:szCs w:val="18"/>
              </w:rPr>
              <w:t xml:space="preserve">ot </w:t>
            </w:r>
            <w:r w:rsidR="0005120F">
              <w:rPr>
                <w:b w:val="0"/>
                <w:bCs w:val="0"/>
                <w:sz w:val="18"/>
                <w:szCs w:val="18"/>
              </w:rPr>
              <w:t>P</w:t>
            </w:r>
            <w:r w:rsidRPr="0005120F">
              <w:rPr>
                <w:b w:val="0"/>
                <w:bCs w:val="0"/>
                <w:sz w:val="18"/>
                <w:szCs w:val="18"/>
              </w:rPr>
              <w:t>rocessed (E = A – D)</w:t>
            </w:r>
          </w:p>
        </w:tc>
        <w:tc>
          <w:tcPr>
            <w:tcW w:w="1417" w:type="dxa"/>
          </w:tcPr>
          <w:p w14:paraId="500CD33B" w14:textId="77777777" w:rsidR="003543D0" w:rsidRPr="0005120F" w:rsidRDefault="003543D0" w:rsidP="00923467">
            <w:pPr>
              <w:cnfStyle w:val="000000100000" w:firstRow="0" w:lastRow="0" w:firstColumn="0" w:lastColumn="0" w:oddVBand="0" w:evenVBand="0" w:oddHBand="1" w:evenHBand="0" w:firstRowFirstColumn="0" w:firstRowLastColumn="0" w:lastRowFirstColumn="0" w:lastRowLastColumn="0"/>
              <w:rPr>
                <w:sz w:val="18"/>
                <w:szCs w:val="18"/>
              </w:rPr>
            </w:pPr>
            <w:r w:rsidRPr="0005120F">
              <w:rPr>
                <w:sz w:val="18"/>
                <w:szCs w:val="18"/>
              </w:rPr>
              <w:t>8</w:t>
            </w:r>
          </w:p>
        </w:tc>
      </w:tr>
    </w:tbl>
    <w:p w14:paraId="2620613C" w14:textId="2D9B03D5" w:rsidR="0059271D" w:rsidRPr="00923467" w:rsidRDefault="0059271D" w:rsidP="00923467">
      <w:pPr>
        <w:pStyle w:val="Caption"/>
      </w:pPr>
      <w:bookmarkStart w:id="54" w:name="_Toc137831142"/>
      <w:r w:rsidRPr="00923467">
        <w:t xml:space="preserve">Table </w:t>
      </w:r>
      <w:r w:rsidRPr="00923467">
        <w:fldChar w:fldCharType="begin"/>
      </w:r>
      <w:r w:rsidRPr="00923467">
        <w:instrText xml:space="preserve"> SEQ Table \* ARABIC </w:instrText>
      </w:r>
      <w:r w:rsidRPr="00923467">
        <w:fldChar w:fldCharType="separate"/>
      </w:r>
      <w:r w:rsidR="00E12E6B">
        <w:rPr>
          <w:noProof/>
        </w:rPr>
        <w:t>13</w:t>
      </w:r>
      <w:r w:rsidRPr="00923467">
        <w:fldChar w:fldCharType="end"/>
      </w:r>
      <w:r w:rsidRPr="00923467">
        <w:t>: Clearing and Forwarding Agencies Licenses Processed in 2022</w:t>
      </w:r>
      <w:bookmarkEnd w:id="54"/>
    </w:p>
    <w:p w14:paraId="5535F206" w14:textId="23B7B647" w:rsidR="003543D0" w:rsidRPr="00EA5ACB" w:rsidRDefault="003422B8" w:rsidP="00923467">
      <w:pPr>
        <w:rPr>
          <w:sz w:val="16"/>
          <w:szCs w:val="16"/>
        </w:rPr>
      </w:pPr>
      <w:r w:rsidRPr="00EA5ACB">
        <w:rPr>
          <w:sz w:val="16"/>
          <w:szCs w:val="16"/>
        </w:rPr>
        <w:t>Source: RIID</w:t>
      </w:r>
    </w:p>
    <w:p w14:paraId="2AB19E4D" w14:textId="77777777" w:rsidR="0022392D" w:rsidRDefault="0022392D" w:rsidP="00923467"/>
    <w:p w14:paraId="6B01705D" w14:textId="77777777" w:rsidR="0063149A" w:rsidRDefault="0063149A" w:rsidP="00923467"/>
    <w:p w14:paraId="2A183174" w14:textId="77777777" w:rsidR="0063149A" w:rsidRPr="00923467" w:rsidRDefault="0063149A" w:rsidP="00923467"/>
    <w:p w14:paraId="29E1B6AB" w14:textId="77777777" w:rsidR="0059271D" w:rsidRPr="00923467" w:rsidRDefault="0059271D" w:rsidP="00923467"/>
    <w:p w14:paraId="7917AC4E" w14:textId="72A056F4" w:rsidR="000255E7" w:rsidRPr="00923467" w:rsidRDefault="007B6491" w:rsidP="00923467">
      <w:pPr>
        <w:pStyle w:val="Heading2"/>
      </w:pPr>
      <w:bookmarkStart w:id="55" w:name="_Toc137831088"/>
      <w:r w:rsidRPr="00923467">
        <w:t>INTERNAL AFFAIRS UNIT</w:t>
      </w:r>
      <w:r w:rsidR="0078264D" w:rsidRPr="00923467">
        <w:t xml:space="preserve"> (IAU)</w:t>
      </w:r>
      <w:bookmarkEnd w:id="55"/>
    </w:p>
    <w:p w14:paraId="0FB17426" w14:textId="318643D6" w:rsidR="00E4033F" w:rsidRDefault="00062B27" w:rsidP="00923467">
      <w:r w:rsidRPr="00923467">
        <w:t>With support from the World Customs Organisation (WCO), t</w:t>
      </w:r>
      <w:r w:rsidR="006F0520" w:rsidRPr="00923467">
        <w:t xml:space="preserve">he </w:t>
      </w:r>
      <w:r w:rsidR="00D93D81" w:rsidRPr="00923467">
        <w:t xml:space="preserve">formation of the </w:t>
      </w:r>
      <w:r w:rsidR="0059271D" w:rsidRPr="00923467">
        <w:t xml:space="preserve">Internal Affairs Unit </w:t>
      </w:r>
      <w:r w:rsidR="00D93D81" w:rsidRPr="00923467">
        <w:t xml:space="preserve">as a Unit under the </w:t>
      </w:r>
      <w:r w:rsidR="0059271D" w:rsidRPr="00923467">
        <w:t>O</w:t>
      </w:r>
      <w:r w:rsidR="00D93D81" w:rsidRPr="00923467">
        <w:t xml:space="preserve">ffice of </w:t>
      </w:r>
      <w:r w:rsidR="000E2CC5" w:rsidRPr="00923467">
        <w:t>CG</w:t>
      </w:r>
      <w:r w:rsidR="00D93D81" w:rsidRPr="00923467">
        <w:t xml:space="preserve"> was approved by the Board of Directors in 2019 </w:t>
      </w:r>
      <w:r w:rsidR="000A1512" w:rsidRPr="00923467">
        <w:t>with</w:t>
      </w:r>
      <w:r w:rsidR="00756F71" w:rsidRPr="00923467">
        <w:t xml:space="preserve"> the</w:t>
      </w:r>
      <w:r w:rsidRPr="00923467">
        <w:t xml:space="preserve"> following mandate</w:t>
      </w:r>
      <w:r w:rsidR="00803FB3" w:rsidRPr="00923467">
        <w:t>s</w:t>
      </w:r>
      <w:r w:rsidRPr="00923467">
        <w:t>:</w:t>
      </w:r>
    </w:p>
    <w:p w14:paraId="3BE136D9" w14:textId="77777777" w:rsidR="00EA5ACB" w:rsidRPr="00923467" w:rsidRDefault="00EA5ACB" w:rsidP="00923467"/>
    <w:p w14:paraId="2467F378" w14:textId="58B62B3B" w:rsidR="00D93D81" w:rsidRPr="00923467" w:rsidRDefault="00D93D81" w:rsidP="00923467">
      <w:pPr>
        <w:pStyle w:val="ListParagraph"/>
        <w:numPr>
          <w:ilvl w:val="0"/>
          <w:numId w:val="20"/>
        </w:numPr>
      </w:pPr>
      <w:r w:rsidRPr="00923467">
        <w:t xml:space="preserve">To investigate allegations of malpractice </w:t>
      </w:r>
      <w:r w:rsidR="00E0516A" w:rsidRPr="00923467">
        <w:t>and</w:t>
      </w:r>
      <w:r w:rsidRPr="00923467">
        <w:t xml:space="preserve"> other complaints against an </w:t>
      </w:r>
      <w:proofErr w:type="gramStart"/>
      <w:r w:rsidRPr="00923467">
        <w:t>employee;</w:t>
      </w:r>
      <w:proofErr w:type="gramEnd"/>
    </w:p>
    <w:p w14:paraId="42F40DD3" w14:textId="06E538FF" w:rsidR="00D93D81" w:rsidRPr="00923467" w:rsidRDefault="00D93D81" w:rsidP="00923467">
      <w:pPr>
        <w:pStyle w:val="ListParagraph"/>
        <w:numPr>
          <w:ilvl w:val="0"/>
          <w:numId w:val="20"/>
        </w:numPr>
      </w:pPr>
      <w:r w:rsidRPr="00923467">
        <w:t xml:space="preserve">To process and verify asset </w:t>
      </w:r>
      <w:r w:rsidR="00264906" w:rsidRPr="00923467">
        <w:t>declaration</w:t>
      </w:r>
      <w:r w:rsidR="009A1351" w:rsidRPr="00923467">
        <w:t>s</w:t>
      </w:r>
      <w:r w:rsidR="00264906" w:rsidRPr="00923467">
        <w:t xml:space="preserve"> </w:t>
      </w:r>
      <w:r w:rsidR="007F016C" w:rsidRPr="00923467">
        <w:t>of</w:t>
      </w:r>
      <w:r w:rsidRPr="00923467">
        <w:t xml:space="preserve"> employee</w:t>
      </w:r>
      <w:r w:rsidR="009A1351" w:rsidRPr="00923467">
        <w:t>s</w:t>
      </w:r>
      <w:r w:rsidRPr="00923467">
        <w:t xml:space="preserve"> or prospective </w:t>
      </w:r>
      <w:proofErr w:type="gramStart"/>
      <w:r w:rsidRPr="00923467">
        <w:t>employee</w:t>
      </w:r>
      <w:r w:rsidR="009A1351" w:rsidRPr="00923467">
        <w:t>s</w:t>
      </w:r>
      <w:r w:rsidRPr="00923467">
        <w:t>;</w:t>
      </w:r>
      <w:proofErr w:type="gramEnd"/>
    </w:p>
    <w:p w14:paraId="27C33038" w14:textId="7DE7F630" w:rsidR="00D93D81" w:rsidRPr="00923467" w:rsidRDefault="00D93D81" w:rsidP="00923467">
      <w:pPr>
        <w:pStyle w:val="ListParagraph"/>
        <w:numPr>
          <w:ilvl w:val="0"/>
          <w:numId w:val="20"/>
        </w:numPr>
      </w:pPr>
      <w:r w:rsidRPr="00923467">
        <w:t>To handle matters relating to the National Anti-Corruption Strategy (NACS); and</w:t>
      </w:r>
    </w:p>
    <w:p w14:paraId="2966499C" w14:textId="46FBE781" w:rsidR="006F0520" w:rsidRPr="00923467" w:rsidRDefault="00D93D81" w:rsidP="00923467">
      <w:pPr>
        <w:pStyle w:val="ListParagraph"/>
        <w:numPr>
          <w:ilvl w:val="0"/>
          <w:numId w:val="20"/>
        </w:numPr>
      </w:pPr>
      <w:r w:rsidRPr="00923467">
        <w:t>To perform other cognate duties as the Commissioner-General may determine.</w:t>
      </w:r>
    </w:p>
    <w:p w14:paraId="498C210D" w14:textId="77777777" w:rsidR="00EA5ACB" w:rsidRDefault="00EA5ACB" w:rsidP="00923467"/>
    <w:p w14:paraId="51295D7D" w14:textId="4A01FE78" w:rsidR="00D93D81" w:rsidRPr="00923467" w:rsidRDefault="0059271D" w:rsidP="00923467">
      <w:r w:rsidRPr="00923467">
        <w:t>The following sections</w:t>
      </w:r>
      <w:r w:rsidR="00F5280F" w:rsidRPr="00923467">
        <w:t xml:space="preserve"> provide</w:t>
      </w:r>
      <w:r w:rsidRPr="00923467">
        <w:t xml:space="preserve"> an</w:t>
      </w:r>
      <w:r w:rsidR="00F5280F" w:rsidRPr="00923467">
        <w:t xml:space="preserve"> update on</w:t>
      </w:r>
      <w:r w:rsidR="00717851" w:rsidRPr="00923467">
        <w:t xml:space="preserve"> some of</w:t>
      </w:r>
      <w:r w:rsidR="00F5280F" w:rsidRPr="00923467">
        <w:t xml:space="preserve"> the </w:t>
      </w:r>
      <w:r w:rsidR="00717851" w:rsidRPr="00923467">
        <w:t xml:space="preserve">key </w:t>
      </w:r>
      <w:r w:rsidR="00F5280F" w:rsidRPr="00923467">
        <w:t xml:space="preserve">activities of the Unit during the period under review. </w:t>
      </w:r>
    </w:p>
    <w:p w14:paraId="57F2385F" w14:textId="77777777" w:rsidR="0059271D" w:rsidRPr="00923467" w:rsidRDefault="0059271D" w:rsidP="00923467"/>
    <w:p w14:paraId="3EB3FBBA" w14:textId="1FDCD94D" w:rsidR="000250D2" w:rsidRPr="00923467" w:rsidRDefault="007B6491" w:rsidP="00EF2D32">
      <w:pPr>
        <w:pStyle w:val="Heading3"/>
      </w:pPr>
      <w:bookmarkStart w:id="56" w:name="_Toc137831089"/>
      <w:r w:rsidRPr="00923467">
        <w:t xml:space="preserve">Credibility Checks </w:t>
      </w:r>
      <w:r w:rsidR="00C835B8" w:rsidRPr="00923467">
        <w:t>of</w:t>
      </w:r>
      <w:r w:rsidRPr="00923467">
        <w:t xml:space="preserve"> Staff </w:t>
      </w:r>
      <w:r w:rsidR="00380DBD" w:rsidRPr="00923467">
        <w:t>on</w:t>
      </w:r>
      <w:r w:rsidRPr="00923467">
        <w:t xml:space="preserve"> Adherence </w:t>
      </w:r>
      <w:r w:rsidR="00380DBD" w:rsidRPr="00923467">
        <w:t>to</w:t>
      </w:r>
      <w:r w:rsidRPr="00923467">
        <w:t xml:space="preserve"> </w:t>
      </w:r>
      <w:r w:rsidR="00E4033F" w:rsidRPr="00923467">
        <w:t>t</w:t>
      </w:r>
      <w:r w:rsidRPr="00923467">
        <w:t xml:space="preserve">heir </w:t>
      </w:r>
      <w:r w:rsidR="00E4033F" w:rsidRPr="00923467">
        <w:t>Standard Operating Procedures</w:t>
      </w:r>
      <w:bookmarkEnd w:id="56"/>
    </w:p>
    <w:p w14:paraId="1F19BA93" w14:textId="7D320D0B" w:rsidR="002F3C08" w:rsidRDefault="002F3C08" w:rsidP="00923467">
      <w:r w:rsidRPr="00923467">
        <w:t xml:space="preserve">Credibility checks are performed to see how far staff adhere to Standard Operating Procedures </w:t>
      </w:r>
      <w:r w:rsidR="00676BE9" w:rsidRPr="00923467">
        <w:t>(SOPs)</w:t>
      </w:r>
      <w:r w:rsidRPr="00923467">
        <w:t xml:space="preserve">. Firstly, it was discovered that many departments do not have updated procedures considering the extent of reforms and systems deployed within the Authority. </w:t>
      </w:r>
      <w:r w:rsidR="000C1A78" w:rsidRPr="00923467">
        <w:t xml:space="preserve">Furthermore, departments/units that </w:t>
      </w:r>
      <w:r w:rsidRPr="00923467">
        <w:t>rely on external legislation</w:t>
      </w:r>
      <w:r w:rsidR="000C1A78" w:rsidRPr="00923467">
        <w:t>s</w:t>
      </w:r>
      <w:r w:rsidRPr="00923467">
        <w:t xml:space="preserve"> </w:t>
      </w:r>
      <w:r w:rsidR="000C1A78" w:rsidRPr="00923467">
        <w:t>in performing their responsibilities (</w:t>
      </w:r>
      <w:r w:rsidRPr="00923467">
        <w:t xml:space="preserve">like </w:t>
      </w:r>
      <w:r w:rsidR="000C1A78" w:rsidRPr="00923467">
        <w:t>the P</w:t>
      </w:r>
      <w:r w:rsidRPr="00923467">
        <w:t>rocurement</w:t>
      </w:r>
      <w:r w:rsidR="000C1A78" w:rsidRPr="00923467">
        <w:t xml:space="preserve"> Unit)</w:t>
      </w:r>
      <w:r w:rsidRPr="00923467">
        <w:t>, their SOP</w:t>
      </w:r>
      <w:r w:rsidR="000C1A78" w:rsidRPr="00923467">
        <w:t>s</w:t>
      </w:r>
      <w:r w:rsidRPr="00923467">
        <w:t xml:space="preserve"> should be consistent with the legislation</w:t>
      </w:r>
      <w:r w:rsidR="000C1A78" w:rsidRPr="00923467">
        <w:t>s</w:t>
      </w:r>
      <w:r w:rsidRPr="00923467">
        <w:t xml:space="preserve">. </w:t>
      </w:r>
      <w:r w:rsidR="000C1A78" w:rsidRPr="00923467">
        <w:t>For some departments/units</w:t>
      </w:r>
      <w:r w:rsidR="007323DA" w:rsidRPr="00923467">
        <w:t>,</w:t>
      </w:r>
      <w:r w:rsidRPr="00923467">
        <w:t xml:space="preserve"> information on </w:t>
      </w:r>
      <w:r w:rsidR="00F33D8E" w:rsidRPr="00923467">
        <w:t xml:space="preserve">their </w:t>
      </w:r>
      <w:r w:rsidR="000C1A78" w:rsidRPr="00923467">
        <w:t xml:space="preserve">processes and procedures </w:t>
      </w:r>
      <w:r w:rsidRPr="00923467">
        <w:t xml:space="preserve">is </w:t>
      </w:r>
      <w:r w:rsidR="000C1A78" w:rsidRPr="00923467">
        <w:t xml:space="preserve">inadequate. </w:t>
      </w:r>
      <w:r w:rsidR="00937B66" w:rsidRPr="00923467">
        <w:t xml:space="preserve">The </w:t>
      </w:r>
      <w:r w:rsidR="00BF10BB" w:rsidRPr="00923467">
        <w:t>IAU</w:t>
      </w:r>
      <w:r w:rsidR="00937B66" w:rsidRPr="00923467">
        <w:t xml:space="preserve"> has recommended to Senior Management Team (SMT) that SOPs on all activities within the NRA needs to be reviewed consistent with previous and </w:t>
      </w:r>
      <w:r w:rsidR="00F57797" w:rsidRPr="00923467">
        <w:t>ongoing reforms</w:t>
      </w:r>
      <w:r w:rsidR="00937B66" w:rsidRPr="00923467">
        <w:t>, and legislation.</w:t>
      </w:r>
    </w:p>
    <w:p w14:paraId="5BA9E483" w14:textId="77777777" w:rsidR="00C37B58" w:rsidRPr="00923467" w:rsidRDefault="00C37B58" w:rsidP="00923467"/>
    <w:p w14:paraId="39175D37" w14:textId="52C13253" w:rsidR="002F3C08" w:rsidRPr="00923467" w:rsidRDefault="002F3C08" w:rsidP="00923467">
      <w:r w:rsidRPr="00923467">
        <w:t xml:space="preserve">The </w:t>
      </w:r>
      <w:r w:rsidR="000A4DD6" w:rsidRPr="00923467">
        <w:t>IAU</w:t>
      </w:r>
      <w:r w:rsidRPr="00923467">
        <w:t xml:space="preserve"> received training from </w:t>
      </w:r>
      <w:bookmarkStart w:id="57" w:name="_Hlk129086476"/>
      <w:r w:rsidR="00B24EBC" w:rsidRPr="00923467">
        <w:t xml:space="preserve">the </w:t>
      </w:r>
      <w:r w:rsidRPr="00923467">
        <w:t xml:space="preserve">WCO </w:t>
      </w:r>
      <w:bookmarkEnd w:id="57"/>
      <w:r w:rsidRPr="00923467">
        <w:t xml:space="preserve">on </w:t>
      </w:r>
      <w:r w:rsidR="007323DA" w:rsidRPr="00923467">
        <w:t xml:space="preserve">assessing </w:t>
      </w:r>
      <w:r w:rsidRPr="00923467">
        <w:t xml:space="preserve">adherence to SOPs and the performance of credibility checks. </w:t>
      </w:r>
      <w:r w:rsidR="000B119C" w:rsidRPr="00923467">
        <w:t xml:space="preserve">These </w:t>
      </w:r>
      <w:r w:rsidR="009E27F8" w:rsidRPr="00923467">
        <w:t>training courses</w:t>
      </w:r>
      <w:r w:rsidR="000B119C" w:rsidRPr="00923467">
        <w:t xml:space="preserve"> were consistent with the Revised Arusha Declaration (RAD) and the </w:t>
      </w:r>
      <w:r w:rsidR="003D45B6" w:rsidRPr="00923467">
        <w:t>r</w:t>
      </w:r>
      <w:r w:rsidR="000B119C" w:rsidRPr="00923467">
        <w:t>evised Integrity Development Guide (IDG). The following are trainings the Unit benefitted from:</w:t>
      </w:r>
    </w:p>
    <w:p w14:paraId="505FC937" w14:textId="15223166" w:rsidR="002F3C08" w:rsidRPr="00923467" w:rsidRDefault="002F3C08" w:rsidP="00AA0852">
      <w:pPr>
        <w:pStyle w:val="ListParagraph"/>
        <w:numPr>
          <w:ilvl w:val="0"/>
          <w:numId w:val="39"/>
        </w:numPr>
      </w:pPr>
      <w:r w:rsidRPr="00923467">
        <w:t xml:space="preserve">Verifying whether staff who proceed on leave are logged off </w:t>
      </w:r>
      <w:r w:rsidR="004F6483" w:rsidRPr="00923467">
        <w:t>NRA’s IT</w:t>
      </w:r>
      <w:r w:rsidR="007569B3" w:rsidRPr="00923467">
        <w:t xml:space="preserve"> systems or platforms </w:t>
      </w:r>
      <w:r w:rsidRPr="00923467">
        <w:t>like ITAS, ASYCUDA, ECR etc.</w:t>
      </w:r>
      <w:r w:rsidR="008A334A" w:rsidRPr="00923467">
        <w:t>;</w:t>
      </w:r>
      <w:r w:rsidR="000B119C" w:rsidRPr="00923467">
        <w:t xml:space="preserve"> and</w:t>
      </w:r>
    </w:p>
    <w:p w14:paraId="5533D7E9" w14:textId="5619BB97" w:rsidR="00B64236" w:rsidRDefault="002F3C08" w:rsidP="00AA0852">
      <w:pPr>
        <w:pStyle w:val="ListParagraph"/>
        <w:numPr>
          <w:ilvl w:val="0"/>
          <w:numId w:val="39"/>
        </w:numPr>
      </w:pPr>
      <w:r w:rsidRPr="00923467">
        <w:t xml:space="preserve">Training on </w:t>
      </w:r>
      <w:r w:rsidR="008A334A" w:rsidRPr="00923467">
        <w:t xml:space="preserve">warehousing, transit, and groupage </w:t>
      </w:r>
      <w:r w:rsidRPr="00923467">
        <w:t>procedures</w:t>
      </w:r>
      <w:r w:rsidR="000B119C" w:rsidRPr="00923467">
        <w:t xml:space="preserve">. </w:t>
      </w:r>
    </w:p>
    <w:p w14:paraId="216D1EAA" w14:textId="77777777" w:rsidR="00EA5ACB" w:rsidRPr="00923467" w:rsidRDefault="00EA5ACB" w:rsidP="00EA5ACB"/>
    <w:p w14:paraId="232B29B4" w14:textId="39A7A6EA" w:rsidR="00D336F6" w:rsidRPr="00923467" w:rsidRDefault="0098249D" w:rsidP="00EF2D32">
      <w:pPr>
        <w:pStyle w:val="Heading3"/>
      </w:pPr>
      <w:bookmarkStart w:id="58" w:name="_Toc137831090"/>
      <w:r w:rsidRPr="00923467">
        <w:t>Domestic Tax Integrity Perception Survey</w:t>
      </w:r>
      <w:r w:rsidR="00D336F6" w:rsidRPr="00923467">
        <w:t xml:space="preserve"> (DIPS)</w:t>
      </w:r>
      <w:bookmarkEnd w:id="58"/>
    </w:p>
    <w:p w14:paraId="1E5CE036" w14:textId="2D5013C5" w:rsidR="00E22CC5" w:rsidRDefault="00D336F6" w:rsidP="00923467">
      <w:r w:rsidRPr="00923467">
        <w:t xml:space="preserve">A draft concept </w:t>
      </w:r>
      <w:proofErr w:type="gramStart"/>
      <w:r w:rsidRPr="00923467">
        <w:t>note</w:t>
      </w:r>
      <w:proofErr w:type="gramEnd"/>
      <w:r w:rsidRPr="00923467">
        <w:t xml:space="preserve"> on the need to undertake a DIPS was submitted to the Modernization Department and an initial meeting </w:t>
      </w:r>
      <w:r w:rsidR="00EF7A0C" w:rsidRPr="00923467">
        <w:t>was held</w:t>
      </w:r>
      <w:r w:rsidRPr="00923467">
        <w:t xml:space="preserve">. The essence of the concept note was that </w:t>
      </w:r>
      <w:r w:rsidR="00E9012B" w:rsidRPr="00923467">
        <w:t xml:space="preserve">since </w:t>
      </w:r>
      <w:r w:rsidRPr="00923467">
        <w:t xml:space="preserve">DTD collects the bulk of </w:t>
      </w:r>
      <w:r w:rsidR="00EF7A0C" w:rsidRPr="00923467">
        <w:t xml:space="preserve">domestic </w:t>
      </w:r>
      <w:r w:rsidRPr="00923467">
        <w:t>revenue</w:t>
      </w:r>
      <w:r w:rsidR="00EF7A0C" w:rsidRPr="00923467">
        <w:t>,</w:t>
      </w:r>
      <w:r w:rsidRPr="00923467">
        <w:t xml:space="preserve"> and having completed the baseline Customs </w:t>
      </w:r>
      <w:r w:rsidR="00E9012B" w:rsidRPr="00923467">
        <w:t>I</w:t>
      </w:r>
      <w:r w:rsidRPr="00923467">
        <w:t xml:space="preserve">ntegrity Perception Survey, there was </w:t>
      </w:r>
      <w:r w:rsidR="00EF7A0C" w:rsidRPr="00923467">
        <w:t xml:space="preserve">also </w:t>
      </w:r>
      <w:r w:rsidRPr="00923467">
        <w:t xml:space="preserve">a need to do </w:t>
      </w:r>
      <w:r w:rsidR="00EF7A0C" w:rsidRPr="00923467">
        <w:t xml:space="preserve">the </w:t>
      </w:r>
      <w:r w:rsidRPr="00923467">
        <w:t xml:space="preserve">same for DTD. </w:t>
      </w:r>
      <w:r w:rsidR="00E22CC5" w:rsidRPr="00923467">
        <w:t>The NRA</w:t>
      </w:r>
      <w:r w:rsidR="007D68B1" w:rsidRPr="00923467">
        <w:t>,</w:t>
      </w:r>
      <w:r w:rsidR="00E22CC5" w:rsidRPr="00923467">
        <w:t xml:space="preserve"> through the Modernisation </w:t>
      </w:r>
      <w:r w:rsidR="007D68B1" w:rsidRPr="00923467">
        <w:t xml:space="preserve">Department </w:t>
      </w:r>
      <w:r w:rsidR="00E22CC5" w:rsidRPr="00923467">
        <w:t xml:space="preserve">is currently seeking for funding to conduct this survey. </w:t>
      </w:r>
    </w:p>
    <w:p w14:paraId="4FD4D2DA" w14:textId="77777777" w:rsidR="00EA5ACB" w:rsidRPr="00923467" w:rsidRDefault="00EA5ACB" w:rsidP="00923467"/>
    <w:p w14:paraId="2E4CAA64" w14:textId="2AACB076" w:rsidR="004C3CF9" w:rsidRPr="00923467" w:rsidRDefault="008A78D3" w:rsidP="00EF2D32">
      <w:pPr>
        <w:pStyle w:val="Heading3"/>
      </w:pPr>
      <w:bookmarkStart w:id="59" w:name="_Toc137831091"/>
      <w:r w:rsidRPr="00923467">
        <w:t xml:space="preserve">A-CIP </w:t>
      </w:r>
      <w:r w:rsidR="0098249D" w:rsidRPr="00923467">
        <w:t xml:space="preserve">Programme of </w:t>
      </w:r>
      <w:r w:rsidR="005D4539" w:rsidRPr="00923467">
        <w:t>t</w:t>
      </w:r>
      <w:r w:rsidR="0098249D" w:rsidRPr="00923467">
        <w:t>he World Customs Organisation</w:t>
      </w:r>
      <w:bookmarkEnd w:id="59"/>
    </w:p>
    <w:p w14:paraId="54C32E45" w14:textId="6BA5185B" w:rsidR="000250D2" w:rsidRDefault="00910263" w:rsidP="00923467">
      <w:r w:rsidRPr="00923467">
        <w:t xml:space="preserve">The Anti-Corruption and </w:t>
      </w:r>
      <w:r w:rsidR="007742E0" w:rsidRPr="00923467">
        <w:t>I</w:t>
      </w:r>
      <w:r w:rsidRPr="00923467">
        <w:t xml:space="preserve">ntegrity Promotion Programme (A-CIP) which started in 2019 has provided a structural approach to the fight </w:t>
      </w:r>
      <w:r w:rsidR="007742E0" w:rsidRPr="00923467">
        <w:t xml:space="preserve">against </w:t>
      </w:r>
      <w:r w:rsidRPr="00923467">
        <w:t>corruption in the NRA using the 10 pillars of the Revised Arusha Declaration (RAD) and the IDG as benchmarks.</w:t>
      </w:r>
      <w:r w:rsidR="007742E0" w:rsidRPr="00923467">
        <w:t xml:space="preserve"> </w:t>
      </w:r>
      <w:r w:rsidR="00892379" w:rsidRPr="00923467">
        <w:t xml:space="preserve">The following </w:t>
      </w:r>
      <w:r w:rsidR="003E795E" w:rsidRPr="00923467">
        <w:t xml:space="preserve">are some of </w:t>
      </w:r>
      <w:r w:rsidR="00C90A04" w:rsidRPr="00923467">
        <w:t>achievements</w:t>
      </w:r>
      <w:r w:rsidR="00892379" w:rsidRPr="00923467">
        <w:t xml:space="preserve"> under the A-CIP programme: </w:t>
      </w:r>
    </w:p>
    <w:p w14:paraId="6754FC28" w14:textId="77777777" w:rsidR="00EA5ACB" w:rsidRPr="00923467" w:rsidRDefault="00EA5ACB" w:rsidP="00923467"/>
    <w:p w14:paraId="5D519631" w14:textId="08FE494C" w:rsidR="004C3CF9" w:rsidRPr="00923467" w:rsidRDefault="00CC2F77" w:rsidP="00AA0852">
      <w:pPr>
        <w:pStyle w:val="ListParagraph"/>
        <w:numPr>
          <w:ilvl w:val="0"/>
          <w:numId w:val="40"/>
        </w:numPr>
      </w:pPr>
      <w:r w:rsidRPr="00923467">
        <w:t xml:space="preserve">Professional </w:t>
      </w:r>
      <w:r w:rsidR="004B65F7" w:rsidRPr="00923467">
        <w:t>a</w:t>
      </w:r>
      <w:r w:rsidRPr="00923467">
        <w:t xml:space="preserve">ttachment </w:t>
      </w:r>
      <w:r w:rsidR="003E0B88" w:rsidRPr="00923467">
        <w:t xml:space="preserve">of staff </w:t>
      </w:r>
      <w:r w:rsidRPr="00923467">
        <w:t xml:space="preserve">to the Mauritius Revenue Authority for 8 days </w:t>
      </w:r>
      <w:r w:rsidR="003E0B88" w:rsidRPr="00923467">
        <w:t>to</w:t>
      </w:r>
      <w:r w:rsidRPr="00923467">
        <w:t xml:space="preserve"> get </w:t>
      </w:r>
      <w:r w:rsidR="003E0B88" w:rsidRPr="00923467">
        <w:t>on</w:t>
      </w:r>
      <w:r w:rsidR="004B65F7" w:rsidRPr="00923467">
        <w:t>-</w:t>
      </w:r>
      <w:r w:rsidR="003E0B88" w:rsidRPr="00923467">
        <w:t>th</w:t>
      </w:r>
      <w:r w:rsidR="004B65F7" w:rsidRPr="00923467">
        <w:t>e-</w:t>
      </w:r>
      <w:r w:rsidR="003E0B88" w:rsidRPr="00923467">
        <w:t xml:space="preserve">job </w:t>
      </w:r>
      <w:r w:rsidRPr="00923467">
        <w:t xml:space="preserve">experience. This includes </w:t>
      </w:r>
      <w:r w:rsidR="00DC7D85" w:rsidRPr="00923467">
        <w:t>details</w:t>
      </w:r>
      <w:r w:rsidRPr="00923467">
        <w:t xml:space="preserve"> on corruption risk mapping, declaration, filing and verification of assets</w:t>
      </w:r>
      <w:r w:rsidR="00DC7D85" w:rsidRPr="00923467">
        <w:t>,</w:t>
      </w:r>
      <w:r w:rsidRPr="00923467">
        <w:t xml:space="preserve"> and </w:t>
      </w:r>
      <w:r w:rsidR="00A53049" w:rsidRPr="00923467">
        <w:t xml:space="preserve">on the </w:t>
      </w:r>
      <w:r w:rsidRPr="00923467">
        <w:t xml:space="preserve">administrative investigation </w:t>
      </w:r>
      <w:proofErr w:type="gramStart"/>
      <w:r w:rsidRPr="00923467">
        <w:t>process</w:t>
      </w:r>
      <w:r w:rsidR="002F1100" w:rsidRPr="00923467">
        <w:t>;</w:t>
      </w:r>
      <w:proofErr w:type="gramEnd"/>
    </w:p>
    <w:p w14:paraId="5940642A" w14:textId="64AC5AE1" w:rsidR="00FC005B" w:rsidRPr="00923467" w:rsidRDefault="00FC005B" w:rsidP="00AA0852">
      <w:pPr>
        <w:pStyle w:val="ListParagraph"/>
        <w:numPr>
          <w:ilvl w:val="0"/>
          <w:numId w:val="40"/>
        </w:numPr>
      </w:pPr>
      <w:r w:rsidRPr="00923467">
        <w:t xml:space="preserve">Staff capacity building on </w:t>
      </w:r>
      <w:r w:rsidR="00A53049" w:rsidRPr="00923467">
        <w:t>O</w:t>
      </w:r>
      <w:r w:rsidRPr="00923467">
        <w:t xml:space="preserve">utcomes 2 and 3 of the A-CIP project information </w:t>
      </w:r>
      <w:proofErr w:type="gramStart"/>
      <w:r w:rsidRPr="00923467">
        <w:t>document</w:t>
      </w:r>
      <w:proofErr w:type="gramEnd"/>
      <w:r w:rsidRPr="00923467">
        <w:t xml:space="preserve"> following the Customs Integrity Perception </w:t>
      </w:r>
      <w:proofErr w:type="gramStart"/>
      <w:r w:rsidRPr="00923467">
        <w:t>Survey</w:t>
      </w:r>
      <w:r w:rsidR="002F1100" w:rsidRPr="00923467">
        <w:t>;</w:t>
      </w:r>
      <w:proofErr w:type="gramEnd"/>
      <w:r w:rsidRPr="00923467">
        <w:t xml:space="preserve"> </w:t>
      </w:r>
    </w:p>
    <w:p w14:paraId="03A3A7D5" w14:textId="1873E347" w:rsidR="001A0F24" w:rsidRPr="00923467" w:rsidRDefault="001A0F24" w:rsidP="00AA0852">
      <w:pPr>
        <w:pStyle w:val="ListParagraph"/>
        <w:numPr>
          <w:ilvl w:val="0"/>
          <w:numId w:val="40"/>
        </w:numPr>
      </w:pPr>
      <w:r w:rsidRPr="00923467">
        <w:t>Conducted series of in-house training</w:t>
      </w:r>
      <w:r w:rsidR="000D136E" w:rsidRPr="00923467">
        <w:t>s</w:t>
      </w:r>
      <w:r w:rsidRPr="00923467">
        <w:t xml:space="preserve"> on the working tools of the IAU including </w:t>
      </w:r>
      <w:r w:rsidR="000D136E" w:rsidRPr="00923467">
        <w:t>SOPs</w:t>
      </w:r>
      <w:r w:rsidRPr="00923467">
        <w:t xml:space="preserve">, </w:t>
      </w:r>
      <w:r w:rsidR="000D136E" w:rsidRPr="00923467">
        <w:t>IDG</w:t>
      </w:r>
      <w:r w:rsidRPr="00923467">
        <w:t>, Prevention of Malpractice Manual, Project Information Document, Income Tax Act 2000 (</w:t>
      </w:r>
      <w:r w:rsidR="000D136E" w:rsidRPr="00923467">
        <w:t>a</w:t>
      </w:r>
      <w:r w:rsidRPr="00923467">
        <w:t>s Amended), Goods and Services Tax Act 2009 (</w:t>
      </w:r>
      <w:r w:rsidR="00A11074" w:rsidRPr="00923467">
        <w:t>a</w:t>
      </w:r>
      <w:r w:rsidRPr="00923467">
        <w:t>s Amended), Customs Act 2011 (</w:t>
      </w:r>
      <w:r w:rsidR="00A11074" w:rsidRPr="00923467">
        <w:t>a</w:t>
      </w:r>
      <w:r w:rsidRPr="00923467">
        <w:t xml:space="preserve">s Amended) and the Finance </w:t>
      </w:r>
      <w:proofErr w:type="gramStart"/>
      <w:r w:rsidRPr="00923467">
        <w:t>Acts</w:t>
      </w:r>
      <w:r w:rsidR="000F410A" w:rsidRPr="00923467">
        <w:t>;</w:t>
      </w:r>
      <w:proofErr w:type="gramEnd"/>
      <w:r w:rsidRPr="00923467">
        <w:t xml:space="preserve">   </w:t>
      </w:r>
    </w:p>
    <w:p w14:paraId="5D76A243" w14:textId="2BB4CCA9" w:rsidR="004C3CF9" w:rsidRPr="00923467" w:rsidRDefault="00FC005B" w:rsidP="00AA0852">
      <w:pPr>
        <w:pStyle w:val="ListParagraph"/>
        <w:numPr>
          <w:ilvl w:val="0"/>
          <w:numId w:val="40"/>
        </w:numPr>
      </w:pPr>
      <w:r w:rsidRPr="00923467">
        <w:t>With support from WCO</w:t>
      </w:r>
      <w:r w:rsidR="00605F66" w:rsidRPr="00923467">
        <w:t>, staff of the I</w:t>
      </w:r>
      <w:r w:rsidR="002F5AE2" w:rsidRPr="00923467">
        <w:t>AU</w:t>
      </w:r>
      <w:r w:rsidRPr="00923467">
        <w:t xml:space="preserve"> participated in administrative investigation and reporting techniques facilitated by the Mauritius Revenue Authority and the Canada </w:t>
      </w:r>
      <w:proofErr w:type="gramStart"/>
      <w:r w:rsidRPr="00923467">
        <w:t>Customs</w:t>
      </w:r>
      <w:r w:rsidR="002F1100" w:rsidRPr="00923467">
        <w:t>;</w:t>
      </w:r>
      <w:proofErr w:type="gramEnd"/>
    </w:p>
    <w:p w14:paraId="6640C04B" w14:textId="41B89AF5" w:rsidR="002F1100" w:rsidRPr="00923467" w:rsidRDefault="002F1100" w:rsidP="00AA0852">
      <w:pPr>
        <w:pStyle w:val="ListParagraph"/>
        <w:numPr>
          <w:ilvl w:val="0"/>
          <w:numId w:val="40"/>
        </w:numPr>
      </w:pPr>
      <w:r w:rsidRPr="00923467">
        <w:t>Staff of the IAU participated in the Mid-Term Review of the Project Information Document with other A</w:t>
      </w:r>
      <w:r w:rsidR="00FE194F" w:rsidRPr="00923467">
        <w:t>-</w:t>
      </w:r>
      <w:r w:rsidRPr="00923467">
        <w:t xml:space="preserve">CIP </w:t>
      </w:r>
      <w:proofErr w:type="gramStart"/>
      <w:r w:rsidRPr="00923467">
        <w:t>countries;</w:t>
      </w:r>
      <w:proofErr w:type="gramEnd"/>
      <w:r w:rsidRPr="00923467">
        <w:t xml:space="preserve"> </w:t>
      </w:r>
    </w:p>
    <w:p w14:paraId="414A6C99" w14:textId="6B926840" w:rsidR="00162D3A" w:rsidRPr="00923467" w:rsidRDefault="00162D3A" w:rsidP="00AA0852">
      <w:pPr>
        <w:pStyle w:val="ListParagraph"/>
        <w:numPr>
          <w:ilvl w:val="0"/>
          <w:numId w:val="40"/>
        </w:numPr>
      </w:pPr>
      <w:r w:rsidRPr="00923467">
        <w:t xml:space="preserve">Following the CIPS report of May 2020 which indicated that people were disinclined to report corrupt practices, the IAU in 2021 produced and displayed 48 standing pull-up banners at NRA </w:t>
      </w:r>
      <w:r w:rsidR="00A923F3" w:rsidRPr="00923467">
        <w:t>offices</w:t>
      </w:r>
      <w:r w:rsidRPr="00923467">
        <w:t xml:space="preserve"> and </w:t>
      </w:r>
      <w:r w:rsidR="00A923F3" w:rsidRPr="00923467">
        <w:t>out</w:t>
      </w:r>
      <w:r w:rsidRPr="00923467">
        <w:t xml:space="preserve">stations </w:t>
      </w:r>
      <w:proofErr w:type="gramStart"/>
      <w:r w:rsidRPr="00923467">
        <w:t>nationwide;</w:t>
      </w:r>
      <w:proofErr w:type="gramEnd"/>
    </w:p>
    <w:p w14:paraId="12976ECC" w14:textId="7611BF11" w:rsidR="000B1BF3" w:rsidRDefault="000B1BF3" w:rsidP="00AA0852">
      <w:pPr>
        <w:pStyle w:val="ListParagraph"/>
        <w:numPr>
          <w:ilvl w:val="0"/>
          <w:numId w:val="40"/>
        </w:numPr>
      </w:pPr>
      <w:r w:rsidRPr="00923467">
        <w:t>With support from WCO, the Unit produced 500 wall stickers bearing information on how and where to report corrupt practices to be displayed at prominent business locations nationwide</w:t>
      </w:r>
      <w:r w:rsidR="002170FE" w:rsidRPr="00923467">
        <w:t>.</w:t>
      </w:r>
    </w:p>
    <w:p w14:paraId="384C8512" w14:textId="77777777" w:rsidR="00EA5ACB" w:rsidRPr="00923467" w:rsidRDefault="00EA5ACB" w:rsidP="00EA5ACB"/>
    <w:p w14:paraId="5977B713" w14:textId="050E62F9" w:rsidR="004608AF" w:rsidRPr="00923467" w:rsidRDefault="00735560" w:rsidP="00EF2D32">
      <w:pPr>
        <w:pStyle w:val="Heading3"/>
      </w:pPr>
      <w:bookmarkStart w:id="60" w:name="_Toc137831092"/>
      <w:r w:rsidRPr="00923467">
        <w:t>National Anti-Corruption Strategy</w:t>
      </w:r>
      <w:r w:rsidR="004608AF" w:rsidRPr="00923467">
        <w:t xml:space="preserve"> (NACS)</w:t>
      </w:r>
      <w:bookmarkEnd w:id="60"/>
    </w:p>
    <w:p w14:paraId="2D9B3B9E" w14:textId="4327654C" w:rsidR="00CC2F77" w:rsidRDefault="004608AF" w:rsidP="00923467">
      <w:r w:rsidRPr="00923467">
        <w:t xml:space="preserve">The NACS serves as a guide for developing a set of shared commitments across sectors, to support and collaborate within and between sectors, and to direct renewed energy towards the goal of reducing corruption and building an ethical society. It involved a national dialogue and stakeholder’s consultation on corruption to harness greater national ownership on the fight against corruption and to ascertain political will and commitment of </w:t>
      </w:r>
      <w:r w:rsidR="0085662D" w:rsidRPr="00923467">
        <w:t>policymakers</w:t>
      </w:r>
      <w:r w:rsidRPr="00923467">
        <w:t>, implementers and all other stakeholders including the private sector and religious organizations.</w:t>
      </w:r>
      <w:r w:rsidR="00681AB3" w:rsidRPr="00923467">
        <w:t xml:space="preserve"> The following </w:t>
      </w:r>
      <w:r w:rsidR="00A53049" w:rsidRPr="00923467">
        <w:t xml:space="preserve">was </w:t>
      </w:r>
      <w:r w:rsidR="00BD4D44" w:rsidRPr="00923467">
        <w:t>accomplished</w:t>
      </w:r>
      <w:r w:rsidR="004E5891" w:rsidRPr="00923467">
        <w:t xml:space="preserve"> </w:t>
      </w:r>
      <w:r w:rsidR="00681AB3" w:rsidRPr="00923467">
        <w:t>in 2022:</w:t>
      </w:r>
    </w:p>
    <w:p w14:paraId="675CDA9B" w14:textId="77777777" w:rsidR="00EA5ACB" w:rsidRPr="00923467" w:rsidRDefault="00EA5ACB" w:rsidP="00923467"/>
    <w:p w14:paraId="50D0381A" w14:textId="165A57F4" w:rsidR="00681AB3" w:rsidRPr="00923467" w:rsidRDefault="00681AB3" w:rsidP="0005120F">
      <w:pPr>
        <w:pStyle w:val="ListParagraph"/>
        <w:numPr>
          <w:ilvl w:val="0"/>
          <w:numId w:val="38"/>
        </w:numPr>
      </w:pPr>
      <w:r w:rsidRPr="00923467">
        <w:t xml:space="preserve">Met all 9 performance criteria set in the NACS </w:t>
      </w:r>
      <w:proofErr w:type="gramStart"/>
      <w:r w:rsidRPr="00923467">
        <w:t>matrix</w:t>
      </w:r>
      <w:r w:rsidR="004C0CB6" w:rsidRPr="00923467">
        <w:t>;</w:t>
      </w:r>
      <w:proofErr w:type="gramEnd"/>
      <w:r w:rsidRPr="00923467">
        <w:t xml:space="preserve">  </w:t>
      </w:r>
    </w:p>
    <w:p w14:paraId="5F050FCA" w14:textId="73B84422" w:rsidR="00681AB3" w:rsidRPr="00923467" w:rsidRDefault="00681AB3" w:rsidP="0005120F">
      <w:pPr>
        <w:pStyle w:val="ListParagraph"/>
        <w:numPr>
          <w:ilvl w:val="0"/>
          <w:numId w:val="38"/>
        </w:numPr>
      </w:pPr>
      <w:r w:rsidRPr="00923467">
        <w:t xml:space="preserve">Quarterly reporting on the NRA implementation of the </w:t>
      </w:r>
      <w:r w:rsidR="0073739E" w:rsidRPr="00923467">
        <w:t xml:space="preserve">NACS </w:t>
      </w:r>
      <w:proofErr w:type="gramStart"/>
      <w:r w:rsidRPr="00923467">
        <w:t>activities</w:t>
      </w:r>
      <w:r w:rsidR="009C5600" w:rsidRPr="00923467">
        <w:t>;</w:t>
      </w:r>
      <w:proofErr w:type="gramEnd"/>
    </w:p>
    <w:p w14:paraId="59F3215F" w14:textId="644F2F90" w:rsidR="00A56458" w:rsidRPr="00923467" w:rsidRDefault="00271E4D" w:rsidP="0005120F">
      <w:pPr>
        <w:pStyle w:val="ListParagraph"/>
        <w:numPr>
          <w:ilvl w:val="0"/>
          <w:numId w:val="38"/>
        </w:numPr>
      </w:pPr>
      <w:r w:rsidRPr="00923467">
        <w:t>Participation by the IAU in the</w:t>
      </w:r>
      <w:r w:rsidR="00681AB3" w:rsidRPr="00923467">
        <w:t xml:space="preserve"> </w:t>
      </w:r>
      <w:r w:rsidRPr="00923467">
        <w:t>A</w:t>
      </w:r>
      <w:r w:rsidR="00681AB3" w:rsidRPr="00923467">
        <w:t xml:space="preserve">ssurance </w:t>
      </w:r>
      <w:r w:rsidRPr="00923467">
        <w:t>C</w:t>
      </w:r>
      <w:r w:rsidR="00681AB3" w:rsidRPr="00923467">
        <w:t>ommittee team reviewing the 2020 Audit Report findings</w:t>
      </w:r>
      <w:r w:rsidR="009C5600" w:rsidRPr="00923467">
        <w:t>.</w:t>
      </w:r>
    </w:p>
    <w:p w14:paraId="7A41992F" w14:textId="77777777" w:rsidR="00271E4D" w:rsidRDefault="00271E4D" w:rsidP="00923467"/>
    <w:p w14:paraId="0CFBC361" w14:textId="77777777" w:rsidR="00EA5ACB" w:rsidRPr="00923467" w:rsidRDefault="00EA5ACB" w:rsidP="00923467"/>
    <w:p w14:paraId="0B006D4D" w14:textId="712F06CB" w:rsidR="00554F2C" w:rsidRPr="00923467" w:rsidRDefault="00A56458" w:rsidP="00923467">
      <w:pPr>
        <w:pStyle w:val="Heading2"/>
      </w:pPr>
      <w:bookmarkStart w:id="61" w:name="_Toc137831093"/>
      <w:r w:rsidRPr="00923467">
        <w:t>I</w:t>
      </w:r>
      <w:r w:rsidR="00EA5ACB">
        <w:t>NFORMATION, COMMUNICATION AND TECHNOLOGY</w:t>
      </w:r>
      <w:r w:rsidRPr="00923467">
        <w:t xml:space="preserve"> REFORMS</w:t>
      </w:r>
      <w:bookmarkEnd w:id="61"/>
      <w:r w:rsidRPr="00923467">
        <w:t xml:space="preserve"> </w:t>
      </w:r>
    </w:p>
    <w:p w14:paraId="794A3265" w14:textId="77777777" w:rsidR="00EA5ACB" w:rsidRDefault="00FF1A82" w:rsidP="00923467">
      <w:r w:rsidRPr="00923467">
        <w:t xml:space="preserve">The </w:t>
      </w:r>
      <w:r w:rsidR="004C679C" w:rsidRPr="00923467">
        <w:t>Information, Communication Technology (</w:t>
      </w:r>
      <w:r w:rsidRPr="00923467">
        <w:t>ICT</w:t>
      </w:r>
      <w:r w:rsidR="004C679C" w:rsidRPr="00923467">
        <w:t>)</w:t>
      </w:r>
      <w:r w:rsidRPr="00923467">
        <w:t xml:space="preserve"> </w:t>
      </w:r>
      <w:r w:rsidR="00D206C8" w:rsidRPr="00923467">
        <w:t>D</w:t>
      </w:r>
      <w:r w:rsidRPr="00923467">
        <w:t>epartment is a support department charged with providing and ensuring responsive, effective, and efficient ICT services to the Authority and other stakeholders, in the fulfilment of the NRA’s core mandate of domestic revenue mobili</w:t>
      </w:r>
      <w:r w:rsidR="00002CAE" w:rsidRPr="00923467">
        <w:t>s</w:t>
      </w:r>
      <w:r w:rsidRPr="00923467">
        <w:t>ation and collection.</w:t>
      </w:r>
      <w:r w:rsidR="00E61CC2" w:rsidRPr="00923467">
        <w:t xml:space="preserve"> The following were the key accomplishment</w:t>
      </w:r>
      <w:r w:rsidR="00285561" w:rsidRPr="00923467">
        <w:t>s</w:t>
      </w:r>
      <w:r w:rsidR="00E61CC2" w:rsidRPr="00923467">
        <w:t xml:space="preserve"> of the </w:t>
      </w:r>
      <w:r w:rsidR="009A1882" w:rsidRPr="00923467">
        <w:t xml:space="preserve">different units under the </w:t>
      </w:r>
      <w:r w:rsidR="00E61CC2" w:rsidRPr="00923467">
        <w:t xml:space="preserve">Department </w:t>
      </w:r>
      <w:r w:rsidR="004C679C" w:rsidRPr="00923467">
        <w:t>during</w:t>
      </w:r>
      <w:r w:rsidR="00E61CC2" w:rsidRPr="00923467">
        <w:t xml:space="preserve"> the 2022 fiscal year:</w:t>
      </w:r>
    </w:p>
    <w:p w14:paraId="1A0A5843" w14:textId="34248D36" w:rsidR="00E9119C" w:rsidRPr="00923467" w:rsidRDefault="00E61CC2" w:rsidP="00923467">
      <w:r w:rsidRPr="00923467">
        <w:t xml:space="preserve">  </w:t>
      </w:r>
    </w:p>
    <w:p w14:paraId="2910E37B" w14:textId="0ABB69BF" w:rsidR="00EA5ACB" w:rsidRPr="00EA5ACB" w:rsidRDefault="009902D9" w:rsidP="00EA5ACB">
      <w:pPr>
        <w:pStyle w:val="Heading3"/>
      </w:pPr>
      <w:bookmarkStart w:id="62" w:name="_Toc137831094"/>
      <w:r w:rsidRPr="00923467">
        <w:t>Software Unit</w:t>
      </w:r>
      <w:bookmarkEnd w:id="62"/>
    </w:p>
    <w:p w14:paraId="2F0C3283" w14:textId="79B273D6" w:rsidR="009902D9" w:rsidRPr="00923467" w:rsidRDefault="009902D9" w:rsidP="00923467">
      <w:pPr>
        <w:pStyle w:val="ListParagraph"/>
        <w:numPr>
          <w:ilvl w:val="0"/>
          <w:numId w:val="26"/>
        </w:numPr>
      </w:pPr>
      <w:r w:rsidRPr="00923467">
        <w:t xml:space="preserve">Supported the specification, development, and implementation of the NTR Mobile Payment </w:t>
      </w:r>
      <w:proofErr w:type="gramStart"/>
      <w:r w:rsidRPr="00923467">
        <w:t>App</w:t>
      </w:r>
      <w:r w:rsidR="00F0271B" w:rsidRPr="00923467">
        <w:t>;</w:t>
      </w:r>
      <w:proofErr w:type="gramEnd"/>
    </w:p>
    <w:p w14:paraId="01FA8524" w14:textId="4492483B" w:rsidR="009902D9" w:rsidRPr="00923467" w:rsidRDefault="009902D9" w:rsidP="00923467">
      <w:pPr>
        <w:pStyle w:val="ListParagraph"/>
        <w:numPr>
          <w:ilvl w:val="0"/>
          <w:numId w:val="26"/>
        </w:numPr>
      </w:pPr>
      <w:r w:rsidRPr="00923467">
        <w:t>Supported the functional teams in the recalibration of all business systems (ASYCUDA, ITAS, ECR, &amp; GP</w:t>
      </w:r>
      <w:proofErr w:type="gramStart"/>
      <w:r w:rsidRPr="00923467">
        <w:t>)</w:t>
      </w:r>
      <w:r w:rsidR="00F0271B" w:rsidRPr="00923467">
        <w:t>;</w:t>
      </w:r>
      <w:proofErr w:type="gramEnd"/>
    </w:p>
    <w:p w14:paraId="4AF32177" w14:textId="364A1ABC" w:rsidR="009902D9" w:rsidRPr="00923467" w:rsidRDefault="009902D9" w:rsidP="00923467">
      <w:pPr>
        <w:pStyle w:val="ListParagraph"/>
        <w:numPr>
          <w:ilvl w:val="0"/>
          <w:numId w:val="26"/>
        </w:numPr>
      </w:pPr>
      <w:r w:rsidRPr="00923467">
        <w:t xml:space="preserve">Supported the development of the NRA data warehouse and the roll-out of dashboards for the ECR </w:t>
      </w:r>
      <w:proofErr w:type="gramStart"/>
      <w:r w:rsidRPr="00923467">
        <w:t>system</w:t>
      </w:r>
      <w:r w:rsidR="00F0271B" w:rsidRPr="00923467">
        <w:t>;</w:t>
      </w:r>
      <w:proofErr w:type="gramEnd"/>
    </w:p>
    <w:p w14:paraId="5A485F5E" w14:textId="4864FD87" w:rsidR="009902D9" w:rsidRPr="00923467" w:rsidRDefault="009902D9" w:rsidP="00923467">
      <w:pPr>
        <w:pStyle w:val="ListParagraph"/>
        <w:numPr>
          <w:ilvl w:val="0"/>
          <w:numId w:val="26"/>
        </w:numPr>
      </w:pPr>
      <w:r w:rsidRPr="00923467">
        <w:t>Supported the maintenance and optimi</w:t>
      </w:r>
      <w:r w:rsidR="00F116A3" w:rsidRPr="00923467">
        <w:t>s</w:t>
      </w:r>
      <w:r w:rsidRPr="00923467">
        <w:t>ation of ITAS, ECR &amp; ASYCUDA World.</w:t>
      </w:r>
    </w:p>
    <w:p w14:paraId="257F765B" w14:textId="6274649A" w:rsidR="009902D9" w:rsidRPr="00923467" w:rsidRDefault="009902D9" w:rsidP="00923467">
      <w:pPr>
        <w:pStyle w:val="ListParagraph"/>
        <w:numPr>
          <w:ilvl w:val="0"/>
          <w:numId w:val="26"/>
        </w:numPr>
      </w:pPr>
      <w:r w:rsidRPr="00923467">
        <w:t>Completed assessment for the implementation of the ECOWAS SIGMAT and awaiting its implementation</w:t>
      </w:r>
      <w:r w:rsidR="00F0271B" w:rsidRPr="00923467">
        <w:t>; and</w:t>
      </w:r>
    </w:p>
    <w:p w14:paraId="4C42696E" w14:textId="59286374" w:rsidR="00A56458" w:rsidRDefault="009902D9" w:rsidP="00923467">
      <w:pPr>
        <w:pStyle w:val="ListParagraph"/>
        <w:numPr>
          <w:ilvl w:val="0"/>
          <w:numId w:val="26"/>
        </w:numPr>
      </w:pPr>
      <w:r w:rsidRPr="00923467">
        <w:t>Supported the functional team in the development of concept note for the enhancement of ASYCUDA World.</w:t>
      </w:r>
    </w:p>
    <w:p w14:paraId="2A63C7BF" w14:textId="77777777" w:rsidR="00EA5ACB" w:rsidRPr="00923467" w:rsidRDefault="00EA5ACB" w:rsidP="00EA5ACB"/>
    <w:p w14:paraId="0A3E5536" w14:textId="070DC80D" w:rsidR="00EA5ACB" w:rsidRPr="00EA5ACB" w:rsidRDefault="00C14FC6" w:rsidP="00EA5ACB">
      <w:pPr>
        <w:pStyle w:val="Heading3"/>
      </w:pPr>
      <w:bookmarkStart w:id="63" w:name="_Toc137831095"/>
      <w:r w:rsidRPr="00923467">
        <w:t xml:space="preserve">Helpdesk </w:t>
      </w:r>
      <w:r w:rsidR="00193B29" w:rsidRPr="00923467">
        <w:t>U</w:t>
      </w:r>
      <w:r w:rsidRPr="00923467">
        <w:t>nit</w:t>
      </w:r>
      <w:bookmarkEnd w:id="63"/>
      <w:r w:rsidRPr="00923467">
        <w:t xml:space="preserve"> </w:t>
      </w:r>
    </w:p>
    <w:p w14:paraId="300A6057" w14:textId="561C5D10" w:rsidR="00BE2C05" w:rsidRPr="00923467" w:rsidRDefault="00BE2C05" w:rsidP="00923467">
      <w:pPr>
        <w:pStyle w:val="ListParagraph"/>
        <w:numPr>
          <w:ilvl w:val="0"/>
          <w:numId w:val="30"/>
        </w:numPr>
      </w:pPr>
      <w:r w:rsidRPr="00923467">
        <w:t xml:space="preserve">Provided effective and efficient </w:t>
      </w:r>
      <w:r w:rsidR="00DF243E" w:rsidRPr="00923467">
        <w:t xml:space="preserve">daily </w:t>
      </w:r>
      <w:proofErr w:type="gramStart"/>
      <w:r w:rsidRPr="00923467">
        <w:t>first-level</w:t>
      </w:r>
      <w:proofErr w:type="gramEnd"/>
      <w:r w:rsidRPr="00923467">
        <w:t xml:space="preserve"> and routine support to staff and other ICT </w:t>
      </w:r>
      <w:proofErr w:type="gramStart"/>
      <w:r w:rsidRPr="00923467">
        <w:t>end-users</w:t>
      </w:r>
      <w:r w:rsidR="00417AB4" w:rsidRPr="00923467">
        <w:t>;</w:t>
      </w:r>
      <w:proofErr w:type="gramEnd"/>
    </w:p>
    <w:p w14:paraId="191EBDC1" w14:textId="36B1B933" w:rsidR="00BE2C05" w:rsidRPr="00923467" w:rsidRDefault="00BE2C05" w:rsidP="00923467">
      <w:pPr>
        <w:pStyle w:val="ListParagraph"/>
        <w:numPr>
          <w:ilvl w:val="0"/>
          <w:numId w:val="30"/>
        </w:numPr>
      </w:pPr>
      <w:r w:rsidRPr="00923467">
        <w:t>Conducted training for staff</w:t>
      </w:r>
      <w:r w:rsidR="000843D2" w:rsidRPr="00923467">
        <w:t xml:space="preserve"> </w:t>
      </w:r>
      <w:r w:rsidRPr="00923467">
        <w:t xml:space="preserve">on basic </w:t>
      </w:r>
      <w:r w:rsidR="000843D2" w:rsidRPr="00923467">
        <w:t>c</w:t>
      </w:r>
      <w:r w:rsidRPr="00923467">
        <w:t xml:space="preserve">omputing and computer </w:t>
      </w:r>
      <w:proofErr w:type="gramStart"/>
      <w:r w:rsidRPr="00923467">
        <w:t>systems</w:t>
      </w:r>
      <w:r w:rsidR="00417AB4" w:rsidRPr="00923467">
        <w:t>;</w:t>
      </w:r>
      <w:proofErr w:type="gramEnd"/>
    </w:p>
    <w:p w14:paraId="4B6247EA" w14:textId="62EC9C80" w:rsidR="00BE2C05" w:rsidRPr="00923467" w:rsidRDefault="00BE2C05" w:rsidP="00923467">
      <w:pPr>
        <w:pStyle w:val="ListParagraph"/>
        <w:numPr>
          <w:ilvl w:val="0"/>
          <w:numId w:val="30"/>
        </w:numPr>
      </w:pPr>
      <w:r w:rsidRPr="00923467">
        <w:t>Facilitated professional (OCA &amp; OCP) training for ICT staff on Oracle Database administration and Oracle Database Vault</w:t>
      </w:r>
      <w:r w:rsidR="00417AB4" w:rsidRPr="00923467">
        <w:t>; and</w:t>
      </w:r>
    </w:p>
    <w:p w14:paraId="323DE502" w14:textId="0B751551" w:rsidR="008326D4" w:rsidRDefault="00271E4D" w:rsidP="00923467">
      <w:pPr>
        <w:pStyle w:val="ListParagraph"/>
      </w:pPr>
      <w:r w:rsidRPr="00923467">
        <w:t>Effective and efficient management of Office365 packages.</w:t>
      </w:r>
    </w:p>
    <w:p w14:paraId="03D6565C" w14:textId="77777777" w:rsidR="00EA5ACB" w:rsidRPr="00923467" w:rsidRDefault="00EA5ACB" w:rsidP="00923467">
      <w:pPr>
        <w:pStyle w:val="ListParagraph"/>
      </w:pPr>
    </w:p>
    <w:p w14:paraId="4B153136" w14:textId="36C04F9F" w:rsidR="00EA5ACB" w:rsidRPr="00EA5ACB" w:rsidRDefault="00FB21FC" w:rsidP="00EA5ACB">
      <w:pPr>
        <w:pStyle w:val="Heading3"/>
      </w:pPr>
      <w:bookmarkStart w:id="64" w:name="_Toc137831096"/>
      <w:r w:rsidRPr="00923467">
        <w:t>Infrastructure Unit</w:t>
      </w:r>
      <w:bookmarkEnd w:id="64"/>
    </w:p>
    <w:p w14:paraId="075BB580" w14:textId="6201B775" w:rsidR="00F5269C" w:rsidRPr="00923467" w:rsidRDefault="00F5269C" w:rsidP="00923467">
      <w:pPr>
        <w:pStyle w:val="ListParagraph"/>
        <w:numPr>
          <w:ilvl w:val="0"/>
          <w:numId w:val="32"/>
        </w:numPr>
      </w:pPr>
      <w:r w:rsidRPr="00923467">
        <w:t xml:space="preserve">Increased internet bandwidth to enhance the availability and accessibility of the various business </w:t>
      </w:r>
      <w:proofErr w:type="gramStart"/>
      <w:r w:rsidRPr="00923467">
        <w:t>systems</w:t>
      </w:r>
      <w:r w:rsidR="008F2748" w:rsidRPr="00923467">
        <w:t>;</w:t>
      </w:r>
      <w:proofErr w:type="gramEnd"/>
    </w:p>
    <w:p w14:paraId="644E9975" w14:textId="3D1FCDD3" w:rsidR="00F5269C" w:rsidRPr="00923467" w:rsidRDefault="00F5269C" w:rsidP="00923467">
      <w:pPr>
        <w:pStyle w:val="ListParagraph"/>
        <w:numPr>
          <w:ilvl w:val="0"/>
          <w:numId w:val="32"/>
        </w:numPr>
      </w:pPr>
      <w:r w:rsidRPr="00923467">
        <w:t xml:space="preserve">Improved backup power supply (i.e., batteries and 30KVA inverter) at the Wellington Street </w:t>
      </w:r>
      <w:r w:rsidR="00271E4D" w:rsidRPr="00923467">
        <w:t>datacentre</w:t>
      </w:r>
      <w:r w:rsidRPr="00923467">
        <w:t xml:space="preserve"> to ensure a stable (24/7) supply of electricity to the </w:t>
      </w:r>
      <w:proofErr w:type="gramStart"/>
      <w:r w:rsidR="00271E4D" w:rsidRPr="00923467">
        <w:t>datacentre</w:t>
      </w:r>
      <w:r w:rsidR="008F2748" w:rsidRPr="00923467">
        <w:t>;</w:t>
      </w:r>
      <w:proofErr w:type="gramEnd"/>
      <w:r w:rsidRPr="00923467">
        <w:t xml:space="preserve"> </w:t>
      </w:r>
    </w:p>
    <w:p w14:paraId="366212EB" w14:textId="20E8161E" w:rsidR="00F5269C" w:rsidRPr="00923467" w:rsidRDefault="00F5269C" w:rsidP="00923467">
      <w:pPr>
        <w:pStyle w:val="ListParagraph"/>
        <w:numPr>
          <w:ilvl w:val="0"/>
          <w:numId w:val="32"/>
        </w:numPr>
      </w:pPr>
      <w:r w:rsidRPr="00923467">
        <w:t>Extended LAN and WAN connectivity to five (5) key NRA office locations (i.e., BOLLONRA building, 38 Wellington Street, 3rd floor of 7 Bathurst Street, R</w:t>
      </w:r>
      <w:r w:rsidR="003B5D32" w:rsidRPr="00923467">
        <w:t>ENSIS</w:t>
      </w:r>
      <w:r w:rsidRPr="00923467">
        <w:t xml:space="preserve"> Building and NCRA</w:t>
      </w:r>
      <w:proofErr w:type="gramStart"/>
      <w:r w:rsidRPr="00923467">
        <w:t>)</w:t>
      </w:r>
      <w:r w:rsidR="00115228" w:rsidRPr="00923467">
        <w:t>;</w:t>
      </w:r>
      <w:proofErr w:type="gramEnd"/>
    </w:p>
    <w:p w14:paraId="6B7C8D0C" w14:textId="07B007E0" w:rsidR="00F5269C" w:rsidRPr="00923467" w:rsidRDefault="00F5269C" w:rsidP="00923467">
      <w:pPr>
        <w:pStyle w:val="ListParagraph"/>
        <w:numPr>
          <w:ilvl w:val="0"/>
          <w:numId w:val="32"/>
        </w:numPr>
      </w:pPr>
      <w:r w:rsidRPr="00923467">
        <w:t xml:space="preserve">Installed redundant (failover) network connectivity at </w:t>
      </w:r>
      <w:r w:rsidR="00EC53EC" w:rsidRPr="00923467">
        <w:t>RENSIS</w:t>
      </w:r>
      <w:r w:rsidRPr="00923467">
        <w:t xml:space="preserve"> and WAMA buildings</w:t>
      </w:r>
      <w:r w:rsidR="00115228" w:rsidRPr="00923467">
        <w:t>; and</w:t>
      </w:r>
    </w:p>
    <w:p w14:paraId="222640AB" w14:textId="62A47E5C" w:rsidR="00193B29" w:rsidRDefault="00F5269C" w:rsidP="00923467">
      <w:pPr>
        <w:pStyle w:val="ListParagraph"/>
        <w:numPr>
          <w:ilvl w:val="0"/>
          <w:numId w:val="32"/>
        </w:numPr>
      </w:pPr>
      <w:r w:rsidRPr="00923467">
        <w:t>Optimized the NRA server infrastructure with failover clustering to ensure improved availability.</w:t>
      </w:r>
      <w:r w:rsidR="00EC53EC" w:rsidRPr="00923467">
        <w:t xml:space="preserve"> </w:t>
      </w:r>
    </w:p>
    <w:p w14:paraId="3BB98E73" w14:textId="77777777" w:rsidR="00EA5ACB" w:rsidRPr="00923467" w:rsidRDefault="00EA5ACB" w:rsidP="00EA5ACB">
      <w:pPr>
        <w:pStyle w:val="ListParagraph"/>
      </w:pPr>
    </w:p>
    <w:p w14:paraId="78FCFFF8" w14:textId="4AC7787D" w:rsidR="00193B29" w:rsidRPr="00923467" w:rsidRDefault="001756E5" w:rsidP="00EF2D32">
      <w:pPr>
        <w:pStyle w:val="Heading3"/>
      </w:pPr>
      <w:bookmarkStart w:id="65" w:name="_Toc137831097"/>
      <w:r w:rsidRPr="00923467">
        <w:t>Security Unit</w:t>
      </w:r>
      <w:bookmarkEnd w:id="65"/>
    </w:p>
    <w:p w14:paraId="752E21BC" w14:textId="1672C583" w:rsidR="00416BC2" w:rsidRPr="00923467" w:rsidRDefault="00416BC2" w:rsidP="00923467">
      <w:pPr>
        <w:pStyle w:val="ListParagraph"/>
        <w:numPr>
          <w:ilvl w:val="0"/>
          <w:numId w:val="33"/>
        </w:numPr>
      </w:pPr>
      <w:r w:rsidRPr="00923467">
        <w:t xml:space="preserve">Completed Vulnerability and Penetration Testing on the Authority’s information systems and IT </w:t>
      </w:r>
      <w:r w:rsidR="008E35E2" w:rsidRPr="00923467">
        <w:t>i</w:t>
      </w:r>
      <w:r w:rsidRPr="00923467">
        <w:t xml:space="preserve">nfrastructure, and all critical security issues addressed; and </w:t>
      </w:r>
    </w:p>
    <w:p w14:paraId="3BBE0F19" w14:textId="1A053FD3" w:rsidR="00E9119C" w:rsidRPr="00923467" w:rsidRDefault="00416BC2" w:rsidP="00923467">
      <w:pPr>
        <w:pStyle w:val="ListParagraph"/>
        <w:numPr>
          <w:ilvl w:val="0"/>
          <w:numId w:val="33"/>
        </w:numPr>
      </w:pPr>
      <w:r w:rsidRPr="00923467">
        <w:t xml:space="preserve">Recommended ICT </w:t>
      </w:r>
      <w:r w:rsidR="008E35E2" w:rsidRPr="00923467">
        <w:t>s</w:t>
      </w:r>
      <w:r w:rsidRPr="00923467">
        <w:t>ecurity tools necessary for the proper implementation of information system security and cybersecurity.</w:t>
      </w:r>
    </w:p>
    <w:p w14:paraId="61898C56" w14:textId="74D9A2F8" w:rsidR="00DB3131" w:rsidRPr="00923467" w:rsidRDefault="00DB3131" w:rsidP="00923467"/>
    <w:p w14:paraId="14BEFE55" w14:textId="7C9A01CD" w:rsidR="00DB3131" w:rsidRPr="00923467" w:rsidRDefault="00DB3131" w:rsidP="00923467"/>
    <w:p w14:paraId="3B4414B4" w14:textId="3DDB015A" w:rsidR="00831C68" w:rsidRPr="00923467" w:rsidRDefault="00831C68" w:rsidP="00923467"/>
    <w:p w14:paraId="65D9CB35" w14:textId="77777777" w:rsidR="00831C68" w:rsidRPr="00923467" w:rsidRDefault="00831C68" w:rsidP="00923467"/>
    <w:p w14:paraId="3C2E057A" w14:textId="77777777" w:rsidR="00E707F1" w:rsidRPr="00923467" w:rsidRDefault="00E707F1" w:rsidP="00923467"/>
    <w:p w14:paraId="581A03A6" w14:textId="589AA758" w:rsidR="00C3417D" w:rsidRPr="00923467" w:rsidRDefault="00496C39" w:rsidP="00923467">
      <w:bookmarkStart w:id="66" w:name="_Hlk131069277"/>
      <w:r w:rsidRPr="00923467">
        <w:br w:type="page"/>
      </w:r>
      <w:bookmarkEnd w:id="66"/>
    </w:p>
    <w:p w14:paraId="300AEDE2" w14:textId="4012C571" w:rsidR="00B04696" w:rsidRPr="00923467" w:rsidRDefault="00496C39" w:rsidP="00EA5ACB">
      <w:pPr>
        <w:pStyle w:val="Heading1"/>
      </w:pPr>
      <w:bookmarkStart w:id="67" w:name="_Toc137831098"/>
      <w:r w:rsidRPr="00923467">
        <w:t>CHAPTER FOUR: SPECIAL RELEVANCE STATISTICS</w:t>
      </w:r>
      <w:bookmarkEnd w:id="67"/>
    </w:p>
    <w:p w14:paraId="47729A64" w14:textId="620334BC" w:rsidR="00B04696" w:rsidRPr="00923467" w:rsidRDefault="00B04696" w:rsidP="00923467">
      <w:pPr>
        <w:pStyle w:val="Heading2"/>
      </w:pPr>
      <w:bookmarkStart w:id="68" w:name="_Toc137831099"/>
      <w:r w:rsidRPr="00923467">
        <w:t>IMPORT STATISTICS</w:t>
      </w:r>
      <w:bookmarkEnd w:id="68"/>
    </w:p>
    <w:p w14:paraId="06822A22" w14:textId="77777777" w:rsidR="00EA5ACB" w:rsidRDefault="00B04696" w:rsidP="00923467">
      <w:r w:rsidRPr="00923467">
        <w:t xml:space="preserve">Statistics on dutiable and non-dutiable imports were extracted from ASYCUDA World and are presented in Tables 17 and 18 respectively. Total imports in 2022 increased by Le 5,225 billion (an increase of 30.6%). Of the total imports in 2022, dutiable imports accounted for 75.0%, and their value increased by 31.0% from Le 12,746 billion in 2021 to Le 16,697 billion in 2022. Similarly, total non-dutiable imports increased by 29.6% from Le 4,301 billion in 2021 to Le 5,575 billion in 2022. </w:t>
      </w:r>
    </w:p>
    <w:p w14:paraId="1299B7FC" w14:textId="2B2D5E2A" w:rsidR="00B04696" w:rsidRPr="00923467" w:rsidRDefault="00B04696" w:rsidP="00923467">
      <w:r w:rsidRPr="00923467">
        <w:t xml:space="preserve">   </w:t>
      </w:r>
    </w:p>
    <w:p w14:paraId="2E34073B" w14:textId="77777777" w:rsidR="00B04696" w:rsidRPr="00923467" w:rsidRDefault="00B04696" w:rsidP="00923467">
      <w:r w:rsidRPr="00923467">
        <w:t xml:space="preserve">As shown in Table 17, there was a decline in the imports value of products under Sections 1A, 2, 4, and “Other Items” category. Machinery and transport equipment (Section 7) recorded the highest increase of 55.6%, followed by chemicals and related products (Section 5) with an increase of 44.7%, and then tobacco (Section 1B) with an increase of 42.8%. In 2022, products under Section 3 accounted for the highest value of dutiable imports (32.0%), followed by products under Section 0 (23.3%), and then Section 7 (17.0%). </w:t>
      </w:r>
      <w:r w:rsidRPr="00923467">
        <w:rPr>
          <w:b/>
          <w:bCs/>
        </w:rPr>
        <w:t xml:space="preserve"> </w:t>
      </w:r>
    </w:p>
    <w:p w14:paraId="1D061D41" w14:textId="77777777" w:rsidR="00B04696" w:rsidRPr="00923467" w:rsidRDefault="00B04696" w:rsidP="00923467"/>
    <w:tbl>
      <w:tblPr>
        <w:tblStyle w:val="GridTable4-Accent5"/>
        <w:tblW w:w="9493" w:type="dxa"/>
        <w:tblLook w:val="04A0" w:firstRow="1" w:lastRow="0" w:firstColumn="1" w:lastColumn="0" w:noHBand="0" w:noVBand="1"/>
      </w:tblPr>
      <w:tblGrid>
        <w:gridCol w:w="4673"/>
        <w:gridCol w:w="1320"/>
        <w:gridCol w:w="1374"/>
        <w:gridCol w:w="1231"/>
        <w:gridCol w:w="897"/>
      </w:tblGrid>
      <w:tr w:rsidR="00EA5ACB" w:rsidRPr="00923467" w14:paraId="60470FED" w14:textId="77777777" w:rsidTr="00EA5AC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3" w:type="dxa"/>
            <w:noWrap/>
            <w:hideMark/>
          </w:tcPr>
          <w:p w14:paraId="584F6315" w14:textId="77777777" w:rsidR="00B04696" w:rsidRPr="00EA5ACB" w:rsidRDefault="00B04696" w:rsidP="00923467">
            <w:pPr>
              <w:rPr>
                <w:b w:val="0"/>
                <w:bCs w:val="0"/>
                <w:sz w:val="18"/>
                <w:szCs w:val="18"/>
              </w:rPr>
            </w:pPr>
            <w:r w:rsidRPr="00EA5ACB">
              <w:rPr>
                <w:b w:val="0"/>
                <w:bCs w:val="0"/>
                <w:sz w:val="18"/>
                <w:szCs w:val="18"/>
              </w:rPr>
              <w:t> SITC Category</w:t>
            </w:r>
          </w:p>
        </w:tc>
        <w:tc>
          <w:tcPr>
            <w:tcW w:w="1319" w:type="dxa"/>
            <w:noWrap/>
            <w:hideMark/>
          </w:tcPr>
          <w:p w14:paraId="7898F68A" w14:textId="77777777" w:rsidR="00B04696" w:rsidRPr="00EA5ACB" w:rsidRDefault="00B04696"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A5ACB">
              <w:rPr>
                <w:sz w:val="18"/>
                <w:szCs w:val="18"/>
              </w:rPr>
              <w:t>2021</w:t>
            </w:r>
          </w:p>
        </w:tc>
        <w:tc>
          <w:tcPr>
            <w:tcW w:w="1374" w:type="dxa"/>
            <w:noWrap/>
            <w:hideMark/>
          </w:tcPr>
          <w:p w14:paraId="1F370B23" w14:textId="77777777" w:rsidR="00B04696" w:rsidRPr="00EA5ACB" w:rsidRDefault="00B04696"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A5ACB">
              <w:rPr>
                <w:sz w:val="18"/>
                <w:szCs w:val="18"/>
              </w:rPr>
              <w:t>2022</w:t>
            </w:r>
          </w:p>
        </w:tc>
        <w:tc>
          <w:tcPr>
            <w:tcW w:w="1230" w:type="dxa"/>
            <w:noWrap/>
            <w:hideMark/>
          </w:tcPr>
          <w:p w14:paraId="1DB31310" w14:textId="77777777" w:rsidR="00B04696" w:rsidRPr="00EA5ACB" w:rsidRDefault="00B04696"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A5ACB">
              <w:rPr>
                <w:sz w:val="18"/>
                <w:szCs w:val="18"/>
              </w:rPr>
              <w:t>Difference</w:t>
            </w:r>
          </w:p>
        </w:tc>
        <w:tc>
          <w:tcPr>
            <w:tcW w:w="897" w:type="dxa"/>
            <w:noWrap/>
            <w:hideMark/>
          </w:tcPr>
          <w:p w14:paraId="79EEFC04" w14:textId="77777777" w:rsidR="00B04696" w:rsidRPr="00EA5ACB" w:rsidRDefault="00B04696"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A5ACB">
              <w:rPr>
                <w:sz w:val="18"/>
                <w:szCs w:val="18"/>
              </w:rPr>
              <w:t>% Diff</w:t>
            </w:r>
          </w:p>
        </w:tc>
      </w:tr>
      <w:tr w:rsidR="00EA5ACB" w:rsidRPr="00923467" w14:paraId="2C8ACBC4" w14:textId="77777777" w:rsidTr="00EA5A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3" w:type="dxa"/>
            <w:noWrap/>
            <w:hideMark/>
          </w:tcPr>
          <w:p w14:paraId="213AD549" w14:textId="77777777" w:rsidR="00B04696" w:rsidRPr="00EA5ACB" w:rsidRDefault="00B04696" w:rsidP="00923467">
            <w:pPr>
              <w:rPr>
                <w:b w:val="0"/>
                <w:bCs w:val="0"/>
                <w:sz w:val="18"/>
                <w:szCs w:val="18"/>
              </w:rPr>
            </w:pPr>
            <w:r w:rsidRPr="00EA5ACB">
              <w:rPr>
                <w:b w:val="0"/>
                <w:bCs w:val="0"/>
                <w:sz w:val="18"/>
                <w:szCs w:val="18"/>
              </w:rPr>
              <w:t>Section 1b - Tobacco</w:t>
            </w:r>
          </w:p>
        </w:tc>
        <w:tc>
          <w:tcPr>
            <w:tcW w:w="1319" w:type="dxa"/>
            <w:noWrap/>
            <w:hideMark/>
          </w:tcPr>
          <w:p w14:paraId="6915115B"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132,518,274</w:t>
            </w:r>
          </w:p>
        </w:tc>
        <w:tc>
          <w:tcPr>
            <w:tcW w:w="1374" w:type="dxa"/>
            <w:noWrap/>
            <w:hideMark/>
          </w:tcPr>
          <w:p w14:paraId="6847C6F8"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189,206,355</w:t>
            </w:r>
          </w:p>
        </w:tc>
        <w:tc>
          <w:tcPr>
            <w:tcW w:w="1230" w:type="dxa"/>
            <w:noWrap/>
            <w:hideMark/>
          </w:tcPr>
          <w:p w14:paraId="24A8FC0D"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56,688,082</w:t>
            </w:r>
          </w:p>
        </w:tc>
        <w:tc>
          <w:tcPr>
            <w:tcW w:w="897" w:type="dxa"/>
            <w:noWrap/>
            <w:hideMark/>
          </w:tcPr>
          <w:p w14:paraId="01DA3E0B"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42.8%</w:t>
            </w:r>
          </w:p>
        </w:tc>
      </w:tr>
      <w:tr w:rsidR="00EA5ACB" w:rsidRPr="00923467" w14:paraId="616308B8" w14:textId="77777777" w:rsidTr="00EA5ACB">
        <w:trPr>
          <w:trHeight w:val="300"/>
        </w:trPr>
        <w:tc>
          <w:tcPr>
            <w:cnfStyle w:val="001000000000" w:firstRow="0" w:lastRow="0" w:firstColumn="1" w:lastColumn="0" w:oddVBand="0" w:evenVBand="0" w:oddHBand="0" w:evenHBand="0" w:firstRowFirstColumn="0" w:firstRowLastColumn="0" w:lastRowFirstColumn="0" w:lastRowLastColumn="0"/>
            <w:tcW w:w="4673" w:type="dxa"/>
            <w:noWrap/>
            <w:hideMark/>
          </w:tcPr>
          <w:p w14:paraId="63B7F8A4" w14:textId="77777777" w:rsidR="00B04696" w:rsidRPr="00EA5ACB" w:rsidRDefault="00B04696" w:rsidP="00923467">
            <w:pPr>
              <w:rPr>
                <w:b w:val="0"/>
                <w:bCs w:val="0"/>
                <w:sz w:val="18"/>
                <w:szCs w:val="18"/>
              </w:rPr>
            </w:pPr>
            <w:r w:rsidRPr="00EA5ACB">
              <w:rPr>
                <w:b w:val="0"/>
                <w:bCs w:val="0"/>
                <w:sz w:val="18"/>
                <w:szCs w:val="18"/>
              </w:rPr>
              <w:t>Section 0 - Food and Live Animals</w:t>
            </w:r>
          </w:p>
        </w:tc>
        <w:tc>
          <w:tcPr>
            <w:tcW w:w="1319" w:type="dxa"/>
            <w:noWrap/>
            <w:hideMark/>
          </w:tcPr>
          <w:p w14:paraId="23CAA5A3"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2,812,847,854</w:t>
            </w:r>
          </w:p>
        </w:tc>
        <w:tc>
          <w:tcPr>
            <w:tcW w:w="1374" w:type="dxa"/>
            <w:noWrap/>
            <w:hideMark/>
          </w:tcPr>
          <w:p w14:paraId="304133EF"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3,894,001,730</w:t>
            </w:r>
          </w:p>
        </w:tc>
        <w:tc>
          <w:tcPr>
            <w:tcW w:w="1230" w:type="dxa"/>
            <w:noWrap/>
            <w:hideMark/>
          </w:tcPr>
          <w:p w14:paraId="507229DF"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1,081,153,876</w:t>
            </w:r>
          </w:p>
        </w:tc>
        <w:tc>
          <w:tcPr>
            <w:tcW w:w="897" w:type="dxa"/>
            <w:noWrap/>
            <w:hideMark/>
          </w:tcPr>
          <w:p w14:paraId="46BD25E1"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38.4%</w:t>
            </w:r>
          </w:p>
        </w:tc>
      </w:tr>
      <w:tr w:rsidR="00EA5ACB" w:rsidRPr="00923467" w14:paraId="5420155D" w14:textId="77777777" w:rsidTr="00EA5A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3" w:type="dxa"/>
            <w:noWrap/>
            <w:hideMark/>
          </w:tcPr>
          <w:p w14:paraId="2F526ED6" w14:textId="77777777" w:rsidR="00B04696" w:rsidRPr="00EA5ACB" w:rsidRDefault="00B04696" w:rsidP="00923467">
            <w:pPr>
              <w:rPr>
                <w:b w:val="0"/>
                <w:bCs w:val="0"/>
                <w:sz w:val="18"/>
                <w:szCs w:val="18"/>
              </w:rPr>
            </w:pPr>
            <w:r w:rsidRPr="00EA5ACB">
              <w:rPr>
                <w:b w:val="0"/>
                <w:bCs w:val="0"/>
                <w:sz w:val="18"/>
                <w:szCs w:val="18"/>
              </w:rPr>
              <w:t>Section 7 - Machinery and Transport Equipment</w:t>
            </w:r>
          </w:p>
        </w:tc>
        <w:tc>
          <w:tcPr>
            <w:tcW w:w="1319" w:type="dxa"/>
            <w:noWrap/>
            <w:hideMark/>
          </w:tcPr>
          <w:p w14:paraId="0872C21D"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1,819,484,630</w:t>
            </w:r>
          </w:p>
        </w:tc>
        <w:tc>
          <w:tcPr>
            <w:tcW w:w="1374" w:type="dxa"/>
            <w:noWrap/>
            <w:hideMark/>
          </w:tcPr>
          <w:p w14:paraId="358D991E"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2,831,645,570</w:t>
            </w:r>
          </w:p>
        </w:tc>
        <w:tc>
          <w:tcPr>
            <w:tcW w:w="1230" w:type="dxa"/>
            <w:noWrap/>
            <w:hideMark/>
          </w:tcPr>
          <w:p w14:paraId="1437F1C9"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1,012,160,940</w:t>
            </w:r>
          </w:p>
        </w:tc>
        <w:tc>
          <w:tcPr>
            <w:tcW w:w="897" w:type="dxa"/>
            <w:noWrap/>
            <w:hideMark/>
          </w:tcPr>
          <w:p w14:paraId="41437659"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55.6%</w:t>
            </w:r>
          </w:p>
        </w:tc>
      </w:tr>
      <w:tr w:rsidR="00EA5ACB" w:rsidRPr="00923467" w14:paraId="06689514" w14:textId="77777777" w:rsidTr="00EA5ACB">
        <w:trPr>
          <w:trHeight w:val="300"/>
        </w:trPr>
        <w:tc>
          <w:tcPr>
            <w:cnfStyle w:val="001000000000" w:firstRow="0" w:lastRow="0" w:firstColumn="1" w:lastColumn="0" w:oddVBand="0" w:evenVBand="0" w:oddHBand="0" w:evenHBand="0" w:firstRowFirstColumn="0" w:firstRowLastColumn="0" w:lastRowFirstColumn="0" w:lastRowLastColumn="0"/>
            <w:tcW w:w="4673" w:type="dxa"/>
            <w:noWrap/>
            <w:hideMark/>
          </w:tcPr>
          <w:p w14:paraId="6DE0733D" w14:textId="77777777" w:rsidR="00B04696" w:rsidRPr="00EA5ACB" w:rsidRDefault="00B04696" w:rsidP="00923467">
            <w:pPr>
              <w:rPr>
                <w:b w:val="0"/>
                <w:bCs w:val="0"/>
                <w:sz w:val="18"/>
                <w:szCs w:val="18"/>
              </w:rPr>
            </w:pPr>
            <w:r w:rsidRPr="00EA5ACB">
              <w:rPr>
                <w:b w:val="0"/>
                <w:bCs w:val="0"/>
                <w:sz w:val="18"/>
                <w:szCs w:val="18"/>
              </w:rPr>
              <w:t>Section 8 - Miscellaneous Manufactured Articles</w:t>
            </w:r>
          </w:p>
        </w:tc>
        <w:tc>
          <w:tcPr>
            <w:tcW w:w="1319" w:type="dxa"/>
            <w:noWrap/>
            <w:hideMark/>
          </w:tcPr>
          <w:p w14:paraId="56B1DEEC"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746,280,674</w:t>
            </w:r>
          </w:p>
        </w:tc>
        <w:tc>
          <w:tcPr>
            <w:tcW w:w="1374" w:type="dxa"/>
            <w:noWrap/>
            <w:hideMark/>
          </w:tcPr>
          <w:p w14:paraId="00C1F601"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918,664,269</w:t>
            </w:r>
          </w:p>
        </w:tc>
        <w:tc>
          <w:tcPr>
            <w:tcW w:w="1230" w:type="dxa"/>
            <w:noWrap/>
            <w:hideMark/>
          </w:tcPr>
          <w:p w14:paraId="2C0737EA"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172,383,596</w:t>
            </w:r>
          </w:p>
        </w:tc>
        <w:tc>
          <w:tcPr>
            <w:tcW w:w="897" w:type="dxa"/>
            <w:noWrap/>
            <w:hideMark/>
          </w:tcPr>
          <w:p w14:paraId="2BF8E4A7"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23.1%</w:t>
            </w:r>
          </w:p>
        </w:tc>
      </w:tr>
      <w:tr w:rsidR="00EA5ACB" w:rsidRPr="00923467" w14:paraId="4F6B4FFD" w14:textId="77777777" w:rsidTr="00EA5A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3" w:type="dxa"/>
            <w:noWrap/>
            <w:hideMark/>
          </w:tcPr>
          <w:p w14:paraId="752BD726" w14:textId="77777777" w:rsidR="00B04696" w:rsidRPr="00EA5ACB" w:rsidRDefault="00B04696" w:rsidP="00923467">
            <w:pPr>
              <w:rPr>
                <w:b w:val="0"/>
                <w:bCs w:val="0"/>
                <w:sz w:val="18"/>
                <w:szCs w:val="18"/>
              </w:rPr>
            </w:pPr>
            <w:r w:rsidRPr="00EA5ACB">
              <w:rPr>
                <w:b w:val="0"/>
                <w:bCs w:val="0"/>
                <w:sz w:val="18"/>
                <w:szCs w:val="18"/>
              </w:rPr>
              <w:t>Section 1a - Beverages</w:t>
            </w:r>
          </w:p>
        </w:tc>
        <w:tc>
          <w:tcPr>
            <w:tcW w:w="1319" w:type="dxa"/>
            <w:noWrap/>
            <w:hideMark/>
          </w:tcPr>
          <w:p w14:paraId="2DE9BBD0"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113,583,005</w:t>
            </w:r>
          </w:p>
        </w:tc>
        <w:tc>
          <w:tcPr>
            <w:tcW w:w="1374" w:type="dxa"/>
            <w:noWrap/>
            <w:hideMark/>
          </w:tcPr>
          <w:p w14:paraId="7AD6E51D"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95,485,121</w:t>
            </w:r>
          </w:p>
        </w:tc>
        <w:tc>
          <w:tcPr>
            <w:tcW w:w="1230" w:type="dxa"/>
            <w:noWrap/>
            <w:hideMark/>
          </w:tcPr>
          <w:p w14:paraId="21207F79"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(18,097,883)</w:t>
            </w:r>
          </w:p>
        </w:tc>
        <w:tc>
          <w:tcPr>
            <w:tcW w:w="897" w:type="dxa"/>
            <w:noWrap/>
            <w:hideMark/>
          </w:tcPr>
          <w:p w14:paraId="76C71B32"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-15.9%</w:t>
            </w:r>
          </w:p>
        </w:tc>
      </w:tr>
      <w:tr w:rsidR="00EA5ACB" w:rsidRPr="00923467" w14:paraId="1AA2C1A6" w14:textId="77777777" w:rsidTr="00EA5ACB">
        <w:trPr>
          <w:trHeight w:val="300"/>
        </w:trPr>
        <w:tc>
          <w:tcPr>
            <w:cnfStyle w:val="001000000000" w:firstRow="0" w:lastRow="0" w:firstColumn="1" w:lastColumn="0" w:oddVBand="0" w:evenVBand="0" w:oddHBand="0" w:evenHBand="0" w:firstRowFirstColumn="0" w:firstRowLastColumn="0" w:lastRowFirstColumn="0" w:lastRowLastColumn="0"/>
            <w:tcW w:w="4673" w:type="dxa"/>
            <w:noWrap/>
            <w:hideMark/>
          </w:tcPr>
          <w:p w14:paraId="62E87C71" w14:textId="77777777" w:rsidR="00B04696" w:rsidRPr="00EA5ACB" w:rsidRDefault="00B04696" w:rsidP="00923467">
            <w:pPr>
              <w:rPr>
                <w:b w:val="0"/>
                <w:bCs w:val="0"/>
                <w:sz w:val="18"/>
                <w:szCs w:val="18"/>
              </w:rPr>
            </w:pPr>
            <w:r w:rsidRPr="00EA5ACB">
              <w:rPr>
                <w:b w:val="0"/>
                <w:bCs w:val="0"/>
                <w:sz w:val="18"/>
                <w:szCs w:val="18"/>
              </w:rPr>
              <w:t>Other Items</w:t>
            </w:r>
          </w:p>
        </w:tc>
        <w:tc>
          <w:tcPr>
            <w:tcW w:w="1319" w:type="dxa"/>
            <w:noWrap/>
            <w:hideMark/>
          </w:tcPr>
          <w:p w14:paraId="0BFAEB99"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85,682,943</w:t>
            </w:r>
          </w:p>
        </w:tc>
        <w:tc>
          <w:tcPr>
            <w:tcW w:w="1374" w:type="dxa"/>
            <w:noWrap/>
            <w:hideMark/>
          </w:tcPr>
          <w:p w14:paraId="342CF951"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80,995,563</w:t>
            </w:r>
          </w:p>
        </w:tc>
        <w:tc>
          <w:tcPr>
            <w:tcW w:w="1230" w:type="dxa"/>
            <w:noWrap/>
            <w:hideMark/>
          </w:tcPr>
          <w:p w14:paraId="3C655CC3"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(4,687,380)</w:t>
            </w:r>
          </w:p>
        </w:tc>
        <w:tc>
          <w:tcPr>
            <w:tcW w:w="897" w:type="dxa"/>
            <w:noWrap/>
            <w:hideMark/>
          </w:tcPr>
          <w:p w14:paraId="17A4717F"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-5.5%</w:t>
            </w:r>
          </w:p>
        </w:tc>
      </w:tr>
      <w:tr w:rsidR="00EA5ACB" w:rsidRPr="00923467" w14:paraId="27BF6137" w14:textId="77777777" w:rsidTr="00EA5A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3" w:type="dxa"/>
            <w:noWrap/>
            <w:hideMark/>
          </w:tcPr>
          <w:p w14:paraId="70EBACBB" w14:textId="77777777" w:rsidR="00B04696" w:rsidRPr="00EA5ACB" w:rsidRDefault="00B04696" w:rsidP="00923467">
            <w:pPr>
              <w:rPr>
                <w:b w:val="0"/>
                <w:bCs w:val="0"/>
                <w:sz w:val="18"/>
                <w:szCs w:val="18"/>
              </w:rPr>
            </w:pPr>
            <w:r w:rsidRPr="00EA5ACB">
              <w:rPr>
                <w:b w:val="0"/>
                <w:bCs w:val="0"/>
                <w:sz w:val="18"/>
                <w:szCs w:val="18"/>
              </w:rPr>
              <w:t xml:space="preserve">Section 4 - Animal and Vegetable Oils, Fats </w:t>
            </w:r>
            <w:proofErr w:type="gramStart"/>
            <w:r w:rsidRPr="00EA5ACB">
              <w:rPr>
                <w:b w:val="0"/>
                <w:bCs w:val="0"/>
                <w:sz w:val="18"/>
                <w:szCs w:val="18"/>
              </w:rPr>
              <w:t>And</w:t>
            </w:r>
            <w:proofErr w:type="gramEnd"/>
            <w:r w:rsidRPr="00EA5ACB">
              <w:rPr>
                <w:b w:val="0"/>
                <w:bCs w:val="0"/>
                <w:sz w:val="18"/>
                <w:szCs w:val="18"/>
              </w:rPr>
              <w:t xml:space="preserve"> Waxes</w:t>
            </w:r>
          </w:p>
        </w:tc>
        <w:tc>
          <w:tcPr>
            <w:tcW w:w="1319" w:type="dxa"/>
            <w:noWrap/>
            <w:hideMark/>
          </w:tcPr>
          <w:p w14:paraId="1C4E8150"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5,350,303</w:t>
            </w:r>
          </w:p>
        </w:tc>
        <w:tc>
          <w:tcPr>
            <w:tcW w:w="1374" w:type="dxa"/>
            <w:noWrap/>
            <w:hideMark/>
          </w:tcPr>
          <w:p w14:paraId="0AC3ABD0"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1,558,746</w:t>
            </w:r>
          </w:p>
        </w:tc>
        <w:tc>
          <w:tcPr>
            <w:tcW w:w="1230" w:type="dxa"/>
            <w:noWrap/>
            <w:hideMark/>
          </w:tcPr>
          <w:p w14:paraId="0FA3048F"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(3,791,557)</w:t>
            </w:r>
          </w:p>
        </w:tc>
        <w:tc>
          <w:tcPr>
            <w:tcW w:w="897" w:type="dxa"/>
            <w:noWrap/>
            <w:hideMark/>
          </w:tcPr>
          <w:p w14:paraId="7BF2AC0D"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-70.9%</w:t>
            </w:r>
          </w:p>
        </w:tc>
      </w:tr>
      <w:tr w:rsidR="00EA5ACB" w:rsidRPr="00923467" w14:paraId="0DD01B6D" w14:textId="77777777" w:rsidTr="00EA5ACB">
        <w:trPr>
          <w:trHeight w:val="300"/>
        </w:trPr>
        <w:tc>
          <w:tcPr>
            <w:cnfStyle w:val="001000000000" w:firstRow="0" w:lastRow="0" w:firstColumn="1" w:lastColumn="0" w:oddVBand="0" w:evenVBand="0" w:oddHBand="0" w:evenHBand="0" w:firstRowFirstColumn="0" w:firstRowLastColumn="0" w:lastRowFirstColumn="0" w:lastRowLastColumn="0"/>
            <w:tcW w:w="4673" w:type="dxa"/>
            <w:noWrap/>
            <w:hideMark/>
          </w:tcPr>
          <w:p w14:paraId="7401436F" w14:textId="77777777" w:rsidR="00B04696" w:rsidRPr="00EA5ACB" w:rsidRDefault="00B04696" w:rsidP="00923467">
            <w:pPr>
              <w:rPr>
                <w:b w:val="0"/>
                <w:bCs w:val="0"/>
                <w:sz w:val="18"/>
                <w:szCs w:val="18"/>
              </w:rPr>
            </w:pPr>
            <w:r w:rsidRPr="00EA5ACB">
              <w:rPr>
                <w:b w:val="0"/>
                <w:bCs w:val="0"/>
                <w:sz w:val="18"/>
                <w:szCs w:val="18"/>
              </w:rPr>
              <w:t>Section 2 - Crude Materials, Inedible, Except Fuels</w:t>
            </w:r>
          </w:p>
        </w:tc>
        <w:tc>
          <w:tcPr>
            <w:tcW w:w="1319" w:type="dxa"/>
            <w:noWrap/>
            <w:hideMark/>
          </w:tcPr>
          <w:p w14:paraId="6F84EBF6"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207,910,174</w:t>
            </w:r>
          </w:p>
        </w:tc>
        <w:tc>
          <w:tcPr>
            <w:tcW w:w="1374" w:type="dxa"/>
            <w:noWrap/>
            <w:hideMark/>
          </w:tcPr>
          <w:p w14:paraId="595D3945"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179,141,395</w:t>
            </w:r>
          </w:p>
        </w:tc>
        <w:tc>
          <w:tcPr>
            <w:tcW w:w="1230" w:type="dxa"/>
            <w:noWrap/>
            <w:hideMark/>
          </w:tcPr>
          <w:p w14:paraId="686B0479"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(28,768,780)</w:t>
            </w:r>
          </w:p>
        </w:tc>
        <w:tc>
          <w:tcPr>
            <w:tcW w:w="897" w:type="dxa"/>
            <w:noWrap/>
            <w:hideMark/>
          </w:tcPr>
          <w:p w14:paraId="6C979230"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-13.8%</w:t>
            </w:r>
          </w:p>
        </w:tc>
      </w:tr>
      <w:tr w:rsidR="00EA5ACB" w:rsidRPr="00923467" w14:paraId="6D5D9BC0" w14:textId="77777777" w:rsidTr="00EA5A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3" w:type="dxa"/>
            <w:noWrap/>
            <w:hideMark/>
          </w:tcPr>
          <w:p w14:paraId="03B8CBF0" w14:textId="77777777" w:rsidR="00B04696" w:rsidRPr="00EA5ACB" w:rsidRDefault="00B04696" w:rsidP="00923467">
            <w:pPr>
              <w:rPr>
                <w:b w:val="0"/>
                <w:bCs w:val="0"/>
                <w:sz w:val="18"/>
                <w:szCs w:val="18"/>
              </w:rPr>
            </w:pPr>
            <w:r w:rsidRPr="00EA5ACB">
              <w:rPr>
                <w:b w:val="0"/>
                <w:bCs w:val="0"/>
                <w:sz w:val="18"/>
                <w:szCs w:val="18"/>
              </w:rPr>
              <w:t>Section 6 - Manufactured Goods Classified Chiefly by Material</w:t>
            </w:r>
          </w:p>
        </w:tc>
        <w:tc>
          <w:tcPr>
            <w:tcW w:w="1319" w:type="dxa"/>
            <w:noWrap/>
            <w:hideMark/>
          </w:tcPr>
          <w:p w14:paraId="63747786"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1,617,479,788</w:t>
            </w:r>
          </w:p>
        </w:tc>
        <w:tc>
          <w:tcPr>
            <w:tcW w:w="1374" w:type="dxa"/>
            <w:noWrap/>
            <w:hideMark/>
          </w:tcPr>
          <w:p w14:paraId="061A3882"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2,192,932,351</w:t>
            </w:r>
          </w:p>
        </w:tc>
        <w:tc>
          <w:tcPr>
            <w:tcW w:w="1230" w:type="dxa"/>
            <w:noWrap/>
            <w:hideMark/>
          </w:tcPr>
          <w:p w14:paraId="36F68B20"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575,452,563</w:t>
            </w:r>
          </w:p>
        </w:tc>
        <w:tc>
          <w:tcPr>
            <w:tcW w:w="897" w:type="dxa"/>
            <w:noWrap/>
            <w:hideMark/>
          </w:tcPr>
          <w:p w14:paraId="2B44116F"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35.6%</w:t>
            </w:r>
          </w:p>
        </w:tc>
      </w:tr>
      <w:tr w:rsidR="00EA5ACB" w:rsidRPr="00923467" w14:paraId="455B2911" w14:textId="77777777" w:rsidTr="00EA5ACB">
        <w:trPr>
          <w:trHeight w:val="300"/>
        </w:trPr>
        <w:tc>
          <w:tcPr>
            <w:cnfStyle w:val="001000000000" w:firstRow="0" w:lastRow="0" w:firstColumn="1" w:lastColumn="0" w:oddVBand="0" w:evenVBand="0" w:oddHBand="0" w:evenHBand="0" w:firstRowFirstColumn="0" w:firstRowLastColumn="0" w:lastRowFirstColumn="0" w:lastRowLastColumn="0"/>
            <w:tcW w:w="4673" w:type="dxa"/>
            <w:noWrap/>
            <w:hideMark/>
          </w:tcPr>
          <w:p w14:paraId="3B2CF914" w14:textId="77777777" w:rsidR="00B04696" w:rsidRPr="00EA5ACB" w:rsidRDefault="00B04696" w:rsidP="00923467">
            <w:pPr>
              <w:rPr>
                <w:b w:val="0"/>
                <w:bCs w:val="0"/>
                <w:sz w:val="18"/>
                <w:szCs w:val="18"/>
              </w:rPr>
            </w:pPr>
            <w:r w:rsidRPr="00EA5ACB">
              <w:rPr>
                <w:b w:val="0"/>
                <w:bCs w:val="0"/>
                <w:sz w:val="18"/>
                <w:szCs w:val="18"/>
              </w:rPr>
              <w:t>Section 5 - Chemicals and Related Products, N.E.S.</w:t>
            </w:r>
          </w:p>
        </w:tc>
        <w:tc>
          <w:tcPr>
            <w:tcW w:w="1319" w:type="dxa"/>
            <w:noWrap/>
            <w:hideMark/>
          </w:tcPr>
          <w:p w14:paraId="475C567F"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670,050,210</w:t>
            </w:r>
          </w:p>
        </w:tc>
        <w:tc>
          <w:tcPr>
            <w:tcW w:w="1374" w:type="dxa"/>
            <w:noWrap/>
            <w:hideMark/>
          </w:tcPr>
          <w:p w14:paraId="3C6F24FF"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969,833,813</w:t>
            </w:r>
          </w:p>
        </w:tc>
        <w:tc>
          <w:tcPr>
            <w:tcW w:w="1230" w:type="dxa"/>
            <w:noWrap/>
            <w:hideMark/>
          </w:tcPr>
          <w:p w14:paraId="0EEB22D5"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299,783,603</w:t>
            </w:r>
          </w:p>
        </w:tc>
        <w:tc>
          <w:tcPr>
            <w:tcW w:w="897" w:type="dxa"/>
            <w:noWrap/>
            <w:hideMark/>
          </w:tcPr>
          <w:p w14:paraId="6DA3F0D6"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44.7%</w:t>
            </w:r>
          </w:p>
        </w:tc>
      </w:tr>
      <w:tr w:rsidR="00EA5ACB" w:rsidRPr="00923467" w14:paraId="5B882881" w14:textId="77777777" w:rsidTr="00EA5A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73" w:type="dxa"/>
            <w:noWrap/>
            <w:hideMark/>
          </w:tcPr>
          <w:p w14:paraId="55435D99" w14:textId="77777777" w:rsidR="00B04696" w:rsidRPr="00EA5ACB" w:rsidRDefault="00B04696" w:rsidP="00923467">
            <w:pPr>
              <w:rPr>
                <w:b w:val="0"/>
                <w:bCs w:val="0"/>
                <w:sz w:val="18"/>
                <w:szCs w:val="18"/>
              </w:rPr>
            </w:pPr>
            <w:r w:rsidRPr="00EA5ACB">
              <w:rPr>
                <w:b w:val="0"/>
                <w:bCs w:val="0"/>
                <w:sz w:val="18"/>
                <w:szCs w:val="18"/>
              </w:rPr>
              <w:t>Section 3 - Mineral Fuels, Lubricants and Related Materials</w:t>
            </w:r>
          </w:p>
        </w:tc>
        <w:tc>
          <w:tcPr>
            <w:tcW w:w="1319" w:type="dxa"/>
            <w:noWrap/>
            <w:hideMark/>
          </w:tcPr>
          <w:p w14:paraId="146A8A0E"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4,535,055,539</w:t>
            </w:r>
          </w:p>
        </w:tc>
        <w:tc>
          <w:tcPr>
            <w:tcW w:w="1374" w:type="dxa"/>
            <w:noWrap/>
            <w:hideMark/>
          </w:tcPr>
          <w:p w14:paraId="563EFBE6"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5,343,114,150</w:t>
            </w:r>
          </w:p>
        </w:tc>
        <w:tc>
          <w:tcPr>
            <w:tcW w:w="1230" w:type="dxa"/>
            <w:noWrap/>
            <w:hideMark/>
          </w:tcPr>
          <w:p w14:paraId="495284F7"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808,058,611</w:t>
            </w:r>
          </w:p>
        </w:tc>
        <w:tc>
          <w:tcPr>
            <w:tcW w:w="897" w:type="dxa"/>
            <w:noWrap/>
            <w:hideMark/>
          </w:tcPr>
          <w:p w14:paraId="7DC3CC79"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17.8%</w:t>
            </w:r>
          </w:p>
        </w:tc>
      </w:tr>
      <w:tr w:rsidR="00EA5ACB" w:rsidRPr="00923467" w14:paraId="52956D50" w14:textId="77777777" w:rsidTr="00EA5ACB">
        <w:trPr>
          <w:trHeight w:val="315"/>
        </w:trPr>
        <w:tc>
          <w:tcPr>
            <w:cnfStyle w:val="001000000000" w:firstRow="0" w:lastRow="0" w:firstColumn="1" w:lastColumn="0" w:oddVBand="0" w:evenVBand="0" w:oddHBand="0" w:evenHBand="0" w:firstRowFirstColumn="0" w:firstRowLastColumn="0" w:lastRowFirstColumn="0" w:lastRowLastColumn="0"/>
            <w:tcW w:w="4673" w:type="dxa"/>
            <w:noWrap/>
            <w:hideMark/>
          </w:tcPr>
          <w:p w14:paraId="1186C218" w14:textId="77777777" w:rsidR="00B04696" w:rsidRPr="00EA5ACB" w:rsidRDefault="00B04696" w:rsidP="00923467">
            <w:pPr>
              <w:rPr>
                <w:sz w:val="18"/>
                <w:szCs w:val="18"/>
              </w:rPr>
            </w:pPr>
            <w:r w:rsidRPr="00EA5ACB">
              <w:rPr>
                <w:sz w:val="18"/>
                <w:szCs w:val="18"/>
              </w:rPr>
              <w:t>Total</w:t>
            </w:r>
          </w:p>
        </w:tc>
        <w:tc>
          <w:tcPr>
            <w:tcW w:w="1319" w:type="dxa"/>
            <w:noWrap/>
            <w:hideMark/>
          </w:tcPr>
          <w:p w14:paraId="79D0D567" w14:textId="77777777" w:rsidR="00B04696" w:rsidRPr="00542064" w:rsidRDefault="00B0469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542064">
              <w:rPr>
                <w:b/>
                <w:bCs/>
                <w:sz w:val="18"/>
                <w:szCs w:val="18"/>
              </w:rPr>
              <w:t>12,746,243,391</w:t>
            </w:r>
          </w:p>
        </w:tc>
        <w:tc>
          <w:tcPr>
            <w:tcW w:w="1374" w:type="dxa"/>
            <w:noWrap/>
            <w:hideMark/>
          </w:tcPr>
          <w:p w14:paraId="5B97C395" w14:textId="77777777" w:rsidR="00B04696" w:rsidRPr="00542064" w:rsidRDefault="00B0469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542064">
              <w:rPr>
                <w:b/>
                <w:bCs/>
                <w:sz w:val="18"/>
                <w:szCs w:val="18"/>
              </w:rPr>
              <w:t>16,696,579,062</w:t>
            </w:r>
          </w:p>
        </w:tc>
        <w:tc>
          <w:tcPr>
            <w:tcW w:w="1230" w:type="dxa"/>
            <w:noWrap/>
            <w:hideMark/>
          </w:tcPr>
          <w:p w14:paraId="68370C02" w14:textId="77777777" w:rsidR="00B04696" w:rsidRPr="00542064" w:rsidRDefault="00B0469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542064">
              <w:rPr>
                <w:b/>
                <w:bCs/>
                <w:sz w:val="18"/>
                <w:szCs w:val="18"/>
              </w:rPr>
              <w:t>3,950,335,671</w:t>
            </w:r>
          </w:p>
        </w:tc>
        <w:tc>
          <w:tcPr>
            <w:tcW w:w="897" w:type="dxa"/>
            <w:noWrap/>
            <w:hideMark/>
          </w:tcPr>
          <w:p w14:paraId="22D4A39C" w14:textId="77777777" w:rsidR="00B04696" w:rsidRPr="00542064" w:rsidRDefault="00B0469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542064">
              <w:rPr>
                <w:b/>
                <w:bCs/>
                <w:sz w:val="18"/>
                <w:szCs w:val="18"/>
              </w:rPr>
              <w:t>31.0%</w:t>
            </w:r>
          </w:p>
        </w:tc>
      </w:tr>
    </w:tbl>
    <w:p w14:paraId="498F8781" w14:textId="03C56C5F" w:rsidR="00B04696" w:rsidRPr="00923467" w:rsidRDefault="00B04696" w:rsidP="00923467">
      <w:pPr>
        <w:pStyle w:val="Caption"/>
      </w:pPr>
      <w:bookmarkStart w:id="69" w:name="_Toc137831143"/>
      <w:r w:rsidRPr="00923467">
        <w:t xml:space="preserve">Table </w:t>
      </w:r>
      <w:r w:rsidRPr="00923467">
        <w:fldChar w:fldCharType="begin"/>
      </w:r>
      <w:r w:rsidRPr="00923467">
        <w:instrText xml:space="preserve"> SEQ Table \* ARABIC </w:instrText>
      </w:r>
      <w:r w:rsidRPr="00923467">
        <w:fldChar w:fldCharType="separate"/>
      </w:r>
      <w:r w:rsidR="00E12E6B">
        <w:rPr>
          <w:noProof/>
        </w:rPr>
        <w:t>14</w:t>
      </w:r>
      <w:r w:rsidRPr="00923467">
        <w:fldChar w:fldCharType="end"/>
      </w:r>
      <w:r w:rsidRPr="00923467">
        <w:t>: Dutiable Imports in 2021 and 2022</w:t>
      </w:r>
      <w:bookmarkEnd w:id="69"/>
    </w:p>
    <w:p w14:paraId="224E39DB" w14:textId="77777777" w:rsidR="00B04696" w:rsidRPr="00EA5ACB" w:rsidRDefault="00B04696" w:rsidP="00923467">
      <w:pPr>
        <w:rPr>
          <w:sz w:val="16"/>
          <w:szCs w:val="16"/>
        </w:rPr>
      </w:pPr>
      <w:r w:rsidRPr="00EA5ACB">
        <w:rPr>
          <w:sz w:val="16"/>
          <w:szCs w:val="16"/>
        </w:rPr>
        <w:t>Source: ASYCUDA World</w:t>
      </w:r>
    </w:p>
    <w:p w14:paraId="2E0E3FCE" w14:textId="77777777" w:rsidR="00B04696" w:rsidRPr="00923467" w:rsidRDefault="00B04696" w:rsidP="00923467"/>
    <w:p w14:paraId="5469DB8F" w14:textId="77777777" w:rsidR="00EA5ACB" w:rsidRDefault="00B04696" w:rsidP="00923467">
      <w:r w:rsidRPr="00923467">
        <w:t>From Table 17, there was a decline in the imports value of products under Sections 8 and Sections 5. Beverages (Section 1A) recorded the highest increase followed by products under Section 3, and then “Other Items”. Machinery and transport equipment (Section 7) accounted for the highest value of non-dutiable imports (42.3%) in 2022, followed by products under Section 5 (19.8%) and Section 6 (15.3%) respectively.</w:t>
      </w:r>
    </w:p>
    <w:p w14:paraId="73B292FB" w14:textId="6D042E1C" w:rsidR="00B04696" w:rsidRPr="00923467" w:rsidRDefault="00B04696" w:rsidP="00923467">
      <w:pPr>
        <w:rPr>
          <w:b/>
          <w:bCs/>
          <w:i/>
          <w:iCs/>
        </w:rPr>
      </w:pPr>
      <w:r w:rsidRPr="00923467">
        <w:t xml:space="preserve">  </w:t>
      </w:r>
    </w:p>
    <w:tbl>
      <w:tblPr>
        <w:tblStyle w:val="GridTable4-Accent5"/>
        <w:tblW w:w="9351" w:type="dxa"/>
        <w:tblLook w:val="04A0" w:firstRow="1" w:lastRow="0" w:firstColumn="1" w:lastColumn="0" w:noHBand="0" w:noVBand="1"/>
      </w:tblPr>
      <w:tblGrid>
        <w:gridCol w:w="4248"/>
        <w:gridCol w:w="1276"/>
        <w:gridCol w:w="1275"/>
        <w:gridCol w:w="1418"/>
        <w:gridCol w:w="1134"/>
      </w:tblGrid>
      <w:tr w:rsidR="00EA5ACB" w:rsidRPr="00923467" w14:paraId="62EF03FC" w14:textId="77777777" w:rsidTr="00EA5AC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F51D634" w14:textId="77777777" w:rsidR="00B04696" w:rsidRPr="00EA5ACB" w:rsidRDefault="00B04696" w:rsidP="00923467">
            <w:pPr>
              <w:rPr>
                <w:b w:val="0"/>
                <w:bCs w:val="0"/>
                <w:sz w:val="18"/>
                <w:szCs w:val="18"/>
              </w:rPr>
            </w:pPr>
            <w:r w:rsidRPr="00EA5ACB">
              <w:rPr>
                <w:b w:val="0"/>
                <w:bCs w:val="0"/>
                <w:sz w:val="18"/>
                <w:szCs w:val="18"/>
              </w:rPr>
              <w:t> SITC Category</w:t>
            </w:r>
          </w:p>
        </w:tc>
        <w:tc>
          <w:tcPr>
            <w:tcW w:w="1276" w:type="dxa"/>
            <w:noWrap/>
            <w:hideMark/>
          </w:tcPr>
          <w:p w14:paraId="51933EEA" w14:textId="77777777" w:rsidR="00B04696" w:rsidRPr="00EA5ACB" w:rsidRDefault="00B04696"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A5ACB">
              <w:rPr>
                <w:sz w:val="18"/>
                <w:szCs w:val="18"/>
              </w:rPr>
              <w:t>2021</w:t>
            </w:r>
          </w:p>
        </w:tc>
        <w:tc>
          <w:tcPr>
            <w:tcW w:w="1275" w:type="dxa"/>
            <w:noWrap/>
            <w:hideMark/>
          </w:tcPr>
          <w:p w14:paraId="18E16F6D" w14:textId="77777777" w:rsidR="00B04696" w:rsidRPr="00EA5ACB" w:rsidRDefault="00B04696"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A5ACB">
              <w:rPr>
                <w:sz w:val="18"/>
                <w:szCs w:val="18"/>
              </w:rPr>
              <w:t>2022</w:t>
            </w:r>
          </w:p>
        </w:tc>
        <w:tc>
          <w:tcPr>
            <w:tcW w:w="1418" w:type="dxa"/>
            <w:noWrap/>
            <w:hideMark/>
          </w:tcPr>
          <w:p w14:paraId="1B7C68F7" w14:textId="77777777" w:rsidR="00B04696" w:rsidRPr="00EA5ACB" w:rsidRDefault="00B04696"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A5ACB">
              <w:rPr>
                <w:sz w:val="18"/>
                <w:szCs w:val="18"/>
              </w:rPr>
              <w:t>Difference</w:t>
            </w:r>
          </w:p>
        </w:tc>
        <w:tc>
          <w:tcPr>
            <w:tcW w:w="1134" w:type="dxa"/>
            <w:noWrap/>
            <w:hideMark/>
          </w:tcPr>
          <w:p w14:paraId="0ED38055" w14:textId="77777777" w:rsidR="00B04696" w:rsidRPr="00EA5ACB" w:rsidRDefault="00B04696"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EA5ACB">
              <w:rPr>
                <w:sz w:val="18"/>
                <w:szCs w:val="18"/>
              </w:rPr>
              <w:t>% Diff</w:t>
            </w:r>
          </w:p>
        </w:tc>
      </w:tr>
      <w:tr w:rsidR="00B04696" w:rsidRPr="00923467" w14:paraId="52F61999" w14:textId="77777777" w:rsidTr="00EA5A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678C2DA" w14:textId="77777777" w:rsidR="00B04696" w:rsidRPr="00EA5ACB" w:rsidRDefault="00B04696" w:rsidP="00923467">
            <w:pPr>
              <w:rPr>
                <w:b w:val="0"/>
                <w:bCs w:val="0"/>
                <w:sz w:val="18"/>
                <w:szCs w:val="18"/>
              </w:rPr>
            </w:pPr>
            <w:r w:rsidRPr="00EA5ACB">
              <w:rPr>
                <w:b w:val="0"/>
                <w:bCs w:val="0"/>
                <w:sz w:val="18"/>
                <w:szCs w:val="18"/>
              </w:rPr>
              <w:t>Section 1b - Tobacco</w:t>
            </w:r>
          </w:p>
        </w:tc>
        <w:tc>
          <w:tcPr>
            <w:tcW w:w="1276" w:type="dxa"/>
            <w:noWrap/>
            <w:hideMark/>
          </w:tcPr>
          <w:p w14:paraId="61D7D2AD"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w:t>
            </w:r>
          </w:p>
        </w:tc>
        <w:tc>
          <w:tcPr>
            <w:tcW w:w="1275" w:type="dxa"/>
            <w:noWrap/>
            <w:hideMark/>
          </w:tcPr>
          <w:p w14:paraId="2FBA1A81"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1,946,682</w:t>
            </w:r>
          </w:p>
        </w:tc>
        <w:tc>
          <w:tcPr>
            <w:tcW w:w="1418" w:type="dxa"/>
            <w:noWrap/>
            <w:hideMark/>
          </w:tcPr>
          <w:p w14:paraId="119790AC"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1,946,682</w:t>
            </w:r>
          </w:p>
        </w:tc>
        <w:tc>
          <w:tcPr>
            <w:tcW w:w="1134" w:type="dxa"/>
            <w:noWrap/>
            <w:hideMark/>
          </w:tcPr>
          <w:p w14:paraId="7E95C6BC"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w:t>
            </w:r>
          </w:p>
        </w:tc>
      </w:tr>
      <w:tr w:rsidR="00EA5ACB" w:rsidRPr="00923467" w14:paraId="0350DFCD" w14:textId="77777777" w:rsidTr="00EA5ACB">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640F3CC" w14:textId="77777777" w:rsidR="00B04696" w:rsidRPr="00EA5ACB" w:rsidRDefault="00B04696" w:rsidP="00923467">
            <w:pPr>
              <w:rPr>
                <w:b w:val="0"/>
                <w:bCs w:val="0"/>
                <w:sz w:val="18"/>
                <w:szCs w:val="18"/>
              </w:rPr>
            </w:pPr>
            <w:r w:rsidRPr="00EA5ACB">
              <w:rPr>
                <w:b w:val="0"/>
                <w:bCs w:val="0"/>
                <w:sz w:val="18"/>
                <w:szCs w:val="18"/>
              </w:rPr>
              <w:t>Section 0 - Food And Live Animals</w:t>
            </w:r>
          </w:p>
        </w:tc>
        <w:tc>
          <w:tcPr>
            <w:tcW w:w="1276" w:type="dxa"/>
            <w:noWrap/>
            <w:hideMark/>
          </w:tcPr>
          <w:p w14:paraId="44D5C48E"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112,759,748</w:t>
            </w:r>
          </w:p>
        </w:tc>
        <w:tc>
          <w:tcPr>
            <w:tcW w:w="1275" w:type="dxa"/>
            <w:noWrap/>
            <w:hideMark/>
          </w:tcPr>
          <w:p w14:paraId="57E2678E"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231,117,854</w:t>
            </w:r>
          </w:p>
        </w:tc>
        <w:tc>
          <w:tcPr>
            <w:tcW w:w="1418" w:type="dxa"/>
            <w:noWrap/>
            <w:hideMark/>
          </w:tcPr>
          <w:p w14:paraId="23ABA8FA"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118,358,106</w:t>
            </w:r>
          </w:p>
        </w:tc>
        <w:tc>
          <w:tcPr>
            <w:tcW w:w="1134" w:type="dxa"/>
            <w:noWrap/>
            <w:hideMark/>
          </w:tcPr>
          <w:p w14:paraId="0B7E3200"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105.0%</w:t>
            </w:r>
          </w:p>
        </w:tc>
      </w:tr>
      <w:tr w:rsidR="00B04696" w:rsidRPr="00923467" w14:paraId="57153C32" w14:textId="77777777" w:rsidTr="00EA5A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50A67EFB" w14:textId="77777777" w:rsidR="00B04696" w:rsidRPr="00EA5ACB" w:rsidRDefault="00B04696" w:rsidP="00923467">
            <w:pPr>
              <w:rPr>
                <w:b w:val="0"/>
                <w:bCs w:val="0"/>
                <w:sz w:val="18"/>
                <w:szCs w:val="18"/>
              </w:rPr>
            </w:pPr>
            <w:r w:rsidRPr="00EA5ACB">
              <w:rPr>
                <w:b w:val="0"/>
                <w:bCs w:val="0"/>
                <w:sz w:val="18"/>
                <w:szCs w:val="18"/>
              </w:rPr>
              <w:t>Section 7 - Machinery And Transport Equipment</w:t>
            </w:r>
          </w:p>
        </w:tc>
        <w:tc>
          <w:tcPr>
            <w:tcW w:w="1276" w:type="dxa"/>
            <w:noWrap/>
            <w:hideMark/>
          </w:tcPr>
          <w:p w14:paraId="1E625647"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1,364,694,905</w:t>
            </w:r>
          </w:p>
        </w:tc>
        <w:tc>
          <w:tcPr>
            <w:tcW w:w="1275" w:type="dxa"/>
            <w:noWrap/>
            <w:hideMark/>
          </w:tcPr>
          <w:p w14:paraId="3D94AC46"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2,358,661,595</w:t>
            </w:r>
          </w:p>
        </w:tc>
        <w:tc>
          <w:tcPr>
            <w:tcW w:w="1418" w:type="dxa"/>
            <w:noWrap/>
            <w:hideMark/>
          </w:tcPr>
          <w:p w14:paraId="0BA1C20A"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993,966,690</w:t>
            </w:r>
          </w:p>
        </w:tc>
        <w:tc>
          <w:tcPr>
            <w:tcW w:w="1134" w:type="dxa"/>
            <w:noWrap/>
            <w:hideMark/>
          </w:tcPr>
          <w:p w14:paraId="579DAD7B"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72.8%</w:t>
            </w:r>
          </w:p>
        </w:tc>
      </w:tr>
      <w:tr w:rsidR="00EA5ACB" w:rsidRPr="00923467" w14:paraId="33996578" w14:textId="77777777" w:rsidTr="00EA5ACB">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4B3354F" w14:textId="77777777" w:rsidR="00B04696" w:rsidRPr="00EA5ACB" w:rsidRDefault="00B04696" w:rsidP="00923467">
            <w:pPr>
              <w:rPr>
                <w:b w:val="0"/>
                <w:bCs w:val="0"/>
                <w:sz w:val="18"/>
                <w:szCs w:val="18"/>
              </w:rPr>
            </w:pPr>
            <w:r w:rsidRPr="00EA5ACB">
              <w:rPr>
                <w:b w:val="0"/>
                <w:bCs w:val="0"/>
                <w:sz w:val="18"/>
                <w:szCs w:val="18"/>
              </w:rPr>
              <w:t>Section 8 - Miscellaneous Manufactured Articles</w:t>
            </w:r>
          </w:p>
        </w:tc>
        <w:tc>
          <w:tcPr>
            <w:tcW w:w="1276" w:type="dxa"/>
            <w:noWrap/>
            <w:hideMark/>
          </w:tcPr>
          <w:p w14:paraId="4A110E29"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1,053,927,083</w:t>
            </w:r>
          </w:p>
        </w:tc>
        <w:tc>
          <w:tcPr>
            <w:tcW w:w="1275" w:type="dxa"/>
            <w:noWrap/>
            <w:hideMark/>
          </w:tcPr>
          <w:p w14:paraId="0B591B68"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486,521,208</w:t>
            </w:r>
          </w:p>
        </w:tc>
        <w:tc>
          <w:tcPr>
            <w:tcW w:w="1418" w:type="dxa"/>
            <w:noWrap/>
            <w:hideMark/>
          </w:tcPr>
          <w:p w14:paraId="747D1675"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(567,405,875)</w:t>
            </w:r>
          </w:p>
        </w:tc>
        <w:tc>
          <w:tcPr>
            <w:tcW w:w="1134" w:type="dxa"/>
            <w:noWrap/>
            <w:hideMark/>
          </w:tcPr>
          <w:p w14:paraId="7DD370C0"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-53.8%</w:t>
            </w:r>
          </w:p>
        </w:tc>
      </w:tr>
      <w:tr w:rsidR="00B04696" w:rsidRPr="00923467" w14:paraId="1FFAEE00" w14:textId="77777777" w:rsidTr="00EA5A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1ED67FD7" w14:textId="77777777" w:rsidR="00B04696" w:rsidRPr="00EA5ACB" w:rsidRDefault="00B04696" w:rsidP="00923467">
            <w:pPr>
              <w:rPr>
                <w:b w:val="0"/>
                <w:bCs w:val="0"/>
                <w:sz w:val="18"/>
                <w:szCs w:val="18"/>
              </w:rPr>
            </w:pPr>
            <w:r w:rsidRPr="00EA5ACB">
              <w:rPr>
                <w:b w:val="0"/>
                <w:bCs w:val="0"/>
                <w:sz w:val="18"/>
                <w:szCs w:val="18"/>
              </w:rPr>
              <w:t>Section 1a - Beverages</w:t>
            </w:r>
          </w:p>
        </w:tc>
        <w:tc>
          <w:tcPr>
            <w:tcW w:w="1276" w:type="dxa"/>
            <w:noWrap/>
            <w:hideMark/>
          </w:tcPr>
          <w:p w14:paraId="25F32D61"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348,070</w:t>
            </w:r>
          </w:p>
        </w:tc>
        <w:tc>
          <w:tcPr>
            <w:tcW w:w="1275" w:type="dxa"/>
            <w:noWrap/>
            <w:hideMark/>
          </w:tcPr>
          <w:p w14:paraId="7D20A6A5"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77,703,177</w:t>
            </w:r>
          </w:p>
        </w:tc>
        <w:tc>
          <w:tcPr>
            <w:tcW w:w="1418" w:type="dxa"/>
            <w:noWrap/>
            <w:hideMark/>
          </w:tcPr>
          <w:p w14:paraId="68A601EC"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77,355,107</w:t>
            </w:r>
          </w:p>
        </w:tc>
        <w:tc>
          <w:tcPr>
            <w:tcW w:w="1134" w:type="dxa"/>
            <w:noWrap/>
            <w:hideMark/>
          </w:tcPr>
          <w:p w14:paraId="43A4AFD9"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22224.0%</w:t>
            </w:r>
          </w:p>
        </w:tc>
      </w:tr>
      <w:tr w:rsidR="00EA5ACB" w:rsidRPr="00923467" w14:paraId="3F139A79" w14:textId="77777777" w:rsidTr="00EA5ACB">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78894B7D" w14:textId="77777777" w:rsidR="00B04696" w:rsidRPr="00EA5ACB" w:rsidRDefault="00B04696" w:rsidP="00923467">
            <w:pPr>
              <w:rPr>
                <w:b w:val="0"/>
                <w:bCs w:val="0"/>
                <w:sz w:val="18"/>
                <w:szCs w:val="18"/>
              </w:rPr>
            </w:pPr>
            <w:r w:rsidRPr="00EA5ACB">
              <w:rPr>
                <w:b w:val="0"/>
                <w:bCs w:val="0"/>
                <w:sz w:val="18"/>
                <w:szCs w:val="18"/>
              </w:rPr>
              <w:t>Other Items</w:t>
            </w:r>
          </w:p>
        </w:tc>
        <w:tc>
          <w:tcPr>
            <w:tcW w:w="1276" w:type="dxa"/>
            <w:noWrap/>
            <w:hideMark/>
          </w:tcPr>
          <w:p w14:paraId="46220447"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7,617,380</w:t>
            </w:r>
          </w:p>
        </w:tc>
        <w:tc>
          <w:tcPr>
            <w:tcW w:w="1275" w:type="dxa"/>
            <w:noWrap/>
            <w:hideMark/>
          </w:tcPr>
          <w:p w14:paraId="220AFA07"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39,411,345</w:t>
            </w:r>
          </w:p>
        </w:tc>
        <w:tc>
          <w:tcPr>
            <w:tcW w:w="1418" w:type="dxa"/>
            <w:noWrap/>
            <w:hideMark/>
          </w:tcPr>
          <w:p w14:paraId="1A26970B"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31,793,964</w:t>
            </w:r>
          </w:p>
        </w:tc>
        <w:tc>
          <w:tcPr>
            <w:tcW w:w="1134" w:type="dxa"/>
            <w:noWrap/>
            <w:hideMark/>
          </w:tcPr>
          <w:p w14:paraId="557D32D3"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417.4%</w:t>
            </w:r>
          </w:p>
        </w:tc>
      </w:tr>
      <w:tr w:rsidR="00B04696" w:rsidRPr="00923467" w14:paraId="1F6D0052" w14:textId="77777777" w:rsidTr="00EA5A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E19FB48" w14:textId="77777777" w:rsidR="00B04696" w:rsidRPr="00EA5ACB" w:rsidRDefault="00B04696" w:rsidP="00923467">
            <w:pPr>
              <w:rPr>
                <w:b w:val="0"/>
                <w:bCs w:val="0"/>
                <w:sz w:val="18"/>
                <w:szCs w:val="18"/>
              </w:rPr>
            </w:pPr>
            <w:r w:rsidRPr="00EA5ACB">
              <w:rPr>
                <w:b w:val="0"/>
                <w:bCs w:val="0"/>
                <w:sz w:val="18"/>
                <w:szCs w:val="18"/>
              </w:rPr>
              <w:t xml:space="preserve">Section 4 - Animal And Vegetable Oils, Fats </w:t>
            </w:r>
            <w:proofErr w:type="gramStart"/>
            <w:r w:rsidRPr="00EA5ACB">
              <w:rPr>
                <w:b w:val="0"/>
                <w:bCs w:val="0"/>
                <w:sz w:val="18"/>
                <w:szCs w:val="18"/>
              </w:rPr>
              <w:t>And</w:t>
            </w:r>
            <w:proofErr w:type="gramEnd"/>
            <w:r w:rsidRPr="00EA5ACB">
              <w:rPr>
                <w:b w:val="0"/>
                <w:bCs w:val="0"/>
                <w:sz w:val="18"/>
                <w:szCs w:val="18"/>
              </w:rPr>
              <w:t xml:space="preserve"> Waxes</w:t>
            </w:r>
          </w:p>
        </w:tc>
        <w:tc>
          <w:tcPr>
            <w:tcW w:w="1276" w:type="dxa"/>
            <w:noWrap/>
            <w:hideMark/>
          </w:tcPr>
          <w:p w14:paraId="75C9E580"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41,818,882</w:t>
            </w:r>
          </w:p>
        </w:tc>
        <w:tc>
          <w:tcPr>
            <w:tcW w:w="1275" w:type="dxa"/>
            <w:noWrap/>
            <w:hideMark/>
          </w:tcPr>
          <w:p w14:paraId="5D765283"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93,167,884</w:t>
            </w:r>
          </w:p>
        </w:tc>
        <w:tc>
          <w:tcPr>
            <w:tcW w:w="1418" w:type="dxa"/>
            <w:noWrap/>
            <w:hideMark/>
          </w:tcPr>
          <w:p w14:paraId="1F4864E7"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51,349,001</w:t>
            </w:r>
          </w:p>
        </w:tc>
        <w:tc>
          <w:tcPr>
            <w:tcW w:w="1134" w:type="dxa"/>
            <w:noWrap/>
            <w:hideMark/>
          </w:tcPr>
          <w:p w14:paraId="3753A851"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122.8%</w:t>
            </w:r>
          </w:p>
        </w:tc>
      </w:tr>
      <w:tr w:rsidR="00EA5ACB" w:rsidRPr="00923467" w14:paraId="02BA41B2" w14:textId="77777777" w:rsidTr="00EA5ACB">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33B21BE9" w14:textId="77777777" w:rsidR="00B04696" w:rsidRPr="00EA5ACB" w:rsidRDefault="00B04696" w:rsidP="00923467">
            <w:pPr>
              <w:rPr>
                <w:b w:val="0"/>
                <w:bCs w:val="0"/>
                <w:sz w:val="18"/>
                <w:szCs w:val="18"/>
              </w:rPr>
            </w:pPr>
            <w:r w:rsidRPr="00EA5ACB">
              <w:rPr>
                <w:b w:val="0"/>
                <w:bCs w:val="0"/>
                <w:sz w:val="18"/>
                <w:szCs w:val="18"/>
              </w:rPr>
              <w:t>Section 2 - Crude Materials, Inedible, Except Fuels</w:t>
            </w:r>
          </w:p>
        </w:tc>
        <w:tc>
          <w:tcPr>
            <w:tcW w:w="1276" w:type="dxa"/>
            <w:noWrap/>
            <w:hideMark/>
          </w:tcPr>
          <w:p w14:paraId="52E5967B"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44,486,812</w:t>
            </w:r>
          </w:p>
        </w:tc>
        <w:tc>
          <w:tcPr>
            <w:tcW w:w="1275" w:type="dxa"/>
            <w:noWrap/>
            <w:hideMark/>
          </w:tcPr>
          <w:p w14:paraId="4CCAC88C"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53,813,919</w:t>
            </w:r>
          </w:p>
        </w:tc>
        <w:tc>
          <w:tcPr>
            <w:tcW w:w="1418" w:type="dxa"/>
            <w:noWrap/>
            <w:hideMark/>
          </w:tcPr>
          <w:p w14:paraId="1A7C70DD"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9,327,107</w:t>
            </w:r>
          </w:p>
        </w:tc>
        <w:tc>
          <w:tcPr>
            <w:tcW w:w="1134" w:type="dxa"/>
            <w:noWrap/>
            <w:hideMark/>
          </w:tcPr>
          <w:p w14:paraId="33028522"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21.0%</w:t>
            </w:r>
          </w:p>
        </w:tc>
      </w:tr>
      <w:tr w:rsidR="00B04696" w:rsidRPr="00923467" w14:paraId="003BFD16" w14:textId="77777777" w:rsidTr="00EA5A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3E77030F" w14:textId="77777777" w:rsidR="00B04696" w:rsidRPr="00EA5ACB" w:rsidRDefault="00B04696" w:rsidP="00923467">
            <w:pPr>
              <w:rPr>
                <w:b w:val="0"/>
                <w:bCs w:val="0"/>
                <w:sz w:val="18"/>
                <w:szCs w:val="18"/>
              </w:rPr>
            </w:pPr>
            <w:r w:rsidRPr="00EA5ACB">
              <w:rPr>
                <w:b w:val="0"/>
                <w:bCs w:val="0"/>
                <w:sz w:val="18"/>
                <w:szCs w:val="18"/>
              </w:rPr>
              <w:t xml:space="preserve">Section 6 - Manufactured Goods Classified Chiefly </w:t>
            </w:r>
            <w:proofErr w:type="gramStart"/>
            <w:r w:rsidRPr="00EA5ACB">
              <w:rPr>
                <w:b w:val="0"/>
                <w:bCs w:val="0"/>
                <w:sz w:val="18"/>
                <w:szCs w:val="18"/>
              </w:rPr>
              <w:t>By</w:t>
            </w:r>
            <w:proofErr w:type="gramEnd"/>
            <w:r w:rsidRPr="00EA5ACB">
              <w:rPr>
                <w:b w:val="0"/>
                <w:bCs w:val="0"/>
                <w:sz w:val="18"/>
                <w:szCs w:val="18"/>
              </w:rPr>
              <w:t xml:space="preserve"> Material</w:t>
            </w:r>
          </w:p>
        </w:tc>
        <w:tc>
          <w:tcPr>
            <w:tcW w:w="1276" w:type="dxa"/>
            <w:noWrap/>
            <w:hideMark/>
          </w:tcPr>
          <w:p w14:paraId="76BD3588"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367,890,515</w:t>
            </w:r>
          </w:p>
        </w:tc>
        <w:tc>
          <w:tcPr>
            <w:tcW w:w="1275" w:type="dxa"/>
            <w:noWrap/>
            <w:hideMark/>
          </w:tcPr>
          <w:p w14:paraId="53BBA681"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854,289,600</w:t>
            </w:r>
          </w:p>
        </w:tc>
        <w:tc>
          <w:tcPr>
            <w:tcW w:w="1418" w:type="dxa"/>
            <w:noWrap/>
            <w:hideMark/>
          </w:tcPr>
          <w:p w14:paraId="60EF85B1"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486,399,085</w:t>
            </w:r>
          </w:p>
        </w:tc>
        <w:tc>
          <w:tcPr>
            <w:tcW w:w="1134" w:type="dxa"/>
            <w:noWrap/>
            <w:hideMark/>
          </w:tcPr>
          <w:p w14:paraId="5FE8C78B"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132.2%</w:t>
            </w:r>
          </w:p>
        </w:tc>
      </w:tr>
      <w:tr w:rsidR="00EA5ACB" w:rsidRPr="00923467" w14:paraId="60699437" w14:textId="77777777" w:rsidTr="00EA5ACB">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1868E373" w14:textId="77777777" w:rsidR="00B04696" w:rsidRPr="00EA5ACB" w:rsidRDefault="00B04696" w:rsidP="00923467">
            <w:pPr>
              <w:rPr>
                <w:b w:val="0"/>
                <w:bCs w:val="0"/>
                <w:sz w:val="18"/>
                <w:szCs w:val="18"/>
              </w:rPr>
            </w:pPr>
            <w:r w:rsidRPr="00EA5ACB">
              <w:rPr>
                <w:b w:val="0"/>
                <w:bCs w:val="0"/>
                <w:sz w:val="18"/>
                <w:szCs w:val="18"/>
              </w:rPr>
              <w:t>Section 5 - Chemicals And Related Products, N.E.S.</w:t>
            </w:r>
          </w:p>
        </w:tc>
        <w:tc>
          <w:tcPr>
            <w:tcW w:w="1276" w:type="dxa"/>
            <w:noWrap/>
            <w:hideMark/>
          </w:tcPr>
          <w:p w14:paraId="0AEA7DEF"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1,260,288,972</w:t>
            </w:r>
          </w:p>
        </w:tc>
        <w:tc>
          <w:tcPr>
            <w:tcW w:w="1275" w:type="dxa"/>
            <w:noWrap/>
            <w:hideMark/>
          </w:tcPr>
          <w:p w14:paraId="60EE02C9"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1,103,210,430</w:t>
            </w:r>
          </w:p>
        </w:tc>
        <w:tc>
          <w:tcPr>
            <w:tcW w:w="1418" w:type="dxa"/>
            <w:noWrap/>
            <w:hideMark/>
          </w:tcPr>
          <w:p w14:paraId="25EDB790"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(157,078,542)</w:t>
            </w:r>
          </w:p>
        </w:tc>
        <w:tc>
          <w:tcPr>
            <w:tcW w:w="1134" w:type="dxa"/>
            <w:noWrap/>
            <w:hideMark/>
          </w:tcPr>
          <w:p w14:paraId="2BA7D380"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-12.5%</w:t>
            </w:r>
          </w:p>
        </w:tc>
      </w:tr>
      <w:tr w:rsidR="00B04696" w:rsidRPr="00923467" w14:paraId="55771FD4" w14:textId="77777777" w:rsidTr="00EA5A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D67DD18" w14:textId="77777777" w:rsidR="00B04696" w:rsidRPr="00EA5ACB" w:rsidRDefault="00B04696" w:rsidP="00923467">
            <w:pPr>
              <w:rPr>
                <w:b w:val="0"/>
                <w:bCs w:val="0"/>
                <w:sz w:val="18"/>
                <w:szCs w:val="18"/>
              </w:rPr>
            </w:pPr>
            <w:r w:rsidRPr="00EA5ACB">
              <w:rPr>
                <w:b w:val="0"/>
                <w:bCs w:val="0"/>
                <w:sz w:val="18"/>
                <w:szCs w:val="18"/>
              </w:rPr>
              <w:t xml:space="preserve">Section 3 - Mineral Fuels, Lubricants </w:t>
            </w:r>
            <w:proofErr w:type="gramStart"/>
            <w:r w:rsidRPr="00EA5ACB">
              <w:rPr>
                <w:b w:val="0"/>
                <w:bCs w:val="0"/>
                <w:sz w:val="18"/>
                <w:szCs w:val="18"/>
              </w:rPr>
              <w:t>And</w:t>
            </w:r>
            <w:proofErr w:type="gramEnd"/>
            <w:r w:rsidRPr="00EA5ACB">
              <w:rPr>
                <w:b w:val="0"/>
                <w:bCs w:val="0"/>
                <w:sz w:val="18"/>
                <w:szCs w:val="18"/>
              </w:rPr>
              <w:t xml:space="preserve"> Related Materials</w:t>
            </w:r>
          </w:p>
        </w:tc>
        <w:tc>
          <w:tcPr>
            <w:tcW w:w="1276" w:type="dxa"/>
            <w:noWrap/>
            <w:hideMark/>
          </w:tcPr>
          <w:p w14:paraId="2499B6C4"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46,769,790</w:t>
            </w:r>
          </w:p>
        </w:tc>
        <w:tc>
          <w:tcPr>
            <w:tcW w:w="1275" w:type="dxa"/>
            <w:noWrap/>
            <w:hideMark/>
          </w:tcPr>
          <w:p w14:paraId="380536E6"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274,953,760</w:t>
            </w:r>
          </w:p>
        </w:tc>
        <w:tc>
          <w:tcPr>
            <w:tcW w:w="1418" w:type="dxa"/>
            <w:noWrap/>
            <w:hideMark/>
          </w:tcPr>
          <w:p w14:paraId="3B17EA26"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228,183,971</w:t>
            </w:r>
          </w:p>
        </w:tc>
        <w:tc>
          <w:tcPr>
            <w:tcW w:w="1134" w:type="dxa"/>
            <w:noWrap/>
            <w:hideMark/>
          </w:tcPr>
          <w:p w14:paraId="1F7E906B"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487.9%</w:t>
            </w:r>
          </w:p>
        </w:tc>
      </w:tr>
      <w:tr w:rsidR="00EA5ACB" w:rsidRPr="00923467" w14:paraId="15CBB519" w14:textId="77777777" w:rsidTr="00EA5ACB">
        <w:trPr>
          <w:trHeight w:val="315"/>
        </w:trPr>
        <w:tc>
          <w:tcPr>
            <w:cnfStyle w:val="001000000000" w:firstRow="0" w:lastRow="0" w:firstColumn="1" w:lastColumn="0" w:oddVBand="0" w:evenVBand="0" w:oddHBand="0" w:evenHBand="0" w:firstRowFirstColumn="0" w:firstRowLastColumn="0" w:lastRowFirstColumn="0" w:lastRowLastColumn="0"/>
            <w:tcW w:w="4248" w:type="dxa"/>
            <w:noWrap/>
            <w:hideMark/>
          </w:tcPr>
          <w:p w14:paraId="560CE261" w14:textId="77777777" w:rsidR="00B04696" w:rsidRPr="00EA5ACB" w:rsidRDefault="00B04696" w:rsidP="00923467">
            <w:pPr>
              <w:rPr>
                <w:sz w:val="18"/>
                <w:szCs w:val="18"/>
              </w:rPr>
            </w:pPr>
            <w:r w:rsidRPr="00EA5ACB">
              <w:rPr>
                <w:sz w:val="18"/>
                <w:szCs w:val="18"/>
              </w:rPr>
              <w:t>Total</w:t>
            </w:r>
          </w:p>
        </w:tc>
        <w:tc>
          <w:tcPr>
            <w:tcW w:w="1276" w:type="dxa"/>
            <w:noWrap/>
            <w:hideMark/>
          </w:tcPr>
          <w:p w14:paraId="47557F53" w14:textId="77777777" w:rsidR="00B04696" w:rsidRPr="00542064" w:rsidRDefault="00B0469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542064">
              <w:rPr>
                <w:b/>
                <w:bCs/>
                <w:sz w:val="18"/>
                <w:szCs w:val="18"/>
              </w:rPr>
              <w:t>4,300,602,157</w:t>
            </w:r>
          </w:p>
        </w:tc>
        <w:tc>
          <w:tcPr>
            <w:tcW w:w="1275" w:type="dxa"/>
            <w:noWrap/>
            <w:hideMark/>
          </w:tcPr>
          <w:p w14:paraId="3602760F" w14:textId="77777777" w:rsidR="00B04696" w:rsidRPr="00542064" w:rsidRDefault="00B0469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542064">
              <w:rPr>
                <w:b/>
                <w:bCs/>
                <w:sz w:val="18"/>
                <w:szCs w:val="18"/>
              </w:rPr>
              <w:t>5,574,797,454</w:t>
            </w:r>
          </w:p>
        </w:tc>
        <w:tc>
          <w:tcPr>
            <w:tcW w:w="1418" w:type="dxa"/>
            <w:noWrap/>
            <w:hideMark/>
          </w:tcPr>
          <w:p w14:paraId="1777EE4D" w14:textId="77777777" w:rsidR="00B04696" w:rsidRPr="00542064" w:rsidRDefault="00B0469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542064">
              <w:rPr>
                <w:b/>
                <w:bCs/>
                <w:sz w:val="18"/>
                <w:szCs w:val="18"/>
              </w:rPr>
              <w:t>1,274,195,297</w:t>
            </w:r>
          </w:p>
        </w:tc>
        <w:tc>
          <w:tcPr>
            <w:tcW w:w="1134" w:type="dxa"/>
            <w:noWrap/>
            <w:hideMark/>
          </w:tcPr>
          <w:p w14:paraId="6EFDB312" w14:textId="77777777" w:rsidR="00B04696" w:rsidRPr="00542064" w:rsidRDefault="00B0469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542064">
              <w:rPr>
                <w:b/>
                <w:bCs/>
                <w:sz w:val="18"/>
                <w:szCs w:val="18"/>
              </w:rPr>
              <w:t>29.6%</w:t>
            </w:r>
          </w:p>
        </w:tc>
      </w:tr>
    </w:tbl>
    <w:p w14:paraId="42EF47CA" w14:textId="0E3F295D" w:rsidR="00B04696" w:rsidRPr="00923467" w:rsidRDefault="00B04696" w:rsidP="00923467">
      <w:pPr>
        <w:pStyle w:val="Caption"/>
      </w:pPr>
      <w:bookmarkStart w:id="70" w:name="_Toc137831144"/>
      <w:r w:rsidRPr="00923467">
        <w:t xml:space="preserve">Table </w:t>
      </w:r>
      <w:r w:rsidRPr="00923467">
        <w:fldChar w:fldCharType="begin"/>
      </w:r>
      <w:r w:rsidRPr="00923467">
        <w:instrText xml:space="preserve"> SEQ Table \* ARABIC </w:instrText>
      </w:r>
      <w:r w:rsidRPr="00923467">
        <w:fldChar w:fldCharType="separate"/>
      </w:r>
      <w:r w:rsidR="00E12E6B">
        <w:rPr>
          <w:noProof/>
        </w:rPr>
        <w:t>15</w:t>
      </w:r>
      <w:r w:rsidRPr="00923467">
        <w:fldChar w:fldCharType="end"/>
      </w:r>
      <w:r w:rsidRPr="00923467">
        <w:t>: Non-Dutiable Imports in 2021 and 2022</w:t>
      </w:r>
      <w:bookmarkEnd w:id="70"/>
    </w:p>
    <w:p w14:paraId="70A1E3B3" w14:textId="77777777" w:rsidR="00B04696" w:rsidRPr="00EA5ACB" w:rsidRDefault="00B04696" w:rsidP="00923467">
      <w:pPr>
        <w:rPr>
          <w:sz w:val="16"/>
          <w:szCs w:val="16"/>
        </w:rPr>
      </w:pPr>
      <w:r w:rsidRPr="00EA5ACB">
        <w:rPr>
          <w:sz w:val="16"/>
          <w:szCs w:val="16"/>
        </w:rPr>
        <w:t xml:space="preserve">Source: ASYCUDA World </w:t>
      </w:r>
    </w:p>
    <w:p w14:paraId="34D1BB1E" w14:textId="77777777" w:rsidR="00EA5ACB" w:rsidRDefault="00EA5ACB" w:rsidP="00923467"/>
    <w:p w14:paraId="22FEAF06" w14:textId="23209A72" w:rsidR="00B04696" w:rsidRPr="00923467" w:rsidRDefault="00B04696" w:rsidP="00923467">
      <w:r w:rsidRPr="00923467">
        <w:t xml:space="preserve">Table 19 compares the top ten exporting countries to Sierra Leone by CIF value. Of the top ten exporters to Sierra Leone in 2021, only Brazil is not among the top ten exporters to Sierra Leone in 2022 as it is replaced by Senegal. The top ten exporting countries to Sierra Leone in 2021 accounted for 81.2% of Sierra Leones imports compared to 76.4% in 2022. Although Switzerland is the major exporter (by CIF value) to Sierra Leone, its primary export is petroleum products (accounting for over 98.0% of its total exports) unlike other exporting countries with assorted export products accounting for a relatively higher percentage of their total exports.  </w:t>
      </w:r>
    </w:p>
    <w:p w14:paraId="1F8D3B1E" w14:textId="77777777" w:rsidR="00B04696" w:rsidRPr="00923467" w:rsidRDefault="00B04696" w:rsidP="00923467"/>
    <w:tbl>
      <w:tblPr>
        <w:tblStyle w:val="GridTable4-Accent5"/>
        <w:tblW w:w="9355" w:type="dxa"/>
        <w:tblLook w:val="04A0" w:firstRow="1" w:lastRow="0" w:firstColumn="1" w:lastColumn="0" w:noHBand="0" w:noVBand="1"/>
      </w:tblPr>
      <w:tblGrid>
        <w:gridCol w:w="630"/>
        <w:gridCol w:w="2875"/>
        <w:gridCol w:w="1800"/>
        <w:gridCol w:w="2430"/>
        <w:gridCol w:w="1620"/>
      </w:tblGrid>
      <w:tr w:rsidR="00B04696" w:rsidRPr="00923467" w14:paraId="541E0D58" w14:textId="77777777" w:rsidTr="00EA5ACB">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0" w:type="dxa"/>
            <w:tcBorders>
              <w:bottom w:val="nil"/>
            </w:tcBorders>
            <w:noWrap/>
            <w:hideMark/>
          </w:tcPr>
          <w:p w14:paraId="57CFBA12" w14:textId="303AB252" w:rsidR="00B04696" w:rsidRPr="00EA5ACB" w:rsidRDefault="00B04696" w:rsidP="00923467">
            <w:pPr>
              <w:rPr>
                <w:sz w:val="18"/>
                <w:szCs w:val="18"/>
              </w:rPr>
            </w:pPr>
            <w:r w:rsidRPr="00EA5ACB">
              <w:rPr>
                <w:sz w:val="18"/>
                <w:szCs w:val="18"/>
              </w:rPr>
              <w:t>N</w:t>
            </w:r>
            <w:r w:rsidR="00EA5ACB">
              <w:rPr>
                <w:sz w:val="18"/>
                <w:szCs w:val="18"/>
              </w:rPr>
              <w:t>o</w:t>
            </w:r>
            <w:r w:rsidRPr="00EA5ACB">
              <w:rPr>
                <w:sz w:val="18"/>
                <w:szCs w:val="18"/>
              </w:rPr>
              <w:t>.</w:t>
            </w:r>
          </w:p>
        </w:tc>
        <w:tc>
          <w:tcPr>
            <w:tcW w:w="4675" w:type="dxa"/>
            <w:gridSpan w:val="2"/>
            <w:tcBorders>
              <w:bottom w:val="nil"/>
            </w:tcBorders>
            <w:noWrap/>
            <w:hideMark/>
          </w:tcPr>
          <w:p w14:paraId="57221D7A" w14:textId="77777777" w:rsidR="00B04696" w:rsidRPr="00EA5ACB" w:rsidRDefault="00B04696" w:rsidP="00EA5ACB">
            <w:pPr>
              <w:jc w:val="center"/>
              <w:cnfStyle w:val="100000000000" w:firstRow="1" w:lastRow="0" w:firstColumn="0" w:lastColumn="0" w:oddVBand="0" w:evenVBand="0" w:oddHBand="0" w:evenHBand="0" w:firstRowFirstColumn="0" w:firstRowLastColumn="0" w:lastRowFirstColumn="0" w:lastRowLastColumn="0"/>
              <w:rPr>
                <w:sz w:val="18"/>
                <w:szCs w:val="18"/>
              </w:rPr>
            </w:pPr>
            <w:r w:rsidRPr="00EA5ACB">
              <w:rPr>
                <w:sz w:val="18"/>
                <w:szCs w:val="18"/>
              </w:rPr>
              <w:t>2021</w:t>
            </w:r>
          </w:p>
        </w:tc>
        <w:tc>
          <w:tcPr>
            <w:tcW w:w="4050" w:type="dxa"/>
            <w:gridSpan w:val="2"/>
            <w:tcBorders>
              <w:bottom w:val="nil"/>
            </w:tcBorders>
            <w:noWrap/>
            <w:hideMark/>
          </w:tcPr>
          <w:p w14:paraId="52D1C276" w14:textId="77777777" w:rsidR="00B04696" w:rsidRPr="00EA5ACB" w:rsidRDefault="00B04696" w:rsidP="00EA5ACB">
            <w:pPr>
              <w:jc w:val="center"/>
              <w:cnfStyle w:val="100000000000" w:firstRow="1" w:lastRow="0" w:firstColumn="0" w:lastColumn="0" w:oddVBand="0" w:evenVBand="0" w:oddHBand="0" w:evenHBand="0" w:firstRowFirstColumn="0" w:firstRowLastColumn="0" w:lastRowFirstColumn="0" w:lastRowLastColumn="0"/>
              <w:rPr>
                <w:sz w:val="18"/>
                <w:szCs w:val="18"/>
              </w:rPr>
            </w:pPr>
            <w:r w:rsidRPr="00EA5ACB">
              <w:rPr>
                <w:sz w:val="18"/>
                <w:szCs w:val="18"/>
              </w:rPr>
              <w:t>2022</w:t>
            </w:r>
          </w:p>
        </w:tc>
      </w:tr>
      <w:tr w:rsidR="00B04696" w:rsidRPr="00923467" w14:paraId="2E82D1BA" w14:textId="77777777" w:rsidTr="00EA5AC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0" w:type="dxa"/>
            <w:tcBorders>
              <w:top w:val="nil"/>
              <w:left w:val="nil"/>
              <w:bottom w:val="nil"/>
              <w:right w:val="nil"/>
            </w:tcBorders>
            <w:shd w:val="clear" w:color="auto" w:fill="5B9BD5" w:themeFill="accent5"/>
            <w:noWrap/>
            <w:hideMark/>
          </w:tcPr>
          <w:p w14:paraId="1FF2D910" w14:textId="77777777" w:rsidR="00B04696" w:rsidRPr="00EA5ACB" w:rsidRDefault="00B04696" w:rsidP="00923467">
            <w:pPr>
              <w:rPr>
                <w:color w:val="FFFFFF" w:themeColor="background1"/>
                <w:sz w:val="18"/>
                <w:szCs w:val="18"/>
              </w:rPr>
            </w:pPr>
            <w:r w:rsidRPr="00EA5ACB">
              <w:rPr>
                <w:color w:val="FFFFFF" w:themeColor="background1"/>
                <w:sz w:val="18"/>
                <w:szCs w:val="18"/>
              </w:rPr>
              <w:t> </w:t>
            </w:r>
          </w:p>
        </w:tc>
        <w:tc>
          <w:tcPr>
            <w:tcW w:w="2875" w:type="dxa"/>
            <w:tcBorders>
              <w:top w:val="nil"/>
              <w:left w:val="nil"/>
              <w:bottom w:val="nil"/>
              <w:right w:val="nil"/>
            </w:tcBorders>
            <w:shd w:val="clear" w:color="auto" w:fill="5B9BD5" w:themeFill="accent5"/>
            <w:noWrap/>
            <w:hideMark/>
          </w:tcPr>
          <w:p w14:paraId="427E0A76"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EA5ACB">
              <w:rPr>
                <w:color w:val="FFFFFF" w:themeColor="background1"/>
                <w:sz w:val="18"/>
                <w:szCs w:val="18"/>
              </w:rPr>
              <w:t xml:space="preserve"> Origin Country </w:t>
            </w:r>
          </w:p>
        </w:tc>
        <w:tc>
          <w:tcPr>
            <w:tcW w:w="1800" w:type="dxa"/>
            <w:tcBorders>
              <w:top w:val="nil"/>
              <w:left w:val="nil"/>
              <w:bottom w:val="nil"/>
              <w:right w:val="nil"/>
            </w:tcBorders>
            <w:shd w:val="clear" w:color="auto" w:fill="5B9BD5" w:themeFill="accent5"/>
            <w:noWrap/>
            <w:hideMark/>
          </w:tcPr>
          <w:p w14:paraId="78642DED"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EA5ACB">
              <w:rPr>
                <w:color w:val="FFFFFF" w:themeColor="background1"/>
                <w:sz w:val="18"/>
                <w:szCs w:val="18"/>
              </w:rPr>
              <w:t xml:space="preserve"> CIF Value </w:t>
            </w:r>
          </w:p>
        </w:tc>
        <w:tc>
          <w:tcPr>
            <w:tcW w:w="2430" w:type="dxa"/>
            <w:tcBorders>
              <w:top w:val="nil"/>
              <w:left w:val="nil"/>
              <w:bottom w:val="nil"/>
              <w:right w:val="nil"/>
            </w:tcBorders>
            <w:shd w:val="clear" w:color="auto" w:fill="5B9BD5" w:themeFill="accent5"/>
            <w:noWrap/>
            <w:hideMark/>
          </w:tcPr>
          <w:p w14:paraId="3642CDDE"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EA5ACB">
              <w:rPr>
                <w:color w:val="FFFFFF" w:themeColor="background1"/>
                <w:sz w:val="18"/>
                <w:szCs w:val="18"/>
              </w:rPr>
              <w:t xml:space="preserve"> Origin Country </w:t>
            </w:r>
          </w:p>
        </w:tc>
        <w:tc>
          <w:tcPr>
            <w:tcW w:w="1620" w:type="dxa"/>
            <w:tcBorders>
              <w:top w:val="nil"/>
              <w:left w:val="nil"/>
              <w:bottom w:val="nil"/>
              <w:right w:val="nil"/>
            </w:tcBorders>
            <w:shd w:val="clear" w:color="auto" w:fill="5B9BD5" w:themeFill="accent5"/>
            <w:noWrap/>
            <w:hideMark/>
          </w:tcPr>
          <w:p w14:paraId="3BE07F5C"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EA5ACB">
              <w:rPr>
                <w:color w:val="FFFFFF" w:themeColor="background1"/>
                <w:sz w:val="18"/>
                <w:szCs w:val="18"/>
              </w:rPr>
              <w:t xml:space="preserve"> CIF Value </w:t>
            </w:r>
          </w:p>
        </w:tc>
      </w:tr>
      <w:tr w:rsidR="00B04696" w:rsidRPr="00923467" w14:paraId="72830C91" w14:textId="77777777" w:rsidTr="00EA5ACB">
        <w:trPr>
          <w:trHeight w:val="315"/>
        </w:trPr>
        <w:tc>
          <w:tcPr>
            <w:cnfStyle w:val="001000000000" w:firstRow="0" w:lastRow="0" w:firstColumn="1" w:lastColumn="0" w:oddVBand="0" w:evenVBand="0" w:oddHBand="0" w:evenHBand="0" w:firstRowFirstColumn="0" w:firstRowLastColumn="0" w:lastRowFirstColumn="0" w:lastRowLastColumn="0"/>
            <w:tcW w:w="630" w:type="dxa"/>
            <w:tcBorders>
              <w:top w:val="nil"/>
            </w:tcBorders>
            <w:noWrap/>
            <w:hideMark/>
          </w:tcPr>
          <w:p w14:paraId="6BB49639" w14:textId="77777777" w:rsidR="00B04696" w:rsidRPr="00EA5ACB" w:rsidRDefault="00B04696" w:rsidP="00923467">
            <w:pPr>
              <w:rPr>
                <w:sz w:val="18"/>
                <w:szCs w:val="18"/>
              </w:rPr>
            </w:pPr>
            <w:r w:rsidRPr="00EA5ACB">
              <w:rPr>
                <w:sz w:val="18"/>
                <w:szCs w:val="18"/>
              </w:rPr>
              <w:t>1</w:t>
            </w:r>
          </w:p>
        </w:tc>
        <w:tc>
          <w:tcPr>
            <w:tcW w:w="2875" w:type="dxa"/>
            <w:tcBorders>
              <w:top w:val="nil"/>
            </w:tcBorders>
            <w:noWrap/>
            <w:hideMark/>
          </w:tcPr>
          <w:p w14:paraId="09F3F7C1"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Switzerland </w:t>
            </w:r>
          </w:p>
        </w:tc>
        <w:tc>
          <w:tcPr>
            <w:tcW w:w="1800" w:type="dxa"/>
            <w:tcBorders>
              <w:top w:val="nil"/>
            </w:tcBorders>
            <w:noWrap/>
            <w:hideMark/>
          </w:tcPr>
          <w:p w14:paraId="6F746214"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3,534,171,550 </w:t>
            </w:r>
          </w:p>
        </w:tc>
        <w:tc>
          <w:tcPr>
            <w:tcW w:w="2430" w:type="dxa"/>
            <w:tcBorders>
              <w:top w:val="nil"/>
            </w:tcBorders>
            <w:noWrap/>
            <w:hideMark/>
          </w:tcPr>
          <w:p w14:paraId="5EE39798"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Switzerland </w:t>
            </w:r>
          </w:p>
        </w:tc>
        <w:tc>
          <w:tcPr>
            <w:tcW w:w="1620" w:type="dxa"/>
            <w:tcBorders>
              <w:top w:val="nil"/>
            </w:tcBorders>
            <w:noWrap/>
            <w:hideMark/>
          </w:tcPr>
          <w:p w14:paraId="5C3B85A6"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4,201,570,289 </w:t>
            </w:r>
          </w:p>
        </w:tc>
      </w:tr>
      <w:tr w:rsidR="00B04696" w:rsidRPr="00923467" w14:paraId="4311492A" w14:textId="77777777" w:rsidTr="00EA5A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hideMark/>
          </w:tcPr>
          <w:p w14:paraId="2885F9A8" w14:textId="77777777" w:rsidR="00B04696" w:rsidRPr="00EA5ACB" w:rsidRDefault="00B04696" w:rsidP="00923467">
            <w:pPr>
              <w:rPr>
                <w:sz w:val="18"/>
                <w:szCs w:val="18"/>
              </w:rPr>
            </w:pPr>
            <w:r w:rsidRPr="00EA5ACB">
              <w:rPr>
                <w:sz w:val="18"/>
                <w:szCs w:val="18"/>
              </w:rPr>
              <w:t>2</w:t>
            </w:r>
          </w:p>
        </w:tc>
        <w:tc>
          <w:tcPr>
            <w:tcW w:w="2875" w:type="dxa"/>
            <w:noWrap/>
            <w:hideMark/>
          </w:tcPr>
          <w:p w14:paraId="36C779EC"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China </w:t>
            </w:r>
          </w:p>
        </w:tc>
        <w:tc>
          <w:tcPr>
            <w:tcW w:w="1800" w:type="dxa"/>
            <w:noWrap/>
            <w:hideMark/>
          </w:tcPr>
          <w:p w14:paraId="1D9D2F0C"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3,255,442,941 </w:t>
            </w:r>
          </w:p>
        </w:tc>
        <w:tc>
          <w:tcPr>
            <w:tcW w:w="2430" w:type="dxa"/>
            <w:noWrap/>
            <w:hideMark/>
          </w:tcPr>
          <w:p w14:paraId="3222B0CF"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China </w:t>
            </w:r>
          </w:p>
        </w:tc>
        <w:tc>
          <w:tcPr>
            <w:tcW w:w="1620" w:type="dxa"/>
            <w:noWrap/>
            <w:hideMark/>
          </w:tcPr>
          <w:p w14:paraId="77E5B9AE"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3,426,879,516 </w:t>
            </w:r>
          </w:p>
        </w:tc>
      </w:tr>
      <w:tr w:rsidR="00B04696" w:rsidRPr="00923467" w14:paraId="71A0FF0C" w14:textId="77777777" w:rsidTr="00EA5ACB">
        <w:trPr>
          <w:trHeight w:val="300"/>
        </w:trPr>
        <w:tc>
          <w:tcPr>
            <w:cnfStyle w:val="001000000000" w:firstRow="0" w:lastRow="0" w:firstColumn="1" w:lastColumn="0" w:oddVBand="0" w:evenVBand="0" w:oddHBand="0" w:evenHBand="0" w:firstRowFirstColumn="0" w:firstRowLastColumn="0" w:lastRowFirstColumn="0" w:lastRowLastColumn="0"/>
            <w:tcW w:w="630" w:type="dxa"/>
            <w:noWrap/>
            <w:hideMark/>
          </w:tcPr>
          <w:p w14:paraId="09309AF7" w14:textId="77777777" w:rsidR="00B04696" w:rsidRPr="00EA5ACB" w:rsidRDefault="00B04696" w:rsidP="00923467">
            <w:pPr>
              <w:rPr>
                <w:sz w:val="18"/>
                <w:szCs w:val="18"/>
              </w:rPr>
            </w:pPr>
            <w:r w:rsidRPr="00EA5ACB">
              <w:rPr>
                <w:sz w:val="18"/>
                <w:szCs w:val="18"/>
              </w:rPr>
              <w:t>3</w:t>
            </w:r>
          </w:p>
        </w:tc>
        <w:tc>
          <w:tcPr>
            <w:tcW w:w="2875" w:type="dxa"/>
            <w:noWrap/>
            <w:hideMark/>
          </w:tcPr>
          <w:p w14:paraId="28B5ACE1"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United States </w:t>
            </w:r>
          </w:p>
        </w:tc>
        <w:tc>
          <w:tcPr>
            <w:tcW w:w="1800" w:type="dxa"/>
            <w:noWrap/>
            <w:hideMark/>
          </w:tcPr>
          <w:p w14:paraId="5CB60196"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1,534,853,953 </w:t>
            </w:r>
          </w:p>
        </w:tc>
        <w:tc>
          <w:tcPr>
            <w:tcW w:w="2430" w:type="dxa"/>
            <w:noWrap/>
            <w:hideMark/>
          </w:tcPr>
          <w:p w14:paraId="4D67CD21"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India </w:t>
            </w:r>
          </w:p>
        </w:tc>
        <w:tc>
          <w:tcPr>
            <w:tcW w:w="1620" w:type="dxa"/>
            <w:noWrap/>
            <w:hideMark/>
          </w:tcPr>
          <w:p w14:paraId="22354B93"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2,054,416,401 </w:t>
            </w:r>
          </w:p>
        </w:tc>
      </w:tr>
      <w:tr w:rsidR="00B04696" w:rsidRPr="00923467" w14:paraId="3D3CB507" w14:textId="77777777" w:rsidTr="00EA5A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hideMark/>
          </w:tcPr>
          <w:p w14:paraId="4865557D" w14:textId="77777777" w:rsidR="00B04696" w:rsidRPr="00EA5ACB" w:rsidRDefault="00B04696" w:rsidP="00923467">
            <w:pPr>
              <w:rPr>
                <w:sz w:val="18"/>
                <w:szCs w:val="18"/>
              </w:rPr>
            </w:pPr>
            <w:r w:rsidRPr="00EA5ACB">
              <w:rPr>
                <w:sz w:val="18"/>
                <w:szCs w:val="18"/>
              </w:rPr>
              <w:t>4</w:t>
            </w:r>
          </w:p>
        </w:tc>
        <w:tc>
          <w:tcPr>
            <w:tcW w:w="2875" w:type="dxa"/>
            <w:noWrap/>
            <w:hideMark/>
          </w:tcPr>
          <w:p w14:paraId="728D6610"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India </w:t>
            </w:r>
          </w:p>
        </w:tc>
        <w:tc>
          <w:tcPr>
            <w:tcW w:w="1800" w:type="dxa"/>
            <w:noWrap/>
            <w:hideMark/>
          </w:tcPr>
          <w:p w14:paraId="359162DB"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1,471,939,375 </w:t>
            </w:r>
          </w:p>
        </w:tc>
        <w:tc>
          <w:tcPr>
            <w:tcW w:w="2430" w:type="dxa"/>
            <w:noWrap/>
            <w:hideMark/>
          </w:tcPr>
          <w:p w14:paraId="258A4CE4"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Turkey </w:t>
            </w:r>
          </w:p>
        </w:tc>
        <w:tc>
          <w:tcPr>
            <w:tcW w:w="1620" w:type="dxa"/>
            <w:noWrap/>
            <w:hideMark/>
          </w:tcPr>
          <w:p w14:paraId="45B49ECB"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1,940,734,244 </w:t>
            </w:r>
          </w:p>
        </w:tc>
      </w:tr>
      <w:tr w:rsidR="00B04696" w:rsidRPr="00923467" w14:paraId="0FDB2825" w14:textId="77777777" w:rsidTr="00EA5ACB">
        <w:trPr>
          <w:trHeight w:val="300"/>
        </w:trPr>
        <w:tc>
          <w:tcPr>
            <w:cnfStyle w:val="001000000000" w:firstRow="0" w:lastRow="0" w:firstColumn="1" w:lastColumn="0" w:oddVBand="0" w:evenVBand="0" w:oddHBand="0" w:evenHBand="0" w:firstRowFirstColumn="0" w:firstRowLastColumn="0" w:lastRowFirstColumn="0" w:lastRowLastColumn="0"/>
            <w:tcW w:w="630" w:type="dxa"/>
            <w:noWrap/>
            <w:hideMark/>
          </w:tcPr>
          <w:p w14:paraId="5CF99ADE" w14:textId="77777777" w:rsidR="00B04696" w:rsidRPr="00EA5ACB" w:rsidRDefault="00B04696" w:rsidP="00923467">
            <w:pPr>
              <w:rPr>
                <w:sz w:val="18"/>
                <w:szCs w:val="18"/>
              </w:rPr>
            </w:pPr>
            <w:r w:rsidRPr="00EA5ACB">
              <w:rPr>
                <w:sz w:val="18"/>
                <w:szCs w:val="18"/>
              </w:rPr>
              <w:t>5</w:t>
            </w:r>
          </w:p>
        </w:tc>
        <w:tc>
          <w:tcPr>
            <w:tcW w:w="2875" w:type="dxa"/>
            <w:noWrap/>
            <w:hideMark/>
          </w:tcPr>
          <w:p w14:paraId="6EB721DE"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France </w:t>
            </w:r>
          </w:p>
        </w:tc>
        <w:tc>
          <w:tcPr>
            <w:tcW w:w="1800" w:type="dxa"/>
            <w:noWrap/>
            <w:hideMark/>
          </w:tcPr>
          <w:p w14:paraId="029B3F15"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1,001,228,348 </w:t>
            </w:r>
          </w:p>
        </w:tc>
        <w:tc>
          <w:tcPr>
            <w:tcW w:w="2430" w:type="dxa"/>
            <w:noWrap/>
            <w:hideMark/>
          </w:tcPr>
          <w:p w14:paraId="18CFBECE"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United Arab Emirates </w:t>
            </w:r>
          </w:p>
        </w:tc>
        <w:tc>
          <w:tcPr>
            <w:tcW w:w="1620" w:type="dxa"/>
            <w:noWrap/>
            <w:hideMark/>
          </w:tcPr>
          <w:p w14:paraId="74D7A4D3"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1,374,551,700 </w:t>
            </w:r>
          </w:p>
        </w:tc>
      </w:tr>
      <w:tr w:rsidR="00B04696" w:rsidRPr="00923467" w14:paraId="00BC998D" w14:textId="77777777" w:rsidTr="00EA5A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hideMark/>
          </w:tcPr>
          <w:p w14:paraId="659FBFB9" w14:textId="77777777" w:rsidR="00B04696" w:rsidRPr="00EA5ACB" w:rsidRDefault="00B04696" w:rsidP="00923467">
            <w:pPr>
              <w:rPr>
                <w:sz w:val="18"/>
                <w:szCs w:val="18"/>
              </w:rPr>
            </w:pPr>
            <w:r w:rsidRPr="00EA5ACB">
              <w:rPr>
                <w:sz w:val="18"/>
                <w:szCs w:val="18"/>
              </w:rPr>
              <w:t>6</w:t>
            </w:r>
          </w:p>
        </w:tc>
        <w:tc>
          <w:tcPr>
            <w:tcW w:w="2875" w:type="dxa"/>
            <w:noWrap/>
            <w:hideMark/>
          </w:tcPr>
          <w:p w14:paraId="3C8B0375"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Turkey </w:t>
            </w:r>
          </w:p>
        </w:tc>
        <w:tc>
          <w:tcPr>
            <w:tcW w:w="1800" w:type="dxa"/>
            <w:noWrap/>
            <w:hideMark/>
          </w:tcPr>
          <w:p w14:paraId="3C1084E2"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933,725,253 </w:t>
            </w:r>
          </w:p>
        </w:tc>
        <w:tc>
          <w:tcPr>
            <w:tcW w:w="2430" w:type="dxa"/>
            <w:noWrap/>
            <w:hideMark/>
          </w:tcPr>
          <w:p w14:paraId="60C6A2B9"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France </w:t>
            </w:r>
          </w:p>
        </w:tc>
        <w:tc>
          <w:tcPr>
            <w:tcW w:w="1620" w:type="dxa"/>
            <w:noWrap/>
            <w:hideMark/>
          </w:tcPr>
          <w:p w14:paraId="3F5D7E21"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1,281,616,995 </w:t>
            </w:r>
          </w:p>
        </w:tc>
      </w:tr>
      <w:tr w:rsidR="00B04696" w:rsidRPr="00923467" w14:paraId="25D2C4E2" w14:textId="77777777" w:rsidTr="00EA5ACB">
        <w:trPr>
          <w:trHeight w:val="300"/>
        </w:trPr>
        <w:tc>
          <w:tcPr>
            <w:cnfStyle w:val="001000000000" w:firstRow="0" w:lastRow="0" w:firstColumn="1" w:lastColumn="0" w:oddVBand="0" w:evenVBand="0" w:oddHBand="0" w:evenHBand="0" w:firstRowFirstColumn="0" w:firstRowLastColumn="0" w:lastRowFirstColumn="0" w:lastRowLastColumn="0"/>
            <w:tcW w:w="630" w:type="dxa"/>
            <w:noWrap/>
            <w:hideMark/>
          </w:tcPr>
          <w:p w14:paraId="5E5B565E" w14:textId="77777777" w:rsidR="00B04696" w:rsidRPr="00EA5ACB" w:rsidRDefault="00B04696" w:rsidP="00923467">
            <w:pPr>
              <w:rPr>
                <w:sz w:val="18"/>
                <w:szCs w:val="18"/>
              </w:rPr>
            </w:pPr>
            <w:r w:rsidRPr="00EA5ACB">
              <w:rPr>
                <w:sz w:val="18"/>
                <w:szCs w:val="18"/>
              </w:rPr>
              <w:t>7</w:t>
            </w:r>
          </w:p>
        </w:tc>
        <w:tc>
          <w:tcPr>
            <w:tcW w:w="2875" w:type="dxa"/>
            <w:noWrap/>
            <w:hideMark/>
          </w:tcPr>
          <w:p w14:paraId="710D2B10"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United Arab Emirates </w:t>
            </w:r>
          </w:p>
        </w:tc>
        <w:tc>
          <w:tcPr>
            <w:tcW w:w="1800" w:type="dxa"/>
            <w:noWrap/>
            <w:hideMark/>
          </w:tcPr>
          <w:p w14:paraId="213A0518"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606,262,166 </w:t>
            </w:r>
          </w:p>
        </w:tc>
        <w:tc>
          <w:tcPr>
            <w:tcW w:w="2430" w:type="dxa"/>
            <w:noWrap/>
            <w:hideMark/>
          </w:tcPr>
          <w:p w14:paraId="49E21BFF"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United States </w:t>
            </w:r>
          </w:p>
        </w:tc>
        <w:tc>
          <w:tcPr>
            <w:tcW w:w="1620" w:type="dxa"/>
            <w:noWrap/>
            <w:hideMark/>
          </w:tcPr>
          <w:p w14:paraId="0258DAE9"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923,325,567 </w:t>
            </w:r>
          </w:p>
        </w:tc>
      </w:tr>
      <w:tr w:rsidR="00B04696" w:rsidRPr="00923467" w14:paraId="3D9DA447" w14:textId="77777777" w:rsidTr="00EA5A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hideMark/>
          </w:tcPr>
          <w:p w14:paraId="21D7DA56" w14:textId="77777777" w:rsidR="00B04696" w:rsidRPr="00EA5ACB" w:rsidRDefault="00B04696" w:rsidP="00923467">
            <w:pPr>
              <w:rPr>
                <w:sz w:val="18"/>
                <w:szCs w:val="18"/>
              </w:rPr>
            </w:pPr>
            <w:r w:rsidRPr="00EA5ACB">
              <w:rPr>
                <w:sz w:val="18"/>
                <w:szCs w:val="18"/>
              </w:rPr>
              <w:t>8</w:t>
            </w:r>
          </w:p>
        </w:tc>
        <w:tc>
          <w:tcPr>
            <w:tcW w:w="2875" w:type="dxa"/>
            <w:noWrap/>
            <w:hideMark/>
          </w:tcPr>
          <w:p w14:paraId="70DFE39D"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Belgium </w:t>
            </w:r>
          </w:p>
        </w:tc>
        <w:tc>
          <w:tcPr>
            <w:tcW w:w="1800" w:type="dxa"/>
            <w:noWrap/>
            <w:hideMark/>
          </w:tcPr>
          <w:p w14:paraId="582BFE16"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594,749,999 </w:t>
            </w:r>
          </w:p>
        </w:tc>
        <w:tc>
          <w:tcPr>
            <w:tcW w:w="2430" w:type="dxa"/>
            <w:noWrap/>
            <w:hideMark/>
          </w:tcPr>
          <w:p w14:paraId="2ABF7C2B"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Belgium </w:t>
            </w:r>
          </w:p>
        </w:tc>
        <w:tc>
          <w:tcPr>
            <w:tcW w:w="1620" w:type="dxa"/>
            <w:noWrap/>
            <w:hideMark/>
          </w:tcPr>
          <w:p w14:paraId="0F0B3FDC"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921,622,263 </w:t>
            </w:r>
          </w:p>
        </w:tc>
      </w:tr>
      <w:tr w:rsidR="00B04696" w:rsidRPr="00923467" w14:paraId="5A91FD75" w14:textId="77777777" w:rsidTr="00EA5ACB">
        <w:trPr>
          <w:trHeight w:val="300"/>
        </w:trPr>
        <w:tc>
          <w:tcPr>
            <w:cnfStyle w:val="001000000000" w:firstRow="0" w:lastRow="0" w:firstColumn="1" w:lastColumn="0" w:oddVBand="0" w:evenVBand="0" w:oddHBand="0" w:evenHBand="0" w:firstRowFirstColumn="0" w:firstRowLastColumn="0" w:lastRowFirstColumn="0" w:lastRowLastColumn="0"/>
            <w:tcW w:w="630" w:type="dxa"/>
            <w:noWrap/>
            <w:hideMark/>
          </w:tcPr>
          <w:p w14:paraId="63B40AF6" w14:textId="77777777" w:rsidR="00B04696" w:rsidRPr="00EA5ACB" w:rsidRDefault="00B04696" w:rsidP="00923467">
            <w:pPr>
              <w:rPr>
                <w:sz w:val="18"/>
                <w:szCs w:val="18"/>
              </w:rPr>
            </w:pPr>
            <w:r w:rsidRPr="00EA5ACB">
              <w:rPr>
                <w:sz w:val="18"/>
                <w:szCs w:val="18"/>
              </w:rPr>
              <w:t>9</w:t>
            </w:r>
          </w:p>
        </w:tc>
        <w:tc>
          <w:tcPr>
            <w:tcW w:w="2875" w:type="dxa"/>
            <w:noWrap/>
            <w:hideMark/>
          </w:tcPr>
          <w:p w14:paraId="0D157109"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United Kingdom </w:t>
            </w:r>
          </w:p>
        </w:tc>
        <w:tc>
          <w:tcPr>
            <w:tcW w:w="1800" w:type="dxa"/>
            <w:noWrap/>
            <w:hideMark/>
          </w:tcPr>
          <w:p w14:paraId="0A9E2ECE"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346,874,223 </w:t>
            </w:r>
          </w:p>
        </w:tc>
        <w:tc>
          <w:tcPr>
            <w:tcW w:w="2430" w:type="dxa"/>
            <w:noWrap/>
            <w:hideMark/>
          </w:tcPr>
          <w:p w14:paraId="717641B7"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United Kingdom </w:t>
            </w:r>
          </w:p>
        </w:tc>
        <w:tc>
          <w:tcPr>
            <w:tcW w:w="1620" w:type="dxa"/>
            <w:noWrap/>
            <w:hideMark/>
          </w:tcPr>
          <w:p w14:paraId="60C4021D" w14:textId="77777777" w:rsidR="00B04696" w:rsidRPr="00EA5ACB"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EA5ACB">
              <w:rPr>
                <w:sz w:val="18"/>
                <w:szCs w:val="18"/>
              </w:rPr>
              <w:t xml:space="preserve">636,142,347 </w:t>
            </w:r>
          </w:p>
        </w:tc>
      </w:tr>
      <w:tr w:rsidR="00B04696" w:rsidRPr="00923467" w14:paraId="007C40FE" w14:textId="77777777" w:rsidTr="00EA5AC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30" w:type="dxa"/>
            <w:noWrap/>
            <w:hideMark/>
          </w:tcPr>
          <w:p w14:paraId="2DB55310" w14:textId="77777777" w:rsidR="00B04696" w:rsidRPr="00EA5ACB" w:rsidRDefault="00B04696" w:rsidP="00923467">
            <w:pPr>
              <w:rPr>
                <w:sz w:val="18"/>
                <w:szCs w:val="18"/>
              </w:rPr>
            </w:pPr>
            <w:r w:rsidRPr="00EA5ACB">
              <w:rPr>
                <w:sz w:val="18"/>
                <w:szCs w:val="18"/>
              </w:rPr>
              <w:t>10</w:t>
            </w:r>
          </w:p>
        </w:tc>
        <w:tc>
          <w:tcPr>
            <w:tcW w:w="2875" w:type="dxa"/>
            <w:noWrap/>
            <w:hideMark/>
          </w:tcPr>
          <w:p w14:paraId="20405353"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Brazil </w:t>
            </w:r>
          </w:p>
        </w:tc>
        <w:tc>
          <w:tcPr>
            <w:tcW w:w="1800" w:type="dxa"/>
            <w:noWrap/>
            <w:hideMark/>
          </w:tcPr>
          <w:p w14:paraId="5EC947B4"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339,394,528 </w:t>
            </w:r>
          </w:p>
        </w:tc>
        <w:tc>
          <w:tcPr>
            <w:tcW w:w="2430" w:type="dxa"/>
            <w:noWrap/>
            <w:hideMark/>
          </w:tcPr>
          <w:p w14:paraId="6AD0B934"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Senegal </w:t>
            </w:r>
          </w:p>
        </w:tc>
        <w:tc>
          <w:tcPr>
            <w:tcW w:w="1620" w:type="dxa"/>
            <w:noWrap/>
            <w:hideMark/>
          </w:tcPr>
          <w:p w14:paraId="645DE08C" w14:textId="77777777" w:rsidR="00B04696" w:rsidRPr="00EA5ACB"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EA5ACB">
              <w:rPr>
                <w:sz w:val="18"/>
                <w:szCs w:val="18"/>
              </w:rPr>
              <w:t xml:space="preserve">622,826,767 </w:t>
            </w:r>
          </w:p>
        </w:tc>
      </w:tr>
    </w:tbl>
    <w:p w14:paraId="39D5F37E" w14:textId="5449B6B9" w:rsidR="00B04696" w:rsidRPr="00923467" w:rsidRDefault="00B04696" w:rsidP="00923467">
      <w:pPr>
        <w:pStyle w:val="Caption"/>
      </w:pPr>
      <w:bookmarkStart w:id="71" w:name="_Toc137831145"/>
      <w:r w:rsidRPr="00923467">
        <w:t xml:space="preserve">Table </w:t>
      </w:r>
      <w:r w:rsidRPr="00923467">
        <w:fldChar w:fldCharType="begin"/>
      </w:r>
      <w:r w:rsidRPr="00923467">
        <w:instrText xml:space="preserve"> SEQ Table \* ARABIC </w:instrText>
      </w:r>
      <w:r w:rsidRPr="00923467">
        <w:fldChar w:fldCharType="separate"/>
      </w:r>
      <w:r w:rsidR="00E12E6B">
        <w:rPr>
          <w:noProof/>
        </w:rPr>
        <w:t>16</w:t>
      </w:r>
      <w:r w:rsidRPr="00923467">
        <w:fldChar w:fldCharType="end"/>
      </w:r>
      <w:r w:rsidRPr="00923467">
        <w:t>: Import Value by Country of Origin in 2021 and 2022</w:t>
      </w:r>
      <w:bookmarkEnd w:id="71"/>
    </w:p>
    <w:p w14:paraId="5FEAEA7C" w14:textId="77777777" w:rsidR="00B04696" w:rsidRPr="00EA5ACB" w:rsidRDefault="00B04696" w:rsidP="00923467">
      <w:pPr>
        <w:rPr>
          <w:sz w:val="16"/>
          <w:szCs w:val="16"/>
        </w:rPr>
      </w:pPr>
      <w:r w:rsidRPr="00EA5ACB">
        <w:rPr>
          <w:sz w:val="16"/>
          <w:szCs w:val="16"/>
        </w:rPr>
        <w:t>Source: ASYCUDA World</w:t>
      </w:r>
    </w:p>
    <w:p w14:paraId="1FCFA3ED" w14:textId="77F349C5" w:rsidR="00496C39" w:rsidRPr="00EA5ACB" w:rsidRDefault="00EA5ACB" w:rsidP="00923467">
      <w:pPr>
        <w:rPr>
          <w:sz w:val="16"/>
          <w:szCs w:val="16"/>
        </w:rPr>
      </w:pPr>
      <w:r>
        <w:rPr>
          <w:sz w:val="16"/>
          <w:szCs w:val="16"/>
        </w:rPr>
        <w:t>*</w:t>
      </w:r>
      <w:r w:rsidRPr="00EA5ACB">
        <w:rPr>
          <w:sz w:val="16"/>
          <w:szCs w:val="16"/>
        </w:rPr>
        <w:t>IM4 (imports for home consumption), SD4 (Simplified Declaration), PP4 (Percel Post), and PB4 (Personal Baggage)</w:t>
      </w:r>
    </w:p>
    <w:p w14:paraId="25136CE4" w14:textId="77777777" w:rsidR="00B04696" w:rsidRDefault="00B04696" w:rsidP="00923467"/>
    <w:p w14:paraId="076FC558" w14:textId="77777777" w:rsidR="00EA5ACB" w:rsidRPr="00923467" w:rsidRDefault="00EA5ACB" w:rsidP="00923467"/>
    <w:p w14:paraId="7C6B6277" w14:textId="79141FCF" w:rsidR="00323713" w:rsidRPr="00923467" w:rsidRDefault="00323713" w:rsidP="00923467">
      <w:pPr>
        <w:pStyle w:val="Heading2"/>
      </w:pPr>
      <w:bookmarkStart w:id="72" w:name="_Toc137831100"/>
      <w:r w:rsidRPr="00923467">
        <w:t>CUSTOMS RISK MANAGEMENT ACTIVITIES</w:t>
      </w:r>
      <w:bookmarkEnd w:id="72"/>
    </w:p>
    <w:p w14:paraId="3EAD6817" w14:textId="6FD67A4A" w:rsidR="00323713" w:rsidRDefault="00323713" w:rsidP="00923467">
      <w:r w:rsidRPr="00923467">
        <w:t xml:space="preserve">Risk detection and management is crucial in customs operations which is why the Risk Management Unit (RMU) was created with the aim of identifying risks and suggest measures that should be put in place to mitigate such risks and </w:t>
      </w:r>
      <w:r w:rsidR="008B72F6" w:rsidRPr="00923467">
        <w:t>en</w:t>
      </w:r>
      <w:r w:rsidRPr="00923467">
        <w:t>sures that declarants are compliant with customs obligations. Staff of the Unit are required to view all declarations on real time basis to enable them to identify ‘High Risk’ declarations relating to valuation, classification, currency code, CVC inputs, general documentation etc., and inform operational units who are required to take corrective actions.</w:t>
      </w:r>
    </w:p>
    <w:p w14:paraId="1F39844F" w14:textId="77777777" w:rsidR="00EA5ACB" w:rsidRPr="00923467" w:rsidRDefault="00EA5ACB" w:rsidP="00923467"/>
    <w:p w14:paraId="1D7F13BF" w14:textId="77777777" w:rsidR="00323713" w:rsidRPr="00923467" w:rsidRDefault="00323713" w:rsidP="00EF2D32">
      <w:pPr>
        <w:pStyle w:val="Heading3"/>
      </w:pPr>
      <w:bookmarkStart w:id="73" w:name="_Toc137831101"/>
      <w:r w:rsidRPr="00923467">
        <w:t>Additional Revenue Raised from RMU Interventions</w:t>
      </w:r>
      <w:bookmarkEnd w:id="73"/>
    </w:p>
    <w:p w14:paraId="462BD6CA" w14:textId="7A2DB149" w:rsidR="00323713" w:rsidRDefault="00323713" w:rsidP="00923467">
      <w:r w:rsidRPr="00923467">
        <w:t>During the period under review, a total of 44</w:t>
      </w:r>
      <w:r w:rsidR="00EA3218" w:rsidRPr="00923467">
        <w:t xml:space="preserve"> </w:t>
      </w:r>
      <w:r w:rsidRPr="00923467">
        <w:t xml:space="preserve">declarations were identified as ‘High Risk’ to </w:t>
      </w:r>
      <w:r w:rsidR="00635E76" w:rsidRPr="00923467">
        <w:t xml:space="preserve">customs </w:t>
      </w:r>
      <w:r w:rsidRPr="00923467">
        <w:t xml:space="preserve">revenue collection. A total of </w:t>
      </w:r>
      <w:proofErr w:type="spellStart"/>
      <w:r w:rsidRPr="00923467">
        <w:t>NLe</w:t>
      </w:r>
      <w:proofErr w:type="spellEnd"/>
      <w:r w:rsidRPr="00923467">
        <w:t xml:space="preserve"> 2,575,493 was raised as additional revenue from the intervention of the </w:t>
      </w:r>
      <w:r w:rsidR="00564E01" w:rsidRPr="00923467">
        <w:t>RMU</w:t>
      </w:r>
      <w:r w:rsidRPr="00923467">
        <w:t xml:space="preserve">. Table </w:t>
      </w:r>
      <w:r w:rsidR="00C3417D" w:rsidRPr="00923467">
        <w:t xml:space="preserve">14 </w:t>
      </w:r>
      <w:r w:rsidRPr="00923467">
        <w:t xml:space="preserve">shows a breakdown of the additional revenue raised with their corresponding risk factor. From the Table, 59.3% of the revenue raised following the intervention of the RMU was </w:t>
      </w:r>
      <w:proofErr w:type="gramStart"/>
      <w:r w:rsidRPr="00923467">
        <w:t>as a result of</w:t>
      </w:r>
      <w:proofErr w:type="gramEnd"/>
      <w:r w:rsidRPr="00923467">
        <w:t xml:space="preserve"> declaring the wrong value of the goods while 18.1% was </w:t>
      </w:r>
      <w:proofErr w:type="gramStart"/>
      <w:r w:rsidRPr="00923467">
        <w:t>as a result of</w:t>
      </w:r>
      <w:proofErr w:type="gramEnd"/>
      <w:r w:rsidRPr="00923467">
        <w:t xml:space="preserve"> false declaration. Wrong CVC input and wrong HS code accounted for 16.4% and 6.2% respectively. </w:t>
      </w:r>
    </w:p>
    <w:p w14:paraId="35D74C74" w14:textId="77777777" w:rsidR="00542064" w:rsidRPr="00923467" w:rsidRDefault="00542064" w:rsidP="00923467"/>
    <w:tbl>
      <w:tblPr>
        <w:tblStyle w:val="GridTable4-Accent5"/>
        <w:tblW w:w="4815" w:type="dxa"/>
        <w:tblLook w:val="04A0" w:firstRow="1" w:lastRow="0" w:firstColumn="1" w:lastColumn="0" w:noHBand="0" w:noVBand="1"/>
      </w:tblPr>
      <w:tblGrid>
        <w:gridCol w:w="1980"/>
        <w:gridCol w:w="1417"/>
        <w:gridCol w:w="1418"/>
      </w:tblGrid>
      <w:tr w:rsidR="00542064" w:rsidRPr="00923467" w14:paraId="09A7ECAD" w14:textId="77777777" w:rsidTr="00542064">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980" w:type="dxa"/>
          </w:tcPr>
          <w:p w14:paraId="41222034" w14:textId="172C0408" w:rsidR="00542064" w:rsidRPr="00542064" w:rsidRDefault="00542064" w:rsidP="00923467">
            <w:pPr>
              <w:rPr>
                <w:sz w:val="18"/>
                <w:szCs w:val="18"/>
              </w:rPr>
            </w:pPr>
            <w:r w:rsidRPr="00542064">
              <w:rPr>
                <w:sz w:val="18"/>
                <w:szCs w:val="18"/>
              </w:rPr>
              <w:t xml:space="preserve">Suspected Risk Notice </w:t>
            </w:r>
          </w:p>
        </w:tc>
        <w:tc>
          <w:tcPr>
            <w:tcW w:w="1417" w:type="dxa"/>
          </w:tcPr>
          <w:p w14:paraId="35354515" w14:textId="2FAEE6A8" w:rsidR="00542064" w:rsidRPr="00542064" w:rsidRDefault="00542064" w:rsidP="00923467">
            <w:pPr>
              <w:cnfStyle w:val="100000000000" w:firstRow="1" w:lastRow="0" w:firstColumn="0" w:lastColumn="0" w:oddVBand="0" w:evenVBand="0" w:oddHBand="0" w:evenHBand="0" w:firstRowFirstColumn="0" w:firstRowLastColumn="0" w:lastRowFirstColumn="0" w:lastRowLastColumn="0"/>
              <w:rPr>
                <w:sz w:val="18"/>
                <w:szCs w:val="18"/>
              </w:rPr>
            </w:pPr>
            <w:r w:rsidRPr="00542064">
              <w:rPr>
                <w:sz w:val="18"/>
                <w:szCs w:val="18"/>
              </w:rPr>
              <w:t>Revenue Raised</w:t>
            </w:r>
          </w:p>
        </w:tc>
        <w:tc>
          <w:tcPr>
            <w:tcW w:w="1418" w:type="dxa"/>
          </w:tcPr>
          <w:p w14:paraId="6669F34E" w14:textId="4362C474" w:rsidR="00542064" w:rsidRPr="00542064" w:rsidRDefault="00542064" w:rsidP="00923467">
            <w:pPr>
              <w:cnfStyle w:val="100000000000" w:firstRow="1" w:lastRow="0" w:firstColumn="0" w:lastColumn="0" w:oddVBand="0" w:evenVBand="0" w:oddHBand="0" w:evenHBand="0" w:firstRowFirstColumn="0" w:firstRowLastColumn="0" w:lastRowFirstColumn="0" w:lastRowLastColumn="0"/>
              <w:rPr>
                <w:sz w:val="18"/>
                <w:szCs w:val="18"/>
              </w:rPr>
            </w:pPr>
            <w:r w:rsidRPr="00542064">
              <w:rPr>
                <w:sz w:val="18"/>
                <w:szCs w:val="18"/>
              </w:rPr>
              <w:t xml:space="preserve">% Contribution </w:t>
            </w:r>
          </w:p>
        </w:tc>
      </w:tr>
      <w:tr w:rsidR="00542064" w:rsidRPr="00923467" w14:paraId="6F859253" w14:textId="77777777" w:rsidTr="0054206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980" w:type="dxa"/>
            <w:hideMark/>
          </w:tcPr>
          <w:p w14:paraId="588AD014" w14:textId="77777777" w:rsidR="00542064" w:rsidRPr="00542064" w:rsidRDefault="00542064" w:rsidP="00923467">
            <w:pPr>
              <w:rPr>
                <w:b w:val="0"/>
                <w:bCs w:val="0"/>
                <w:sz w:val="18"/>
                <w:szCs w:val="18"/>
              </w:rPr>
            </w:pPr>
            <w:r w:rsidRPr="00542064">
              <w:rPr>
                <w:b w:val="0"/>
                <w:bCs w:val="0"/>
                <w:sz w:val="18"/>
                <w:szCs w:val="18"/>
              </w:rPr>
              <w:t>Value Issues</w:t>
            </w:r>
          </w:p>
        </w:tc>
        <w:tc>
          <w:tcPr>
            <w:tcW w:w="1417" w:type="dxa"/>
            <w:hideMark/>
          </w:tcPr>
          <w:p w14:paraId="605D73E5" w14:textId="77777777" w:rsidR="00542064" w:rsidRPr="00542064" w:rsidRDefault="00542064" w:rsidP="00542064">
            <w:pPr>
              <w:jc w:val="left"/>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1,526,542</w:t>
            </w:r>
          </w:p>
        </w:tc>
        <w:tc>
          <w:tcPr>
            <w:tcW w:w="1418" w:type="dxa"/>
          </w:tcPr>
          <w:p w14:paraId="7C33EFDB" w14:textId="77777777" w:rsidR="00542064" w:rsidRPr="00542064" w:rsidRDefault="00542064" w:rsidP="00542064">
            <w:pPr>
              <w:jc w:val="left"/>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59.3</w:t>
            </w:r>
          </w:p>
        </w:tc>
      </w:tr>
      <w:tr w:rsidR="00542064" w:rsidRPr="00923467" w14:paraId="268DF803" w14:textId="77777777" w:rsidTr="00542064">
        <w:trPr>
          <w:trHeight w:val="405"/>
        </w:trPr>
        <w:tc>
          <w:tcPr>
            <w:cnfStyle w:val="001000000000" w:firstRow="0" w:lastRow="0" w:firstColumn="1" w:lastColumn="0" w:oddVBand="0" w:evenVBand="0" w:oddHBand="0" w:evenHBand="0" w:firstRowFirstColumn="0" w:firstRowLastColumn="0" w:lastRowFirstColumn="0" w:lastRowLastColumn="0"/>
            <w:tcW w:w="1980" w:type="dxa"/>
          </w:tcPr>
          <w:p w14:paraId="553CFFD2" w14:textId="77777777" w:rsidR="00542064" w:rsidRPr="00542064" w:rsidRDefault="00542064" w:rsidP="00923467">
            <w:pPr>
              <w:rPr>
                <w:b w:val="0"/>
                <w:bCs w:val="0"/>
                <w:sz w:val="18"/>
                <w:szCs w:val="18"/>
              </w:rPr>
            </w:pPr>
            <w:r w:rsidRPr="00542064">
              <w:rPr>
                <w:b w:val="0"/>
                <w:bCs w:val="0"/>
                <w:sz w:val="18"/>
                <w:szCs w:val="18"/>
              </w:rPr>
              <w:t>False Declaration</w:t>
            </w:r>
          </w:p>
        </w:tc>
        <w:tc>
          <w:tcPr>
            <w:tcW w:w="1417" w:type="dxa"/>
          </w:tcPr>
          <w:p w14:paraId="202F035E" w14:textId="121A6223" w:rsidR="00542064" w:rsidRPr="00542064" w:rsidRDefault="00542064" w:rsidP="00542064">
            <w:pPr>
              <w:jc w:val="left"/>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467,320</w:t>
            </w:r>
          </w:p>
        </w:tc>
        <w:tc>
          <w:tcPr>
            <w:tcW w:w="1418" w:type="dxa"/>
          </w:tcPr>
          <w:p w14:paraId="46A0EC17" w14:textId="77777777" w:rsidR="00542064" w:rsidRPr="00542064" w:rsidRDefault="00542064" w:rsidP="00542064">
            <w:pPr>
              <w:jc w:val="left"/>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18.1</w:t>
            </w:r>
          </w:p>
        </w:tc>
      </w:tr>
      <w:tr w:rsidR="00542064" w:rsidRPr="00923467" w14:paraId="0A91E682" w14:textId="77777777" w:rsidTr="0054206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980" w:type="dxa"/>
            <w:hideMark/>
          </w:tcPr>
          <w:p w14:paraId="034A8DC1" w14:textId="77777777" w:rsidR="00542064" w:rsidRPr="00542064" w:rsidRDefault="00542064" w:rsidP="00923467">
            <w:pPr>
              <w:rPr>
                <w:b w:val="0"/>
                <w:bCs w:val="0"/>
                <w:sz w:val="18"/>
                <w:szCs w:val="18"/>
              </w:rPr>
            </w:pPr>
            <w:r w:rsidRPr="00542064">
              <w:rPr>
                <w:b w:val="0"/>
                <w:bCs w:val="0"/>
                <w:sz w:val="18"/>
                <w:szCs w:val="18"/>
              </w:rPr>
              <w:t>Wrong CVC Input</w:t>
            </w:r>
          </w:p>
        </w:tc>
        <w:tc>
          <w:tcPr>
            <w:tcW w:w="1417" w:type="dxa"/>
            <w:hideMark/>
          </w:tcPr>
          <w:p w14:paraId="5E2CC8C7" w14:textId="14F40A50" w:rsidR="00542064" w:rsidRPr="00542064" w:rsidRDefault="00542064" w:rsidP="00542064">
            <w:pPr>
              <w:jc w:val="left"/>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421,385</w:t>
            </w:r>
          </w:p>
        </w:tc>
        <w:tc>
          <w:tcPr>
            <w:tcW w:w="1418" w:type="dxa"/>
          </w:tcPr>
          <w:p w14:paraId="771F65D0" w14:textId="77777777" w:rsidR="00542064" w:rsidRPr="00542064" w:rsidRDefault="00542064" w:rsidP="00542064">
            <w:pPr>
              <w:jc w:val="left"/>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16.4</w:t>
            </w:r>
          </w:p>
        </w:tc>
      </w:tr>
      <w:tr w:rsidR="00542064" w:rsidRPr="00923467" w14:paraId="604C17AA" w14:textId="77777777" w:rsidTr="00542064">
        <w:trPr>
          <w:trHeight w:val="368"/>
        </w:trPr>
        <w:tc>
          <w:tcPr>
            <w:cnfStyle w:val="001000000000" w:firstRow="0" w:lastRow="0" w:firstColumn="1" w:lastColumn="0" w:oddVBand="0" w:evenVBand="0" w:oddHBand="0" w:evenHBand="0" w:firstRowFirstColumn="0" w:firstRowLastColumn="0" w:lastRowFirstColumn="0" w:lastRowLastColumn="0"/>
            <w:tcW w:w="1980" w:type="dxa"/>
          </w:tcPr>
          <w:p w14:paraId="5C583C6C" w14:textId="77777777" w:rsidR="00542064" w:rsidRPr="00542064" w:rsidRDefault="00542064" w:rsidP="00923467">
            <w:pPr>
              <w:rPr>
                <w:b w:val="0"/>
                <w:bCs w:val="0"/>
                <w:sz w:val="18"/>
                <w:szCs w:val="18"/>
              </w:rPr>
            </w:pPr>
            <w:r w:rsidRPr="00542064">
              <w:rPr>
                <w:b w:val="0"/>
                <w:bCs w:val="0"/>
                <w:sz w:val="18"/>
                <w:szCs w:val="18"/>
              </w:rPr>
              <w:t>Wrong HS Code</w:t>
            </w:r>
          </w:p>
        </w:tc>
        <w:tc>
          <w:tcPr>
            <w:tcW w:w="1417" w:type="dxa"/>
          </w:tcPr>
          <w:p w14:paraId="4012CFAE" w14:textId="528035DE" w:rsidR="00542064" w:rsidRPr="00542064" w:rsidRDefault="00542064" w:rsidP="00542064">
            <w:pPr>
              <w:jc w:val="left"/>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160,246</w:t>
            </w:r>
          </w:p>
        </w:tc>
        <w:tc>
          <w:tcPr>
            <w:tcW w:w="1418" w:type="dxa"/>
          </w:tcPr>
          <w:p w14:paraId="2CB614E3" w14:textId="4E3E57A4" w:rsidR="00542064" w:rsidRPr="00542064" w:rsidRDefault="00542064" w:rsidP="00542064">
            <w:pPr>
              <w:jc w:val="left"/>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6.2</w:t>
            </w:r>
          </w:p>
        </w:tc>
      </w:tr>
      <w:tr w:rsidR="00542064" w:rsidRPr="00923467" w14:paraId="6353E280" w14:textId="77777777" w:rsidTr="0054206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980" w:type="dxa"/>
            <w:hideMark/>
          </w:tcPr>
          <w:p w14:paraId="1A1255A5" w14:textId="177B9C50" w:rsidR="00542064" w:rsidRPr="00542064" w:rsidRDefault="00542064" w:rsidP="00923467">
            <w:pPr>
              <w:rPr>
                <w:b w:val="0"/>
                <w:bCs w:val="0"/>
                <w:sz w:val="18"/>
                <w:szCs w:val="18"/>
              </w:rPr>
            </w:pPr>
            <w:r>
              <w:rPr>
                <w:sz w:val="18"/>
                <w:szCs w:val="18"/>
              </w:rPr>
              <w:t>Total</w:t>
            </w:r>
          </w:p>
        </w:tc>
        <w:tc>
          <w:tcPr>
            <w:tcW w:w="1417" w:type="dxa"/>
            <w:hideMark/>
          </w:tcPr>
          <w:p w14:paraId="4C6C5A55" w14:textId="77777777" w:rsidR="00542064" w:rsidRPr="00542064" w:rsidRDefault="00542064" w:rsidP="00542064">
            <w:pPr>
              <w:jc w:val="left"/>
              <w:cnfStyle w:val="000000100000" w:firstRow="0" w:lastRow="0" w:firstColumn="0" w:lastColumn="0" w:oddVBand="0" w:evenVBand="0" w:oddHBand="1" w:evenHBand="0" w:firstRowFirstColumn="0" w:firstRowLastColumn="0" w:lastRowFirstColumn="0" w:lastRowLastColumn="0"/>
              <w:rPr>
                <w:b/>
                <w:bCs/>
                <w:sz w:val="18"/>
                <w:szCs w:val="18"/>
              </w:rPr>
            </w:pPr>
            <w:r w:rsidRPr="00542064">
              <w:rPr>
                <w:b/>
                <w:bCs/>
                <w:sz w:val="18"/>
                <w:szCs w:val="18"/>
              </w:rPr>
              <w:t xml:space="preserve"> 2,575,493</w:t>
            </w:r>
          </w:p>
        </w:tc>
        <w:tc>
          <w:tcPr>
            <w:tcW w:w="1418" w:type="dxa"/>
          </w:tcPr>
          <w:p w14:paraId="73D23BFA" w14:textId="77777777" w:rsidR="00542064" w:rsidRPr="00542064" w:rsidRDefault="00542064" w:rsidP="00542064">
            <w:pPr>
              <w:jc w:val="left"/>
              <w:cnfStyle w:val="000000100000" w:firstRow="0" w:lastRow="0" w:firstColumn="0" w:lastColumn="0" w:oddVBand="0" w:evenVBand="0" w:oddHBand="1" w:evenHBand="0" w:firstRowFirstColumn="0" w:firstRowLastColumn="0" w:lastRowFirstColumn="0" w:lastRowLastColumn="0"/>
              <w:rPr>
                <w:b/>
                <w:bCs/>
                <w:sz w:val="18"/>
                <w:szCs w:val="18"/>
              </w:rPr>
            </w:pPr>
          </w:p>
        </w:tc>
      </w:tr>
    </w:tbl>
    <w:p w14:paraId="6A49E390" w14:textId="0C6E0188" w:rsidR="00C3417D" w:rsidRPr="00923467" w:rsidRDefault="00C3417D" w:rsidP="00923467">
      <w:pPr>
        <w:pStyle w:val="Caption"/>
      </w:pPr>
      <w:bookmarkStart w:id="74" w:name="_Toc137831146"/>
      <w:r w:rsidRPr="00923467">
        <w:t xml:space="preserve">Table </w:t>
      </w:r>
      <w:r w:rsidRPr="00923467">
        <w:fldChar w:fldCharType="begin"/>
      </w:r>
      <w:r w:rsidRPr="00923467">
        <w:instrText xml:space="preserve"> SEQ Table \* ARABIC </w:instrText>
      </w:r>
      <w:r w:rsidRPr="00923467">
        <w:fldChar w:fldCharType="separate"/>
      </w:r>
      <w:r w:rsidR="00E12E6B">
        <w:rPr>
          <w:noProof/>
        </w:rPr>
        <w:t>17</w:t>
      </w:r>
      <w:r w:rsidRPr="00923467">
        <w:fldChar w:fldCharType="end"/>
      </w:r>
      <w:r w:rsidRPr="00923467">
        <w:t>: Revenue Raised by the Risk Management Unit, 2022</w:t>
      </w:r>
      <w:bookmarkEnd w:id="74"/>
    </w:p>
    <w:p w14:paraId="24252BEF" w14:textId="77777777" w:rsidR="00323713" w:rsidRPr="00542064" w:rsidRDefault="00323713" w:rsidP="00923467">
      <w:pPr>
        <w:rPr>
          <w:sz w:val="16"/>
          <w:szCs w:val="16"/>
        </w:rPr>
      </w:pPr>
      <w:r w:rsidRPr="00542064">
        <w:rPr>
          <w:sz w:val="16"/>
          <w:szCs w:val="16"/>
        </w:rPr>
        <w:t>Source: CSD</w:t>
      </w:r>
    </w:p>
    <w:p w14:paraId="45E7FF2E" w14:textId="77777777" w:rsidR="00DE3118" w:rsidRPr="00923467" w:rsidRDefault="00DE3118" w:rsidP="00923467"/>
    <w:p w14:paraId="1597F942" w14:textId="4381003A" w:rsidR="00323713" w:rsidRPr="00923467" w:rsidRDefault="00323713" w:rsidP="00EF2D32">
      <w:pPr>
        <w:pStyle w:val="Heading3"/>
      </w:pPr>
      <w:bookmarkStart w:id="75" w:name="_Toc137831102"/>
      <w:r w:rsidRPr="00923467">
        <w:t>Risk Profiling</w:t>
      </w:r>
      <w:bookmarkEnd w:id="75"/>
    </w:p>
    <w:p w14:paraId="46BD0F87" w14:textId="2E80BCD8" w:rsidR="00542064" w:rsidRDefault="00323713" w:rsidP="00923467">
      <w:r w:rsidRPr="00923467">
        <w:t>Risk Profiling is another core function of the RMU which primarily entails the categorisation of importers and brokers based on the nature of risks they pose to revenue and supply chain</w:t>
      </w:r>
      <w:r w:rsidR="00C3417D" w:rsidRPr="00923467">
        <w:t>s</w:t>
      </w:r>
      <w:r w:rsidRPr="00923467">
        <w:t xml:space="preserve">. This function is also relevant to enhancing trade facilitation and effective risk analysis. Profiling is done on a quarterly basis using </w:t>
      </w:r>
      <w:r w:rsidR="00044F5C" w:rsidRPr="00923467">
        <w:t>ASYCUDA</w:t>
      </w:r>
      <w:r w:rsidR="00C3417D" w:rsidRPr="00923467">
        <w:t>-</w:t>
      </w:r>
      <w:r w:rsidR="00044F5C" w:rsidRPr="00923467">
        <w:t xml:space="preserve">generated </w:t>
      </w:r>
      <w:r w:rsidRPr="00923467">
        <w:t xml:space="preserve">data, Post Clearance Audit (PCA) activities and reports, </w:t>
      </w:r>
      <w:r w:rsidR="00201C77" w:rsidRPr="00923467">
        <w:t>Anti-Smuggling Unit (</w:t>
      </w:r>
      <w:r w:rsidRPr="00923467">
        <w:t>ASU</w:t>
      </w:r>
      <w:r w:rsidR="00201C77" w:rsidRPr="00923467">
        <w:t>)</w:t>
      </w:r>
      <w:r w:rsidRPr="00923467">
        <w:t xml:space="preserve"> interdictions and penal actions, and data from the Query and Amendment Unit. Such data is analy</w:t>
      </w:r>
      <w:r w:rsidR="009D4281" w:rsidRPr="00923467">
        <w:t>s</w:t>
      </w:r>
      <w:r w:rsidRPr="00923467">
        <w:t xml:space="preserve">ed to determine the level of compliance of importers and brokers for placement into three selective lanes (red, blue, and yellow lanes). Results generated from profiling is submitted to </w:t>
      </w:r>
      <w:r w:rsidR="00A5317F" w:rsidRPr="00923467">
        <w:t xml:space="preserve">the </w:t>
      </w:r>
      <w:r w:rsidRPr="00923467">
        <w:t>Risk Management Committee as recommendation for management approval.</w:t>
      </w:r>
    </w:p>
    <w:p w14:paraId="01066FC6" w14:textId="77777777" w:rsidR="00542064" w:rsidRPr="00923467" w:rsidRDefault="00542064" w:rsidP="00923467"/>
    <w:p w14:paraId="14ED2684" w14:textId="6EFAB64D" w:rsidR="00323713" w:rsidRDefault="00323713" w:rsidP="00923467">
      <w:r w:rsidRPr="00923467">
        <w:t xml:space="preserve">In 2022, a total of 158 importers were profiled, and 151 importers were recommended for the Blue Lane, 3 importers recommended for the Yellow Lane and 4 importers recommended for the Red Lane. Table </w:t>
      </w:r>
      <w:r w:rsidR="00C3417D" w:rsidRPr="00923467">
        <w:t xml:space="preserve">15 </w:t>
      </w:r>
      <w:r w:rsidRPr="00923467">
        <w:t>provides information on the number of importer</w:t>
      </w:r>
      <w:r w:rsidR="00C3417D" w:rsidRPr="00923467">
        <w:t>s</w:t>
      </w:r>
      <w:r w:rsidRPr="00923467">
        <w:t xml:space="preserve"> and their corresponding selectivity lanes by quarter.</w:t>
      </w:r>
    </w:p>
    <w:p w14:paraId="1846F663" w14:textId="77777777" w:rsidR="00542064" w:rsidRPr="00923467" w:rsidRDefault="00542064" w:rsidP="00923467"/>
    <w:tbl>
      <w:tblPr>
        <w:tblStyle w:val="GridTable4-Accent5"/>
        <w:tblW w:w="4815" w:type="dxa"/>
        <w:tblLook w:val="04A0" w:firstRow="1" w:lastRow="0" w:firstColumn="1" w:lastColumn="0" w:noHBand="0" w:noVBand="1"/>
      </w:tblPr>
      <w:tblGrid>
        <w:gridCol w:w="1129"/>
        <w:gridCol w:w="1134"/>
        <w:gridCol w:w="1276"/>
        <w:gridCol w:w="1276"/>
      </w:tblGrid>
      <w:tr w:rsidR="00323713" w:rsidRPr="00923467" w14:paraId="1468BDD2" w14:textId="77777777" w:rsidTr="0054206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hideMark/>
          </w:tcPr>
          <w:p w14:paraId="68EB64B3" w14:textId="0C2825AA" w:rsidR="00323713" w:rsidRPr="00542064" w:rsidRDefault="00542064" w:rsidP="00923467">
            <w:pPr>
              <w:rPr>
                <w:sz w:val="18"/>
                <w:szCs w:val="18"/>
              </w:rPr>
            </w:pPr>
            <w:r w:rsidRPr="00542064">
              <w:rPr>
                <w:sz w:val="18"/>
                <w:szCs w:val="18"/>
              </w:rPr>
              <w:t>Quarter</w:t>
            </w:r>
          </w:p>
        </w:tc>
        <w:tc>
          <w:tcPr>
            <w:tcW w:w="1134" w:type="dxa"/>
            <w:hideMark/>
          </w:tcPr>
          <w:p w14:paraId="2983238F" w14:textId="6A840BF8" w:rsidR="00323713" w:rsidRPr="00542064" w:rsidRDefault="00542064"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542064">
              <w:rPr>
                <w:sz w:val="18"/>
                <w:szCs w:val="18"/>
              </w:rPr>
              <w:t>Blue Lane</w:t>
            </w:r>
          </w:p>
        </w:tc>
        <w:tc>
          <w:tcPr>
            <w:tcW w:w="1276" w:type="dxa"/>
            <w:hideMark/>
          </w:tcPr>
          <w:p w14:paraId="26F7FA72" w14:textId="3F81AF7E" w:rsidR="00323713" w:rsidRPr="00542064" w:rsidRDefault="00542064"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542064">
              <w:rPr>
                <w:sz w:val="18"/>
                <w:szCs w:val="18"/>
              </w:rPr>
              <w:t>Yellow Lane</w:t>
            </w:r>
          </w:p>
        </w:tc>
        <w:tc>
          <w:tcPr>
            <w:tcW w:w="1276" w:type="dxa"/>
            <w:noWrap/>
            <w:hideMark/>
          </w:tcPr>
          <w:p w14:paraId="124FA48F" w14:textId="552E08D4" w:rsidR="00323713" w:rsidRPr="00542064" w:rsidRDefault="00542064"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542064">
              <w:rPr>
                <w:sz w:val="18"/>
                <w:szCs w:val="18"/>
              </w:rPr>
              <w:t>Red Lane</w:t>
            </w:r>
          </w:p>
        </w:tc>
      </w:tr>
      <w:tr w:rsidR="00323713" w:rsidRPr="00923467" w14:paraId="773CCAF7" w14:textId="77777777" w:rsidTr="005420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hideMark/>
          </w:tcPr>
          <w:p w14:paraId="342A6157" w14:textId="77777777" w:rsidR="00323713" w:rsidRPr="00542064" w:rsidRDefault="00323713" w:rsidP="00923467">
            <w:pPr>
              <w:rPr>
                <w:b w:val="0"/>
                <w:bCs w:val="0"/>
                <w:sz w:val="18"/>
                <w:szCs w:val="18"/>
              </w:rPr>
            </w:pPr>
            <w:r w:rsidRPr="00542064">
              <w:rPr>
                <w:b w:val="0"/>
                <w:bCs w:val="0"/>
                <w:sz w:val="18"/>
                <w:szCs w:val="18"/>
              </w:rPr>
              <w:t>Q1</w:t>
            </w:r>
          </w:p>
        </w:tc>
        <w:tc>
          <w:tcPr>
            <w:tcW w:w="1134" w:type="dxa"/>
            <w:hideMark/>
          </w:tcPr>
          <w:p w14:paraId="58E5197A"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42</w:t>
            </w:r>
          </w:p>
        </w:tc>
        <w:tc>
          <w:tcPr>
            <w:tcW w:w="1276" w:type="dxa"/>
            <w:hideMark/>
          </w:tcPr>
          <w:p w14:paraId="680F331C"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w:t>
            </w:r>
          </w:p>
        </w:tc>
        <w:tc>
          <w:tcPr>
            <w:tcW w:w="1276" w:type="dxa"/>
            <w:hideMark/>
          </w:tcPr>
          <w:p w14:paraId="2A28B88D"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1</w:t>
            </w:r>
          </w:p>
        </w:tc>
      </w:tr>
      <w:tr w:rsidR="00323713" w:rsidRPr="00923467" w14:paraId="5A45EB38" w14:textId="77777777" w:rsidTr="00542064">
        <w:trPr>
          <w:trHeight w:val="300"/>
        </w:trPr>
        <w:tc>
          <w:tcPr>
            <w:cnfStyle w:val="001000000000" w:firstRow="0" w:lastRow="0" w:firstColumn="1" w:lastColumn="0" w:oddVBand="0" w:evenVBand="0" w:oddHBand="0" w:evenHBand="0" w:firstRowFirstColumn="0" w:firstRowLastColumn="0" w:lastRowFirstColumn="0" w:lastRowLastColumn="0"/>
            <w:tcW w:w="1129" w:type="dxa"/>
            <w:hideMark/>
          </w:tcPr>
          <w:p w14:paraId="72436C73" w14:textId="77777777" w:rsidR="00323713" w:rsidRPr="00542064" w:rsidRDefault="00323713" w:rsidP="00923467">
            <w:pPr>
              <w:rPr>
                <w:b w:val="0"/>
                <w:bCs w:val="0"/>
                <w:sz w:val="18"/>
                <w:szCs w:val="18"/>
              </w:rPr>
            </w:pPr>
            <w:r w:rsidRPr="00542064">
              <w:rPr>
                <w:b w:val="0"/>
                <w:bCs w:val="0"/>
                <w:sz w:val="18"/>
                <w:szCs w:val="18"/>
              </w:rPr>
              <w:t>Q2</w:t>
            </w:r>
          </w:p>
        </w:tc>
        <w:tc>
          <w:tcPr>
            <w:tcW w:w="1134" w:type="dxa"/>
            <w:hideMark/>
          </w:tcPr>
          <w:p w14:paraId="1FA46866" w14:textId="77777777" w:rsidR="00323713" w:rsidRPr="00542064" w:rsidRDefault="00323713" w:rsidP="00923467">
            <w:pPr>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30</w:t>
            </w:r>
          </w:p>
        </w:tc>
        <w:tc>
          <w:tcPr>
            <w:tcW w:w="1276" w:type="dxa"/>
            <w:hideMark/>
          </w:tcPr>
          <w:p w14:paraId="0145C4D6" w14:textId="77777777" w:rsidR="00323713" w:rsidRPr="00542064" w:rsidRDefault="00323713" w:rsidP="00923467">
            <w:pPr>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w:t>
            </w:r>
          </w:p>
        </w:tc>
        <w:tc>
          <w:tcPr>
            <w:tcW w:w="1276" w:type="dxa"/>
            <w:hideMark/>
          </w:tcPr>
          <w:p w14:paraId="6C9CE68F" w14:textId="77777777" w:rsidR="00323713" w:rsidRPr="00542064" w:rsidRDefault="00323713" w:rsidP="00923467">
            <w:pPr>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3</w:t>
            </w:r>
          </w:p>
        </w:tc>
      </w:tr>
      <w:tr w:rsidR="00323713" w:rsidRPr="00923467" w14:paraId="37F33E52" w14:textId="77777777" w:rsidTr="005420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hideMark/>
          </w:tcPr>
          <w:p w14:paraId="475D9EAE" w14:textId="77777777" w:rsidR="00323713" w:rsidRPr="00542064" w:rsidRDefault="00323713" w:rsidP="00923467">
            <w:pPr>
              <w:rPr>
                <w:b w:val="0"/>
                <w:bCs w:val="0"/>
                <w:sz w:val="18"/>
                <w:szCs w:val="18"/>
              </w:rPr>
            </w:pPr>
            <w:r w:rsidRPr="00542064">
              <w:rPr>
                <w:b w:val="0"/>
                <w:bCs w:val="0"/>
                <w:sz w:val="18"/>
                <w:szCs w:val="18"/>
              </w:rPr>
              <w:t>Q3</w:t>
            </w:r>
          </w:p>
        </w:tc>
        <w:tc>
          <w:tcPr>
            <w:tcW w:w="1134" w:type="dxa"/>
            <w:hideMark/>
          </w:tcPr>
          <w:p w14:paraId="6D9D6328"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42</w:t>
            </w:r>
          </w:p>
        </w:tc>
        <w:tc>
          <w:tcPr>
            <w:tcW w:w="1276" w:type="dxa"/>
            <w:hideMark/>
          </w:tcPr>
          <w:p w14:paraId="49F1EF97"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2</w:t>
            </w:r>
          </w:p>
        </w:tc>
        <w:tc>
          <w:tcPr>
            <w:tcW w:w="1276" w:type="dxa"/>
            <w:hideMark/>
          </w:tcPr>
          <w:p w14:paraId="618149A6"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w:t>
            </w:r>
          </w:p>
        </w:tc>
      </w:tr>
      <w:tr w:rsidR="00323713" w:rsidRPr="00923467" w14:paraId="7FB09628" w14:textId="77777777" w:rsidTr="00542064">
        <w:trPr>
          <w:trHeight w:val="300"/>
        </w:trPr>
        <w:tc>
          <w:tcPr>
            <w:cnfStyle w:val="001000000000" w:firstRow="0" w:lastRow="0" w:firstColumn="1" w:lastColumn="0" w:oddVBand="0" w:evenVBand="0" w:oddHBand="0" w:evenHBand="0" w:firstRowFirstColumn="0" w:firstRowLastColumn="0" w:lastRowFirstColumn="0" w:lastRowLastColumn="0"/>
            <w:tcW w:w="1129" w:type="dxa"/>
            <w:hideMark/>
          </w:tcPr>
          <w:p w14:paraId="09AAA18A" w14:textId="77777777" w:rsidR="00323713" w:rsidRPr="00542064" w:rsidRDefault="00323713" w:rsidP="00923467">
            <w:pPr>
              <w:rPr>
                <w:b w:val="0"/>
                <w:bCs w:val="0"/>
                <w:sz w:val="18"/>
                <w:szCs w:val="18"/>
              </w:rPr>
            </w:pPr>
            <w:r w:rsidRPr="00542064">
              <w:rPr>
                <w:b w:val="0"/>
                <w:bCs w:val="0"/>
                <w:sz w:val="18"/>
                <w:szCs w:val="18"/>
              </w:rPr>
              <w:t>Q4</w:t>
            </w:r>
          </w:p>
        </w:tc>
        <w:tc>
          <w:tcPr>
            <w:tcW w:w="1134" w:type="dxa"/>
            <w:hideMark/>
          </w:tcPr>
          <w:p w14:paraId="7203E520" w14:textId="77777777" w:rsidR="00323713" w:rsidRPr="00542064" w:rsidRDefault="00323713" w:rsidP="00923467">
            <w:pPr>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37</w:t>
            </w:r>
          </w:p>
        </w:tc>
        <w:tc>
          <w:tcPr>
            <w:tcW w:w="1276" w:type="dxa"/>
            <w:hideMark/>
          </w:tcPr>
          <w:p w14:paraId="1A79ED18" w14:textId="77777777" w:rsidR="00323713" w:rsidRPr="00542064" w:rsidRDefault="00323713" w:rsidP="00923467">
            <w:pPr>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1</w:t>
            </w:r>
          </w:p>
        </w:tc>
        <w:tc>
          <w:tcPr>
            <w:tcW w:w="1276" w:type="dxa"/>
            <w:hideMark/>
          </w:tcPr>
          <w:p w14:paraId="52897DEC" w14:textId="77777777" w:rsidR="00323713" w:rsidRPr="00542064" w:rsidRDefault="00323713" w:rsidP="00923467">
            <w:pPr>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w:t>
            </w:r>
          </w:p>
        </w:tc>
      </w:tr>
      <w:tr w:rsidR="00323713" w:rsidRPr="00923467" w14:paraId="747C8D4D" w14:textId="77777777" w:rsidTr="005420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dxa"/>
            <w:hideMark/>
          </w:tcPr>
          <w:p w14:paraId="347D6B0D" w14:textId="32423984" w:rsidR="00323713" w:rsidRPr="00542064" w:rsidRDefault="00542064" w:rsidP="00923467">
            <w:pPr>
              <w:rPr>
                <w:sz w:val="18"/>
                <w:szCs w:val="18"/>
              </w:rPr>
            </w:pPr>
            <w:r>
              <w:rPr>
                <w:sz w:val="18"/>
                <w:szCs w:val="18"/>
              </w:rPr>
              <w:t>Total</w:t>
            </w:r>
          </w:p>
        </w:tc>
        <w:tc>
          <w:tcPr>
            <w:tcW w:w="1134" w:type="dxa"/>
            <w:hideMark/>
          </w:tcPr>
          <w:p w14:paraId="4A80A890"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542064">
              <w:rPr>
                <w:b/>
                <w:bCs/>
                <w:sz w:val="18"/>
                <w:szCs w:val="18"/>
              </w:rPr>
              <w:t>151</w:t>
            </w:r>
          </w:p>
        </w:tc>
        <w:tc>
          <w:tcPr>
            <w:tcW w:w="1276" w:type="dxa"/>
            <w:hideMark/>
          </w:tcPr>
          <w:p w14:paraId="44CF8A28"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542064">
              <w:rPr>
                <w:b/>
                <w:bCs/>
                <w:sz w:val="18"/>
                <w:szCs w:val="18"/>
              </w:rPr>
              <w:t>3</w:t>
            </w:r>
          </w:p>
        </w:tc>
        <w:tc>
          <w:tcPr>
            <w:tcW w:w="1276" w:type="dxa"/>
            <w:hideMark/>
          </w:tcPr>
          <w:p w14:paraId="68F4054F"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542064">
              <w:rPr>
                <w:b/>
                <w:bCs/>
                <w:sz w:val="18"/>
                <w:szCs w:val="18"/>
              </w:rPr>
              <w:t>4</w:t>
            </w:r>
          </w:p>
        </w:tc>
      </w:tr>
    </w:tbl>
    <w:p w14:paraId="27EB56C3" w14:textId="606B3D1F" w:rsidR="00C3417D" w:rsidRPr="00923467" w:rsidRDefault="00C3417D" w:rsidP="00923467">
      <w:pPr>
        <w:pStyle w:val="Caption"/>
      </w:pPr>
      <w:bookmarkStart w:id="76" w:name="_Toc137831147"/>
      <w:r w:rsidRPr="00923467">
        <w:t xml:space="preserve">Table </w:t>
      </w:r>
      <w:r w:rsidRPr="00923467">
        <w:fldChar w:fldCharType="begin"/>
      </w:r>
      <w:r w:rsidRPr="00923467">
        <w:instrText xml:space="preserve"> SEQ Table \* ARABIC </w:instrText>
      </w:r>
      <w:r w:rsidRPr="00923467">
        <w:fldChar w:fldCharType="separate"/>
      </w:r>
      <w:r w:rsidR="00E12E6B">
        <w:rPr>
          <w:noProof/>
        </w:rPr>
        <w:t>18</w:t>
      </w:r>
      <w:r w:rsidRPr="00923467">
        <w:fldChar w:fldCharType="end"/>
      </w:r>
      <w:r w:rsidRPr="00923467">
        <w:t>: Number of profiled importers by Selectivity Lane in 2022</w:t>
      </w:r>
      <w:bookmarkEnd w:id="76"/>
    </w:p>
    <w:p w14:paraId="6945A880" w14:textId="77777777" w:rsidR="00323713" w:rsidRPr="00542064" w:rsidRDefault="00323713" w:rsidP="00923467">
      <w:pPr>
        <w:rPr>
          <w:sz w:val="16"/>
          <w:szCs w:val="16"/>
        </w:rPr>
      </w:pPr>
      <w:r w:rsidRPr="00542064">
        <w:rPr>
          <w:sz w:val="16"/>
          <w:szCs w:val="16"/>
        </w:rPr>
        <w:t>Source: CSD</w:t>
      </w:r>
    </w:p>
    <w:p w14:paraId="08CF3FF5" w14:textId="77777777" w:rsidR="00542064" w:rsidRPr="00923467" w:rsidRDefault="00542064" w:rsidP="00923467"/>
    <w:p w14:paraId="1D888260" w14:textId="0E291E9D" w:rsidR="00C3417D" w:rsidRPr="00542064" w:rsidRDefault="00323713" w:rsidP="00923467">
      <w:r w:rsidRPr="00923467">
        <w:t xml:space="preserve">Furthermore, the RMU completed the profiling of 411 declarants/brokers. As shown in Table </w:t>
      </w:r>
      <w:r w:rsidR="00C3417D" w:rsidRPr="00923467">
        <w:t>16</w:t>
      </w:r>
      <w:r w:rsidRPr="00923467">
        <w:t>, of the total number of declarants profiled, 275 (</w:t>
      </w:r>
      <w:r w:rsidR="00757623" w:rsidRPr="00923467">
        <w:t>i.e.,</w:t>
      </w:r>
      <w:r w:rsidR="00D740FD" w:rsidRPr="00923467">
        <w:t xml:space="preserve"> </w:t>
      </w:r>
      <w:r w:rsidRPr="00923467">
        <w:t>66.9%) were selected for the Blue Lane, 66 (</w:t>
      </w:r>
      <w:r w:rsidR="001A5ACB" w:rsidRPr="00923467">
        <w:t>i.e.</w:t>
      </w:r>
      <w:r w:rsidR="00757623" w:rsidRPr="00923467">
        <w:t>,</w:t>
      </w:r>
      <w:r w:rsidR="001A5ACB" w:rsidRPr="00923467">
        <w:t xml:space="preserve"> </w:t>
      </w:r>
      <w:r w:rsidRPr="00923467">
        <w:t>16.1%) selected for the Yellow Lane, and 70 (</w:t>
      </w:r>
      <w:r w:rsidR="00D740FD" w:rsidRPr="00923467">
        <w:t>i.e.</w:t>
      </w:r>
      <w:r w:rsidR="00757623" w:rsidRPr="00923467">
        <w:t>,</w:t>
      </w:r>
      <w:r w:rsidR="00D740FD" w:rsidRPr="00923467">
        <w:t xml:space="preserve"> </w:t>
      </w:r>
      <w:r w:rsidRPr="00923467">
        <w:t>17.0%) for the Red Lane.</w:t>
      </w:r>
      <w:r w:rsidR="001A5ACB" w:rsidRPr="00923467">
        <w:t xml:space="preserve"> </w:t>
      </w:r>
    </w:p>
    <w:p w14:paraId="245DA301" w14:textId="2A5351B7" w:rsidR="00323713" w:rsidRPr="00923467" w:rsidRDefault="00323713" w:rsidP="00923467"/>
    <w:tbl>
      <w:tblPr>
        <w:tblStyle w:val="ListTable4-Accent5"/>
        <w:tblW w:w="5098" w:type="dxa"/>
        <w:tblLook w:val="04A0" w:firstRow="1" w:lastRow="0" w:firstColumn="1" w:lastColumn="0" w:noHBand="0" w:noVBand="1"/>
      </w:tblPr>
      <w:tblGrid>
        <w:gridCol w:w="988"/>
        <w:gridCol w:w="992"/>
        <w:gridCol w:w="1134"/>
        <w:gridCol w:w="992"/>
        <w:gridCol w:w="992"/>
      </w:tblGrid>
      <w:tr w:rsidR="00323713" w:rsidRPr="00923467" w14:paraId="3723585D" w14:textId="77777777" w:rsidTr="00542064">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988" w:type="dxa"/>
            <w:hideMark/>
          </w:tcPr>
          <w:p w14:paraId="37431530" w14:textId="344A4F9D" w:rsidR="00323713" w:rsidRPr="00542064" w:rsidRDefault="00542064" w:rsidP="00923467">
            <w:pPr>
              <w:rPr>
                <w:sz w:val="18"/>
                <w:szCs w:val="18"/>
              </w:rPr>
            </w:pPr>
            <w:r w:rsidRPr="00542064">
              <w:rPr>
                <w:sz w:val="18"/>
                <w:szCs w:val="18"/>
              </w:rPr>
              <w:t>Quarter</w:t>
            </w:r>
          </w:p>
        </w:tc>
        <w:tc>
          <w:tcPr>
            <w:tcW w:w="992" w:type="dxa"/>
            <w:hideMark/>
          </w:tcPr>
          <w:p w14:paraId="23909247" w14:textId="36CF46E3" w:rsidR="00323713" w:rsidRPr="00542064" w:rsidRDefault="00542064"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542064">
              <w:rPr>
                <w:sz w:val="18"/>
                <w:szCs w:val="18"/>
              </w:rPr>
              <w:t>Blue Lane</w:t>
            </w:r>
          </w:p>
        </w:tc>
        <w:tc>
          <w:tcPr>
            <w:tcW w:w="1134" w:type="dxa"/>
            <w:hideMark/>
          </w:tcPr>
          <w:p w14:paraId="7C487E56" w14:textId="392BC1C2" w:rsidR="00323713" w:rsidRPr="00542064" w:rsidRDefault="00542064"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542064">
              <w:rPr>
                <w:sz w:val="18"/>
                <w:szCs w:val="18"/>
              </w:rPr>
              <w:t>Yellow Lane</w:t>
            </w:r>
          </w:p>
        </w:tc>
        <w:tc>
          <w:tcPr>
            <w:tcW w:w="992" w:type="dxa"/>
            <w:hideMark/>
          </w:tcPr>
          <w:p w14:paraId="0423B390" w14:textId="62CB933E" w:rsidR="00323713" w:rsidRPr="00542064" w:rsidRDefault="00542064"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542064">
              <w:rPr>
                <w:sz w:val="18"/>
                <w:szCs w:val="18"/>
              </w:rPr>
              <w:t>Red Lane</w:t>
            </w:r>
          </w:p>
        </w:tc>
        <w:tc>
          <w:tcPr>
            <w:tcW w:w="992" w:type="dxa"/>
            <w:hideMark/>
          </w:tcPr>
          <w:p w14:paraId="68AC5AC6" w14:textId="478D4CEE" w:rsidR="00323713" w:rsidRPr="00542064" w:rsidRDefault="00542064"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542064">
              <w:rPr>
                <w:sz w:val="18"/>
                <w:szCs w:val="18"/>
              </w:rPr>
              <w:t>Total</w:t>
            </w:r>
          </w:p>
        </w:tc>
      </w:tr>
      <w:tr w:rsidR="00323713" w:rsidRPr="00923467" w14:paraId="33757790" w14:textId="77777777" w:rsidTr="00542064">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88" w:type="dxa"/>
            <w:hideMark/>
          </w:tcPr>
          <w:p w14:paraId="6201B9FB" w14:textId="77777777" w:rsidR="00323713" w:rsidRPr="00542064" w:rsidRDefault="00323713" w:rsidP="00923467">
            <w:pPr>
              <w:rPr>
                <w:sz w:val="18"/>
                <w:szCs w:val="18"/>
              </w:rPr>
            </w:pPr>
            <w:r w:rsidRPr="00542064">
              <w:rPr>
                <w:sz w:val="18"/>
                <w:szCs w:val="18"/>
              </w:rPr>
              <w:t>Q1</w:t>
            </w:r>
          </w:p>
        </w:tc>
        <w:tc>
          <w:tcPr>
            <w:tcW w:w="992" w:type="dxa"/>
            <w:hideMark/>
          </w:tcPr>
          <w:p w14:paraId="7748B5FC"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40</w:t>
            </w:r>
          </w:p>
        </w:tc>
        <w:tc>
          <w:tcPr>
            <w:tcW w:w="1134" w:type="dxa"/>
            <w:hideMark/>
          </w:tcPr>
          <w:p w14:paraId="3B7A82A7"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22</w:t>
            </w:r>
          </w:p>
        </w:tc>
        <w:tc>
          <w:tcPr>
            <w:tcW w:w="992" w:type="dxa"/>
            <w:hideMark/>
          </w:tcPr>
          <w:p w14:paraId="65F30F1E"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36</w:t>
            </w:r>
          </w:p>
        </w:tc>
        <w:tc>
          <w:tcPr>
            <w:tcW w:w="992" w:type="dxa"/>
            <w:noWrap/>
            <w:hideMark/>
          </w:tcPr>
          <w:p w14:paraId="3897D28F"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98</w:t>
            </w:r>
          </w:p>
        </w:tc>
      </w:tr>
      <w:tr w:rsidR="00323713" w:rsidRPr="00923467" w14:paraId="04E282D9" w14:textId="77777777" w:rsidTr="00542064">
        <w:trPr>
          <w:trHeight w:val="300"/>
        </w:trPr>
        <w:tc>
          <w:tcPr>
            <w:cnfStyle w:val="001000000000" w:firstRow="0" w:lastRow="0" w:firstColumn="1" w:lastColumn="0" w:oddVBand="0" w:evenVBand="0" w:oddHBand="0" w:evenHBand="0" w:firstRowFirstColumn="0" w:firstRowLastColumn="0" w:lastRowFirstColumn="0" w:lastRowLastColumn="0"/>
            <w:tcW w:w="988" w:type="dxa"/>
            <w:hideMark/>
          </w:tcPr>
          <w:p w14:paraId="3C78B152" w14:textId="77777777" w:rsidR="00323713" w:rsidRPr="00542064" w:rsidRDefault="00323713" w:rsidP="00923467">
            <w:pPr>
              <w:rPr>
                <w:sz w:val="18"/>
                <w:szCs w:val="18"/>
              </w:rPr>
            </w:pPr>
            <w:r w:rsidRPr="00542064">
              <w:rPr>
                <w:sz w:val="18"/>
                <w:szCs w:val="18"/>
              </w:rPr>
              <w:t>Q2</w:t>
            </w:r>
          </w:p>
        </w:tc>
        <w:tc>
          <w:tcPr>
            <w:tcW w:w="992" w:type="dxa"/>
            <w:hideMark/>
          </w:tcPr>
          <w:p w14:paraId="7D3760BD" w14:textId="77777777" w:rsidR="00323713" w:rsidRPr="00542064" w:rsidRDefault="00323713" w:rsidP="00923467">
            <w:pPr>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121</w:t>
            </w:r>
          </w:p>
        </w:tc>
        <w:tc>
          <w:tcPr>
            <w:tcW w:w="1134" w:type="dxa"/>
            <w:hideMark/>
          </w:tcPr>
          <w:p w14:paraId="50873D94" w14:textId="77777777" w:rsidR="00323713" w:rsidRPr="00542064" w:rsidRDefault="00323713" w:rsidP="00923467">
            <w:pPr>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7</w:t>
            </w:r>
          </w:p>
        </w:tc>
        <w:tc>
          <w:tcPr>
            <w:tcW w:w="992" w:type="dxa"/>
            <w:hideMark/>
          </w:tcPr>
          <w:p w14:paraId="6F52279C" w14:textId="77777777" w:rsidR="00323713" w:rsidRPr="00542064" w:rsidRDefault="00323713" w:rsidP="00923467">
            <w:pPr>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10</w:t>
            </w:r>
          </w:p>
        </w:tc>
        <w:tc>
          <w:tcPr>
            <w:tcW w:w="992" w:type="dxa"/>
            <w:noWrap/>
            <w:hideMark/>
          </w:tcPr>
          <w:p w14:paraId="3DC68B80" w14:textId="77777777" w:rsidR="00323713" w:rsidRPr="00542064" w:rsidRDefault="00323713" w:rsidP="00923467">
            <w:pPr>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138</w:t>
            </w:r>
          </w:p>
        </w:tc>
      </w:tr>
      <w:tr w:rsidR="00323713" w:rsidRPr="00923467" w14:paraId="67542FD2" w14:textId="77777777" w:rsidTr="005420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hideMark/>
          </w:tcPr>
          <w:p w14:paraId="00C26E0B" w14:textId="77777777" w:rsidR="00323713" w:rsidRPr="00542064" w:rsidRDefault="00323713" w:rsidP="00923467">
            <w:pPr>
              <w:rPr>
                <w:sz w:val="18"/>
                <w:szCs w:val="18"/>
              </w:rPr>
            </w:pPr>
            <w:r w:rsidRPr="00542064">
              <w:rPr>
                <w:sz w:val="18"/>
                <w:szCs w:val="18"/>
              </w:rPr>
              <w:t>Q3</w:t>
            </w:r>
          </w:p>
        </w:tc>
        <w:tc>
          <w:tcPr>
            <w:tcW w:w="992" w:type="dxa"/>
            <w:hideMark/>
          </w:tcPr>
          <w:p w14:paraId="3E0439BE"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43</w:t>
            </w:r>
          </w:p>
        </w:tc>
        <w:tc>
          <w:tcPr>
            <w:tcW w:w="1134" w:type="dxa"/>
            <w:hideMark/>
          </w:tcPr>
          <w:p w14:paraId="43280C22"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28</w:t>
            </w:r>
          </w:p>
        </w:tc>
        <w:tc>
          <w:tcPr>
            <w:tcW w:w="992" w:type="dxa"/>
            <w:hideMark/>
          </w:tcPr>
          <w:p w14:paraId="72665F0C"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16</w:t>
            </w:r>
          </w:p>
        </w:tc>
        <w:tc>
          <w:tcPr>
            <w:tcW w:w="992" w:type="dxa"/>
            <w:noWrap/>
            <w:hideMark/>
          </w:tcPr>
          <w:p w14:paraId="5C59425F" w14:textId="77777777" w:rsidR="00323713" w:rsidRPr="00542064" w:rsidRDefault="00323713" w:rsidP="00923467">
            <w:pPr>
              <w:cnfStyle w:val="000000100000" w:firstRow="0" w:lastRow="0" w:firstColumn="0" w:lastColumn="0" w:oddVBand="0" w:evenVBand="0" w:oddHBand="1" w:evenHBand="0" w:firstRowFirstColumn="0" w:firstRowLastColumn="0" w:lastRowFirstColumn="0" w:lastRowLastColumn="0"/>
              <w:rPr>
                <w:sz w:val="18"/>
                <w:szCs w:val="18"/>
              </w:rPr>
            </w:pPr>
            <w:r w:rsidRPr="00542064">
              <w:rPr>
                <w:sz w:val="18"/>
                <w:szCs w:val="18"/>
              </w:rPr>
              <w:t>87</w:t>
            </w:r>
          </w:p>
        </w:tc>
      </w:tr>
      <w:tr w:rsidR="00323713" w:rsidRPr="00923467" w14:paraId="351F01E8" w14:textId="77777777" w:rsidTr="00542064">
        <w:trPr>
          <w:trHeight w:val="315"/>
        </w:trPr>
        <w:tc>
          <w:tcPr>
            <w:cnfStyle w:val="001000000000" w:firstRow="0" w:lastRow="0" w:firstColumn="1" w:lastColumn="0" w:oddVBand="0" w:evenVBand="0" w:oddHBand="0" w:evenHBand="0" w:firstRowFirstColumn="0" w:firstRowLastColumn="0" w:lastRowFirstColumn="0" w:lastRowLastColumn="0"/>
            <w:tcW w:w="988" w:type="dxa"/>
            <w:hideMark/>
          </w:tcPr>
          <w:p w14:paraId="23BB680D" w14:textId="77777777" w:rsidR="00323713" w:rsidRPr="00542064" w:rsidRDefault="00323713" w:rsidP="00923467">
            <w:pPr>
              <w:rPr>
                <w:sz w:val="18"/>
                <w:szCs w:val="18"/>
              </w:rPr>
            </w:pPr>
            <w:r w:rsidRPr="00542064">
              <w:rPr>
                <w:sz w:val="18"/>
                <w:szCs w:val="18"/>
              </w:rPr>
              <w:t>Q4</w:t>
            </w:r>
          </w:p>
        </w:tc>
        <w:tc>
          <w:tcPr>
            <w:tcW w:w="992" w:type="dxa"/>
            <w:hideMark/>
          </w:tcPr>
          <w:p w14:paraId="67938F9D" w14:textId="77777777" w:rsidR="00323713" w:rsidRPr="00542064" w:rsidRDefault="00323713" w:rsidP="00923467">
            <w:pPr>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71</w:t>
            </w:r>
          </w:p>
        </w:tc>
        <w:tc>
          <w:tcPr>
            <w:tcW w:w="1134" w:type="dxa"/>
            <w:hideMark/>
          </w:tcPr>
          <w:p w14:paraId="22F97286" w14:textId="77777777" w:rsidR="00323713" w:rsidRPr="00542064" w:rsidRDefault="00323713" w:rsidP="00923467">
            <w:pPr>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9</w:t>
            </w:r>
          </w:p>
        </w:tc>
        <w:tc>
          <w:tcPr>
            <w:tcW w:w="992" w:type="dxa"/>
            <w:hideMark/>
          </w:tcPr>
          <w:p w14:paraId="56AB3527" w14:textId="77777777" w:rsidR="00323713" w:rsidRPr="00542064" w:rsidRDefault="00323713" w:rsidP="00923467">
            <w:pPr>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8</w:t>
            </w:r>
          </w:p>
        </w:tc>
        <w:tc>
          <w:tcPr>
            <w:tcW w:w="992" w:type="dxa"/>
            <w:noWrap/>
            <w:hideMark/>
          </w:tcPr>
          <w:p w14:paraId="0122F509" w14:textId="77777777" w:rsidR="00323713" w:rsidRPr="00542064" w:rsidRDefault="00323713" w:rsidP="00923467">
            <w:pPr>
              <w:cnfStyle w:val="000000000000" w:firstRow="0" w:lastRow="0" w:firstColumn="0" w:lastColumn="0" w:oddVBand="0" w:evenVBand="0" w:oddHBand="0" w:evenHBand="0" w:firstRowFirstColumn="0" w:firstRowLastColumn="0" w:lastRowFirstColumn="0" w:lastRowLastColumn="0"/>
              <w:rPr>
                <w:sz w:val="18"/>
                <w:szCs w:val="18"/>
              </w:rPr>
            </w:pPr>
            <w:r w:rsidRPr="00542064">
              <w:rPr>
                <w:sz w:val="18"/>
                <w:szCs w:val="18"/>
              </w:rPr>
              <w:t>88</w:t>
            </w:r>
          </w:p>
        </w:tc>
      </w:tr>
      <w:tr w:rsidR="00323713" w:rsidRPr="00923467" w14:paraId="111C98DB" w14:textId="77777777" w:rsidTr="005420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8" w:type="dxa"/>
            <w:hideMark/>
          </w:tcPr>
          <w:p w14:paraId="0198FE7F" w14:textId="04144133" w:rsidR="00323713" w:rsidRPr="00542064" w:rsidRDefault="00542064" w:rsidP="00923467">
            <w:pPr>
              <w:rPr>
                <w:sz w:val="18"/>
                <w:szCs w:val="18"/>
              </w:rPr>
            </w:pPr>
            <w:r>
              <w:rPr>
                <w:sz w:val="18"/>
                <w:szCs w:val="18"/>
              </w:rPr>
              <w:t>Total</w:t>
            </w:r>
          </w:p>
        </w:tc>
        <w:tc>
          <w:tcPr>
            <w:tcW w:w="992" w:type="dxa"/>
            <w:hideMark/>
          </w:tcPr>
          <w:p w14:paraId="65680B9D" w14:textId="77777777" w:rsidR="00323713" w:rsidRPr="00A66409" w:rsidRDefault="00323713"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A66409">
              <w:rPr>
                <w:b/>
                <w:bCs/>
                <w:sz w:val="18"/>
                <w:szCs w:val="18"/>
              </w:rPr>
              <w:t>275</w:t>
            </w:r>
          </w:p>
        </w:tc>
        <w:tc>
          <w:tcPr>
            <w:tcW w:w="1134" w:type="dxa"/>
            <w:hideMark/>
          </w:tcPr>
          <w:p w14:paraId="63927471" w14:textId="77777777" w:rsidR="00323713" w:rsidRPr="00A66409" w:rsidRDefault="00323713"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A66409">
              <w:rPr>
                <w:b/>
                <w:bCs/>
                <w:sz w:val="18"/>
                <w:szCs w:val="18"/>
              </w:rPr>
              <w:t>66</w:t>
            </w:r>
          </w:p>
        </w:tc>
        <w:tc>
          <w:tcPr>
            <w:tcW w:w="992" w:type="dxa"/>
            <w:hideMark/>
          </w:tcPr>
          <w:p w14:paraId="0489FE0D" w14:textId="77777777" w:rsidR="00323713" w:rsidRPr="00A66409" w:rsidRDefault="00323713"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A66409">
              <w:rPr>
                <w:b/>
                <w:bCs/>
                <w:sz w:val="18"/>
                <w:szCs w:val="18"/>
              </w:rPr>
              <w:t>70</w:t>
            </w:r>
          </w:p>
        </w:tc>
        <w:tc>
          <w:tcPr>
            <w:tcW w:w="992" w:type="dxa"/>
            <w:noWrap/>
            <w:hideMark/>
          </w:tcPr>
          <w:p w14:paraId="3CE3FAE3" w14:textId="77777777" w:rsidR="00323713" w:rsidRPr="00A66409" w:rsidRDefault="00323713"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A66409">
              <w:rPr>
                <w:b/>
                <w:bCs/>
                <w:sz w:val="18"/>
                <w:szCs w:val="18"/>
              </w:rPr>
              <w:t>411</w:t>
            </w:r>
          </w:p>
        </w:tc>
      </w:tr>
    </w:tbl>
    <w:p w14:paraId="0763929E" w14:textId="4455DEFD" w:rsidR="00C3417D" w:rsidRPr="00923467" w:rsidRDefault="00C3417D" w:rsidP="00923467">
      <w:pPr>
        <w:pStyle w:val="Caption"/>
      </w:pPr>
      <w:bookmarkStart w:id="77" w:name="_Toc137831148"/>
      <w:r w:rsidRPr="00923467">
        <w:t xml:space="preserve">Table </w:t>
      </w:r>
      <w:r w:rsidRPr="00923467">
        <w:fldChar w:fldCharType="begin"/>
      </w:r>
      <w:r w:rsidRPr="00923467">
        <w:instrText xml:space="preserve"> SEQ Table \* ARABIC </w:instrText>
      </w:r>
      <w:r w:rsidRPr="00923467">
        <w:fldChar w:fldCharType="separate"/>
      </w:r>
      <w:r w:rsidR="00E12E6B">
        <w:rPr>
          <w:noProof/>
        </w:rPr>
        <w:t>19</w:t>
      </w:r>
      <w:r w:rsidRPr="00923467">
        <w:fldChar w:fldCharType="end"/>
      </w:r>
      <w:r w:rsidRPr="00923467">
        <w:t>: Number of profiled declarants by Selectivity Lane in 2022</w:t>
      </w:r>
      <w:bookmarkEnd w:id="77"/>
    </w:p>
    <w:p w14:paraId="1120BA7D" w14:textId="77777777" w:rsidR="00323713" w:rsidRPr="00542064" w:rsidRDefault="00323713" w:rsidP="00923467">
      <w:pPr>
        <w:rPr>
          <w:sz w:val="16"/>
          <w:szCs w:val="16"/>
        </w:rPr>
      </w:pPr>
      <w:r w:rsidRPr="00542064">
        <w:rPr>
          <w:sz w:val="16"/>
          <w:szCs w:val="16"/>
        </w:rPr>
        <w:t>Source: CSD</w:t>
      </w:r>
    </w:p>
    <w:p w14:paraId="5D88CD72" w14:textId="77777777" w:rsidR="00C3417D" w:rsidRPr="00923467" w:rsidRDefault="00C3417D" w:rsidP="00923467"/>
    <w:p w14:paraId="2F9F1857" w14:textId="239B8DEB" w:rsidR="00323713" w:rsidRPr="00923467" w:rsidRDefault="00B04696" w:rsidP="00EF2D32">
      <w:pPr>
        <w:pStyle w:val="Heading3"/>
      </w:pPr>
      <w:bookmarkStart w:id="78" w:name="_Toc137831103"/>
      <w:r w:rsidRPr="00923467">
        <w:t>Anti-Smuggling Operations</w:t>
      </w:r>
      <w:bookmarkEnd w:id="78"/>
    </w:p>
    <w:p w14:paraId="05758DA9" w14:textId="11A9C224" w:rsidR="00323713" w:rsidRDefault="00323713" w:rsidP="00923467">
      <w:r w:rsidRPr="00923467">
        <w:t xml:space="preserve">Anti-smuggling operations at the CSD, whether they are covert or overt </w:t>
      </w:r>
      <w:r w:rsidR="00473A2D" w:rsidRPr="00923467">
        <w:t>are</w:t>
      </w:r>
      <w:r w:rsidRPr="00923467">
        <w:t xml:space="preserve"> led by the ASU</w:t>
      </w:r>
      <w:r w:rsidR="00E1714F" w:rsidRPr="00923467">
        <w:t xml:space="preserve"> –</w:t>
      </w:r>
      <w:r w:rsidRPr="00923467">
        <w:t xml:space="preserve"> established as an operational arm of the Department, but under the direct supervision of the CG. As its name implies, it is responsible for tackling smuggling by conducting and partaking in joint border patrols</w:t>
      </w:r>
      <w:r w:rsidR="00C30B20" w:rsidRPr="00923467">
        <w:t xml:space="preserve"> and</w:t>
      </w:r>
      <w:r w:rsidRPr="00923467">
        <w:t xml:space="preserve"> investigations and </w:t>
      </w:r>
      <w:r w:rsidR="00C64679" w:rsidRPr="00923467">
        <w:t xml:space="preserve">the </w:t>
      </w:r>
      <w:r w:rsidRPr="00923467">
        <w:t>effective monitoring of CSD’s general operations to minimise the incidence of smuggling. The Unit has a further mandate to prevent the importation/exportation of contraband goods into/from Sierra Leone. The role of ASU is exclusively complementary in revenue mobilisation.</w:t>
      </w:r>
    </w:p>
    <w:p w14:paraId="0AF46C75" w14:textId="77777777" w:rsidR="00A66409" w:rsidRPr="00923467" w:rsidRDefault="00A66409" w:rsidP="00923467"/>
    <w:p w14:paraId="1235F9A3" w14:textId="77777777" w:rsidR="00A66409" w:rsidRDefault="00323713" w:rsidP="00923467">
      <w:r w:rsidRPr="00923467">
        <w:t>The ASU operation is divided into two: one division responsible for monitoring and investigations which is exclusively deployed at the Freetown Port, and the other division responsible for Border Controls and Management (BCM) with primary mandate of preventing illegal cross border activities and coordinating joint border operations with the security and other border regulatory agencies.</w:t>
      </w:r>
    </w:p>
    <w:p w14:paraId="09C84DE3" w14:textId="5DF16ED6" w:rsidR="00323713" w:rsidRPr="00923467" w:rsidRDefault="00323713" w:rsidP="00923467">
      <w:r w:rsidRPr="00923467">
        <w:t xml:space="preserve">  </w:t>
      </w:r>
    </w:p>
    <w:p w14:paraId="6460A77F" w14:textId="7BF483A5" w:rsidR="00323713" w:rsidRPr="00923467" w:rsidRDefault="00323713" w:rsidP="00923467">
      <w:r w:rsidRPr="00923467">
        <w:t>While the revenue collection environment remained challenging in 2022, the ASU focused exclusively on collaboration with other teams including</w:t>
      </w:r>
      <w:r w:rsidR="00C64679" w:rsidRPr="00923467">
        <w:t xml:space="preserve"> the</w:t>
      </w:r>
      <w:r w:rsidRPr="00923467">
        <w:t xml:space="preserve"> RMU, Trade &amp; Tariff Unit and Physical Examination Unit to identify high risk consignments, which assisted a great deal in minimising leakages.</w:t>
      </w:r>
    </w:p>
    <w:p w14:paraId="0F680733" w14:textId="77777777" w:rsidR="00E1714F" w:rsidRPr="00923467" w:rsidRDefault="00E1714F" w:rsidP="00923467"/>
    <w:p w14:paraId="6B06AF84" w14:textId="24453655" w:rsidR="00323713" w:rsidRPr="00923467" w:rsidRDefault="00B04696" w:rsidP="00EF2D32">
      <w:pPr>
        <w:pStyle w:val="Heading3"/>
      </w:pPr>
      <w:bookmarkStart w:id="79" w:name="_Toc137831104"/>
      <w:r w:rsidRPr="00923467">
        <w:t>Post Clearance Audit (PCA) Activities</w:t>
      </w:r>
      <w:bookmarkEnd w:id="79"/>
    </w:p>
    <w:p w14:paraId="59607ED5" w14:textId="576BA9A1" w:rsidR="00323713" w:rsidRPr="00923467" w:rsidRDefault="00323713" w:rsidP="00923467">
      <w:r w:rsidRPr="00923467">
        <w:t xml:space="preserve">The role of the PCA is to conduct field and desk audits by way of verifying the accuracy of import documents including </w:t>
      </w:r>
      <w:r w:rsidR="00EB3F03" w:rsidRPr="00923467">
        <w:t>C</w:t>
      </w:r>
      <w:r w:rsidRPr="00923467">
        <w:t xml:space="preserve">ustoms declarations, accounting records, and all other relevant commercial data held by persons or entities that are directly or indirectly engaged in </w:t>
      </w:r>
      <w:r w:rsidR="00256042" w:rsidRPr="00923467">
        <w:t>c</w:t>
      </w:r>
      <w:r w:rsidRPr="00923467">
        <w:t xml:space="preserve">ross-border trade. PCA activities characterises modern Customs administrations and is aimed at improving </w:t>
      </w:r>
      <w:r w:rsidR="005430D5" w:rsidRPr="00923467">
        <w:t>C</w:t>
      </w:r>
      <w:r w:rsidRPr="00923467">
        <w:t>ustoms revenue recovery and increas</w:t>
      </w:r>
      <w:r w:rsidR="00C64679" w:rsidRPr="00923467">
        <w:t>ing</w:t>
      </w:r>
      <w:r w:rsidRPr="00923467">
        <w:t xml:space="preserve"> turn-around time by reducing intrusive examinations through </w:t>
      </w:r>
      <w:r w:rsidR="00C64679" w:rsidRPr="00923467">
        <w:t xml:space="preserve">a </w:t>
      </w:r>
      <w:r w:rsidRPr="00923467">
        <w:t>risk</w:t>
      </w:r>
      <w:r w:rsidR="00C64679" w:rsidRPr="00923467">
        <w:t>-</w:t>
      </w:r>
      <w:r w:rsidRPr="00923467">
        <w:t>based audit approach. The PCA Unit collaborate</w:t>
      </w:r>
      <w:r w:rsidR="00E1714F" w:rsidRPr="00923467">
        <w:t>s</w:t>
      </w:r>
      <w:r w:rsidRPr="00923467">
        <w:t xml:space="preserve"> with the RMU </w:t>
      </w:r>
      <w:r w:rsidR="00E1714F" w:rsidRPr="00923467">
        <w:t xml:space="preserve">to </w:t>
      </w:r>
      <w:r w:rsidRPr="00923467">
        <w:t>develop the annual Risk Register for profiling and provide feedback to the Trade and Tariff Unit.</w:t>
      </w:r>
      <w:r w:rsidR="0005120F">
        <w:t xml:space="preserve"> </w:t>
      </w:r>
      <w:r w:rsidRPr="00923467">
        <w:t>During the period under review, the PCA conducted 153 audits</w:t>
      </w:r>
      <w:r w:rsidR="00E1714F" w:rsidRPr="00923467">
        <w:t xml:space="preserve">, of which </w:t>
      </w:r>
      <w:r w:rsidRPr="00923467">
        <w:t>144 were completed</w:t>
      </w:r>
      <w:r w:rsidR="00E1714F" w:rsidRPr="00923467">
        <w:t>,</w:t>
      </w:r>
      <w:r w:rsidRPr="00923467">
        <w:t xml:space="preserve"> and </w:t>
      </w:r>
      <w:r w:rsidR="00E1714F" w:rsidRPr="00923467">
        <w:t xml:space="preserve">recovered </w:t>
      </w:r>
      <w:r w:rsidRPr="00923467">
        <w:t xml:space="preserve">revenue to the tune of NLe2,959,566 for various Customs infringements.  </w:t>
      </w:r>
    </w:p>
    <w:p w14:paraId="25FF2B7C" w14:textId="77777777" w:rsidR="00E1714F" w:rsidRDefault="00E1714F" w:rsidP="00923467"/>
    <w:p w14:paraId="70E279CA" w14:textId="77777777" w:rsidR="00A66409" w:rsidRPr="00923467" w:rsidRDefault="00A66409" w:rsidP="00923467"/>
    <w:p w14:paraId="64EF7E2A" w14:textId="3B671CEA" w:rsidR="00B04696" w:rsidRPr="00923467" w:rsidRDefault="00B04696" w:rsidP="00A66409">
      <w:pPr>
        <w:pStyle w:val="Heading2"/>
      </w:pPr>
      <w:bookmarkStart w:id="80" w:name="_Toc137831105"/>
      <w:r w:rsidRPr="00923467">
        <w:t>OTHER CUSTOMS ACTIVITES</w:t>
      </w:r>
      <w:bookmarkEnd w:id="80"/>
    </w:p>
    <w:p w14:paraId="65EE99E7" w14:textId="2D04B343" w:rsidR="00323713" w:rsidRPr="00923467" w:rsidRDefault="00B04696" w:rsidP="00EF2D32">
      <w:pPr>
        <w:pStyle w:val="Heading3"/>
      </w:pPr>
      <w:bookmarkStart w:id="81" w:name="_Toc137831106"/>
      <w:r w:rsidRPr="00923467">
        <w:t xml:space="preserve">Debt Recovery </w:t>
      </w:r>
      <w:r w:rsidR="0005120F">
        <w:t>a</w:t>
      </w:r>
      <w:r w:rsidRPr="00923467">
        <w:t>nd Management</w:t>
      </w:r>
      <w:bookmarkEnd w:id="81"/>
      <w:r w:rsidRPr="00923467">
        <w:t xml:space="preserve"> </w:t>
      </w:r>
    </w:p>
    <w:p w14:paraId="0D931BAC" w14:textId="19949E50" w:rsidR="00323713" w:rsidRDefault="00323713" w:rsidP="00923467">
      <w:r w:rsidRPr="00923467">
        <w:t>The Debt Management Unit (DMU) has the responsibility of managing all credits by way of processing, monitoring, and ensuring payment of all credits granted to people or entities engaged in import trade. Such request</w:t>
      </w:r>
      <w:r w:rsidR="00C64679" w:rsidRPr="00923467">
        <w:t>s</w:t>
      </w:r>
      <w:r w:rsidRPr="00923467">
        <w:t xml:space="preserve"> </w:t>
      </w:r>
      <w:r w:rsidR="00C64679" w:rsidRPr="00923467">
        <w:t>are</w:t>
      </w:r>
      <w:r w:rsidRPr="00923467">
        <w:t xml:space="preserve"> made and approved through the Commissioner-General’s Office or his representative.</w:t>
      </w:r>
    </w:p>
    <w:p w14:paraId="34BCA6A3" w14:textId="77777777" w:rsidR="00A66409" w:rsidRPr="00923467" w:rsidRDefault="00A66409" w:rsidP="00923467"/>
    <w:p w14:paraId="62F67E62" w14:textId="6A19D856" w:rsidR="00E1714F" w:rsidRDefault="00323713" w:rsidP="00923467">
      <w:r w:rsidRPr="00923467">
        <w:t>In 2022, the DMU processed a total of 27 credit requests of which 11 have completed payments while the remaining 16 are on payment plan</w:t>
      </w:r>
      <w:r w:rsidR="00C64679" w:rsidRPr="00923467">
        <w:t>s</w:t>
      </w:r>
      <w:r w:rsidRPr="00923467">
        <w:t xml:space="preserve">. The DMU adopted various strategies </w:t>
      </w:r>
      <w:r w:rsidR="00E86423" w:rsidRPr="00923467">
        <w:t>to</w:t>
      </w:r>
      <w:r w:rsidRPr="00923467">
        <w:t xml:space="preserve"> collect </w:t>
      </w:r>
      <w:r w:rsidR="00C64679" w:rsidRPr="00923467">
        <w:t>C</w:t>
      </w:r>
      <w:r w:rsidRPr="00923467">
        <w:t>ustoms debt including reminding debtors of their debt obligations through making phone calls and writing letters. The Unit also conducted joint operations</w:t>
      </w:r>
      <w:r w:rsidR="00C64679" w:rsidRPr="00923467">
        <w:t>,</w:t>
      </w:r>
      <w:r w:rsidRPr="00923467">
        <w:t xml:space="preserve"> especially </w:t>
      </w:r>
      <w:r w:rsidR="00C64679" w:rsidRPr="00923467">
        <w:t xml:space="preserve">with </w:t>
      </w:r>
      <w:r w:rsidRPr="00923467">
        <w:t xml:space="preserve">the ASU in the recovery of </w:t>
      </w:r>
      <w:r w:rsidR="00FD16D4" w:rsidRPr="00923467">
        <w:t>C</w:t>
      </w:r>
      <w:r w:rsidRPr="00923467">
        <w:t xml:space="preserve">ustoms debt. These joint operations were to either give strong warnings to defaulters or to seal off business premises. These operations </w:t>
      </w:r>
      <w:proofErr w:type="gramStart"/>
      <w:r w:rsidRPr="00923467">
        <w:t>to a large extent yielded</w:t>
      </w:r>
      <w:proofErr w:type="gramEnd"/>
      <w:r w:rsidRPr="00923467">
        <w:t xml:space="preserve"> </w:t>
      </w:r>
      <w:r w:rsidR="003931BD" w:rsidRPr="00923467">
        <w:t xml:space="preserve">positive </w:t>
      </w:r>
      <w:r w:rsidRPr="00923467">
        <w:t>results in debt recovery.</w:t>
      </w:r>
    </w:p>
    <w:p w14:paraId="3F235DD1" w14:textId="77777777" w:rsidR="00A66409" w:rsidRPr="00923467" w:rsidRDefault="00A66409" w:rsidP="00923467"/>
    <w:p w14:paraId="283C63BE" w14:textId="36BDADC1" w:rsidR="00323713" w:rsidRPr="00923467" w:rsidRDefault="00B04696" w:rsidP="00EF2D32">
      <w:pPr>
        <w:pStyle w:val="Heading3"/>
      </w:pPr>
      <w:bookmarkStart w:id="82" w:name="_Toc137831107"/>
      <w:r w:rsidRPr="00923467">
        <w:t xml:space="preserve">Trade </w:t>
      </w:r>
      <w:r w:rsidR="0005120F">
        <w:t>a</w:t>
      </w:r>
      <w:r w:rsidRPr="00923467">
        <w:t>nd Tariff Unit</w:t>
      </w:r>
      <w:bookmarkEnd w:id="82"/>
    </w:p>
    <w:p w14:paraId="2FCB3183" w14:textId="4A73017E" w:rsidR="00323713" w:rsidRDefault="00323713" w:rsidP="00923467">
      <w:r w:rsidRPr="00923467">
        <w:t xml:space="preserve">The Trade and Tariff Unit of the CSD conducts customs valuation, goods </w:t>
      </w:r>
      <w:r w:rsidR="000C20E4" w:rsidRPr="00923467">
        <w:t>classification,</w:t>
      </w:r>
      <w:r w:rsidRPr="00923467">
        <w:t xml:space="preserve"> and documentary verification to ensure correct tax assessment. This Unit is a merger of Valuation, Documentary Check, and Harmonized System/Rules of Origin (HS/RO) Units </w:t>
      </w:r>
      <w:r w:rsidR="00E60C7D" w:rsidRPr="00923467">
        <w:t>prior to</w:t>
      </w:r>
      <w:r w:rsidRPr="00923467">
        <w:t xml:space="preserve"> the migration to ASYCUDA World. Its activities ensure that import assessments are based on transaction value and that commodity descriptions and applicable rates are followed. The Unit processes and assesses IM4</w:t>
      </w:r>
      <w:r w:rsidR="0069383A" w:rsidRPr="00923467">
        <w:t xml:space="preserve"> (</w:t>
      </w:r>
      <w:r w:rsidR="00DE39F0" w:rsidRPr="00923467">
        <w:t>i</w:t>
      </w:r>
      <w:r w:rsidR="0069383A" w:rsidRPr="00923467">
        <w:t>mport for home consumption)</w:t>
      </w:r>
      <w:r w:rsidRPr="00923467">
        <w:t>, IM7</w:t>
      </w:r>
      <w:r w:rsidR="00DE39F0" w:rsidRPr="00923467">
        <w:t xml:space="preserve"> (</w:t>
      </w:r>
      <w:r w:rsidR="00C366B8" w:rsidRPr="00923467">
        <w:t xml:space="preserve">imports for </w:t>
      </w:r>
      <w:r w:rsidR="00DE39F0" w:rsidRPr="00923467">
        <w:t>warehousing)</w:t>
      </w:r>
      <w:r w:rsidRPr="00923467">
        <w:t xml:space="preserve">, and IM8 </w:t>
      </w:r>
      <w:r w:rsidR="00CA2371" w:rsidRPr="00923467">
        <w:t xml:space="preserve">(transit and </w:t>
      </w:r>
      <w:r w:rsidR="000A14F3" w:rsidRPr="00923467">
        <w:t>tran</w:t>
      </w:r>
      <w:r w:rsidR="00591527" w:rsidRPr="00923467">
        <w:t>s</w:t>
      </w:r>
      <w:r w:rsidR="000A14F3" w:rsidRPr="00923467">
        <w:t>shipment</w:t>
      </w:r>
      <w:r w:rsidR="00CA2371" w:rsidRPr="00923467">
        <w:t xml:space="preserve">) </w:t>
      </w:r>
      <w:r w:rsidRPr="00923467">
        <w:t>declarations selected for the Red and Yellow Lanes.</w:t>
      </w:r>
    </w:p>
    <w:p w14:paraId="3A14D267" w14:textId="77777777" w:rsidR="00A66409" w:rsidRPr="00923467" w:rsidRDefault="00A66409" w:rsidP="00923467"/>
    <w:p w14:paraId="21373EFD" w14:textId="266E9AAB" w:rsidR="00323713" w:rsidRDefault="00323713" w:rsidP="00923467">
      <w:r w:rsidRPr="00923467">
        <w:t>The Unit, in collaboration with the A</w:t>
      </w:r>
      <w:r w:rsidR="00BD301C" w:rsidRPr="00923467">
        <w:t>S</w:t>
      </w:r>
      <w:r w:rsidRPr="00923467">
        <w:t>YCUDA function</w:t>
      </w:r>
      <w:r w:rsidR="00A675B6" w:rsidRPr="00923467">
        <w:t>al</w:t>
      </w:r>
      <w:r w:rsidRPr="00923467">
        <w:t xml:space="preserve"> team, completed the first phase of the implementation of the Valuation Control Module in the ASYCUDA system in 2021, using the Tariff Specification Code (TSC). This first stage of the project targeted 17 commodities with 300 lines of TSCs. The introduction of the TSC was </w:t>
      </w:r>
      <w:r w:rsidR="00E1714F" w:rsidRPr="00923467">
        <w:t xml:space="preserve">necessary </w:t>
      </w:r>
      <w:r w:rsidRPr="00923467">
        <w:t xml:space="preserve">to ensure control of declaration and collection of the right tax at the right time without aimless intervention in the clearance process. However, the </w:t>
      </w:r>
      <w:r w:rsidR="007C76FD" w:rsidRPr="00923467">
        <w:t xml:space="preserve">module </w:t>
      </w:r>
      <w:r w:rsidRPr="00923467">
        <w:t xml:space="preserve">is yet to </w:t>
      </w:r>
      <w:r w:rsidR="00C747C2" w:rsidRPr="00923467">
        <w:t>incorporate</w:t>
      </w:r>
      <w:r w:rsidRPr="00923467">
        <w:t xml:space="preserve"> other goods that pose valuation risks.</w:t>
      </w:r>
    </w:p>
    <w:p w14:paraId="4FF4CCDF" w14:textId="77777777" w:rsidR="00A66409" w:rsidRPr="00923467" w:rsidRDefault="00A66409" w:rsidP="00923467"/>
    <w:p w14:paraId="5F7845ED" w14:textId="47EFEBD0" w:rsidR="00323713" w:rsidRDefault="00323713" w:rsidP="00923467">
      <w:r w:rsidRPr="00923467">
        <w:t>The Unit has completed the alignment of the ECOWAS CET HS2022 with the Import Adjustments Tax (IAT) List and awaits upload into the ASYCUDA system. Initial attempts by the ICT team to upload or migrate from HS2017 to HS2022 encountered technical challenges which stalled the process. Notwithstanding the</w:t>
      </w:r>
      <w:r w:rsidR="00DB227F" w:rsidRPr="00923467">
        <w:t>se</w:t>
      </w:r>
      <w:r w:rsidRPr="00923467">
        <w:t xml:space="preserve"> </w:t>
      </w:r>
      <w:r w:rsidR="00DB227F" w:rsidRPr="00923467">
        <w:t>challenges</w:t>
      </w:r>
      <w:r w:rsidRPr="00923467">
        <w:t xml:space="preserve">, the </w:t>
      </w:r>
      <w:r w:rsidR="00DB227F" w:rsidRPr="00923467">
        <w:t>U</w:t>
      </w:r>
      <w:r w:rsidRPr="00923467">
        <w:t>nit continues to play a critical role in the customs clearing process by providing a predictable business environment for importers and brokers in valuation, classification, origin, and documentary compliance.</w:t>
      </w:r>
    </w:p>
    <w:p w14:paraId="413F3F76" w14:textId="77777777" w:rsidR="0005120F" w:rsidRPr="00923467" w:rsidRDefault="0005120F" w:rsidP="00923467"/>
    <w:p w14:paraId="2572E8E9" w14:textId="195EA0E2" w:rsidR="00A958B7" w:rsidRDefault="00323713" w:rsidP="00923467">
      <w:r w:rsidRPr="00923467">
        <w:t xml:space="preserve">The Trade and Tariff Unit processed 20,855 declarations in 2022 which included IM4, IM7, and IM8. Those declarations queried and uplifted resulted to additional revenue gained to the tune of </w:t>
      </w:r>
      <w:proofErr w:type="spellStart"/>
      <w:r w:rsidRPr="00923467">
        <w:t>NLe</w:t>
      </w:r>
      <w:proofErr w:type="spellEnd"/>
      <w:r w:rsidRPr="00923467">
        <w:t xml:space="preserve"> 6,436,502. The most common offenses recorded among others were incomplete declarations, incorrect quantity, short collections, under valuation, incorrect freight, wrong foreign currency exchange rate, and incorrect classification. The sectors that posed the greatest risks to revenue during the year were telecommunications equipment, mixed items, auto spares, and factory raw materials.</w:t>
      </w:r>
    </w:p>
    <w:p w14:paraId="0E37E4A1" w14:textId="77777777" w:rsidR="00A66409" w:rsidRPr="00923467" w:rsidRDefault="00A66409" w:rsidP="00923467"/>
    <w:p w14:paraId="33A237A0" w14:textId="3053D652" w:rsidR="0028787D" w:rsidRPr="00923467" w:rsidRDefault="00CA1671" w:rsidP="00EF2D32">
      <w:pPr>
        <w:pStyle w:val="Heading3"/>
      </w:pPr>
      <w:bookmarkStart w:id="83" w:name="_Toc137831108"/>
      <w:r w:rsidRPr="00923467">
        <w:t>Container Inspection and Examination Unit</w:t>
      </w:r>
      <w:bookmarkEnd w:id="83"/>
    </w:p>
    <w:p w14:paraId="17F505A4" w14:textId="7184D32E" w:rsidR="00974E4B" w:rsidRDefault="00E8004A" w:rsidP="00923467">
      <w:r w:rsidRPr="00923467">
        <w:t xml:space="preserve">As shown in Table </w:t>
      </w:r>
      <w:r w:rsidR="00974E4B" w:rsidRPr="00923467">
        <w:t>20</w:t>
      </w:r>
      <w:r w:rsidRPr="00923467">
        <w:t xml:space="preserve">, </w:t>
      </w:r>
      <w:r w:rsidR="00B222DB" w:rsidRPr="00923467">
        <w:t>a</w:t>
      </w:r>
      <w:r w:rsidR="00637E2D" w:rsidRPr="00923467">
        <w:t xml:space="preserve"> total of 10,653 declarations were processed and released </w:t>
      </w:r>
      <w:r w:rsidR="008F4A7E" w:rsidRPr="00923467">
        <w:t>from</w:t>
      </w:r>
      <w:r w:rsidR="00637E2D" w:rsidRPr="00923467">
        <w:t xml:space="preserve"> the Container Unit</w:t>
      </w:r>
      <w:r w:rsidR="00543AE5" w:rsidRPr="00923467">
        <w:t xml:space="preserve"> in 2022 compared to 13,723 in the previous year</w:t>
      </w:r>
      <w:r w:rsidR="00320088" w:rsidRPr="00923467">
        <w:t xml:space="preserve"> representing a 22.4% decrease</w:t>
      </w:r>
      <w:r w:rsidR="00637E2D" w:rsidRPr="00923467">
        <w:t xml:space="preserve">. </w:t>
      </w:r>
      <w:r w:rsidR="00B226BD" w:rsidRPr="00923467">
        <w:t>The year under review recorded a decline</w:t>
      </w:r>
      <w:r w:rsidR="003A370E" w:rsidRPr="00923467">
        <w:t xml:space="preserve"> </w:t>
      </w:r>
      <w:r w:rsidR="00B226BD" w:rsidRPr="00923467">
        <w:t xml:space="preserve">in the </w:t>
      </w:r>
      <w:r w:rsidR="003A370E" w:rsidRPr="00923467">
        <w:t xml:space="preserve">number of declarations under the three selectivity lanes. </w:t>
      </w:r>
      <w:r w:rsidR="00C647AE" w:rsidRPr="00923467">
        <w:t>As shown,</w:t>
      </w:r>
      <w:r w:rsidR="00DD4EDF" w:rsidRPr="00923467">
        <w:t xml:space="preserve"> 80.8% of the total number of </w:t>
      </w:r>
      <w:r w:rsidR="003F06BE" w:rsidRPr="00923467">
        <w:t>declarations were processed</w:t>
      </w:r>
      <w:r w:rsidR="00DD4EDF" w:rsidRPr="00923467">
        <w:t xml:space="preserve"> under the Red Selectivity Lane</w:t>
      </w:r>
      <w:r w:rsidR="00231842" w:rsidRPr="00923467">
        <w:t xml:space="preserve"> in 2022</w:t>
      </w:r>
      <w:r w:rsidR="00DD4EDF" w:rsidRPr="00923467">
        <w:t xml:space="preserve">. </w:t>
      </w:r>
      <w:r w:rsidR="0028344B" w:rsidRPr="00923467">
        <w:t xml:space="preserve">The </w:t>
      </w:r>
      <w:r w:rsidR="00217F9A" w:rsidRPr="00923467">
        <w:t xml:space="preserve">total </w:t>
      </w:r>
      <w:r w:rsidR="0028344B" w:rsidRPr="00923467">
        <w:t xml:space="preserve">number of containers </w:t>
      </w:r>
      <w:r w:rsidR="004A4099" w:rsidRPr="00923467">
        <w:t xml:space="preserve">examined and released </w:t>
      </w:r>
      <w:r w:rsidR="0028344B" w:rsidRPr="00923467">
        <w:t>also declined in 2022 by 6,076 from 26,942 reported in 2021.</w:t>
      </w:r>
      <w:r w:rsidR="00E07333" w:rsidRPr="00923467">
        <w:t xml:space="preserve"> </w:t>
      </w:r>
      <w:r w:rsidR="00132A0B" w:rsidRPr="00923467">
        <w:t xml:space="preserve">Table </w:t>
      </w:r>
      <w:r w:rsidR="00974E4B" w:rsidRPr="00923467">
        <w:t xml:space="preserve">20 </w:t>
      </w:r>
      <w:r w:rsidR="00132A0B" w:rsidRPr="00923467">
        <w:t>further show</w:t>
      </w:r>
      <w:r w:rsidR="004A4099" w:rsidRPr="00923467">
        <w:t>s</w:t>
      </w:r>
      <w:r w:rsidR="00132A0B" w:rsidRPr="00923467">
        <w:t xml:space="preserve"> that most of the containers imported in 2022 contained dutiable goods.</w:t>
      </w:r>
    </w:p>
    <w:p w14:paraId="7A98A3B0" w14:textId="77777777" w:rsidR="00A66409" w:rsidRPr="00923467" w:rsidRDefault="00A66409" w:rsidP="00923467"/>
    <w:tbl>
      <w:tblPr>
        <w:tblStyle w:val="GridTable4-Accent5"/>
        <w:tblW w:w="6658" w:type="dxa"/>
        <w:tblLook w:val="04A0" w:firstRow="1" w:lastRow="0" w:firstColumn="1" w:lastColumn="0" w:noHBand="0" w:noVBand="1"/>
      </w:tblPr>
      <w:tblGrid>
        <w:gridCol w:w="1973"/>
        <w:gridCol w:w="990"/>
        <w:gridCol w:w="850"/>
        <w:gridCol w:w="1144"/>
        <w:gridCol w:w="1701"/>
      </w:tblGrid>
      <w:tr w:rsidR="00A66409" w:rsidRPr="00923467" w14:paraId="05CA47C1" w14:textId="77777777" w:rsidTr="00A6640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73" w:type="dxa"/>
            <w:hideMark/>
          </w:tcPr>
          <w:p w14:paraId="333F8657" w14:textId="50D783CB" w:rsidR="00282181" w:rsidRPr="00923467" w:rsidRDefault="00974E4B" w:rsidP="00923467">
            <w:r w:rsidRPr="00923467">
              <w:t>Category</w:t>
            </w:r>
          </w:p>
        </w:tc>
        <w:tc>
          <w:tcPr>
            <w:tcW w:w="990" w:type="dxa"/>
            <w:hideMark/>
          </w:tcPr>
          <w:p w14:paraId="2711884E" w14:textId="3BBACD7D" w:rsidR="00282181" w:rsidRPr="00923467" w:rsidRDefault="00974E4B" w:rsidP="00923467">
            <w:pPr>
              <w:cnfStyle w:val="100000000000" w:firstRow="1" w:lastRow="0" w:firstColumn="0" w:lastColumn="0" w:oddVBand="0" w:evenVBand="0" w:oddHBand="0" w:evenHBand="0" w:firstRowFirstColumn="0" w:firstRowLastColumn="0" w:lastRowFirstColumn="0" w:lastRowLastColumn="0"/>
              <w:rPr>
                <w:b w:val="0"/>
                <w:bCs w:val="0"/>
              </w:rPr>
            </w:pPr>
            <w:r w:rsidRPr="00923467">
              <w:t>2021</w:t>
            </w:r>
          </w:p>
        </w:tc>
        <w:tc>
          <w:tcPr>
            <w:tcW w:w="850" w:type="dxa"/>
            <w:hideMark/>
          </w:tcPr>
          <w:p w14:paraId="66A6E3DD" w14:textId="650B1D71" w:rsidR="00282181" w:rsidRPr="00923467" w:rsidRDefault="00974E4B" w:rsidP="00923467">
            <w:pPr>
              <w:cnfStyle w:val="100000000000" w:firstRow="1" w:lastRow="0" w:firstColumn="0" w:lastColumn="0" w:oddVBand="0" w:evenVBand="0" w:oddHBand="0" w:evenHBand="0" w:firstRowFirstColumn="0" w:firstRowLastColumn="0" w:lastRowFirstColumn="0" w:lastRowLastColumn="0"/>
              <w:rPr>
                <w:b w:val="0"/>
                <w:bCs w:val="0"/>
              </w:rPr>
            </w:pPr>
            <w:r w:rsidRPr="00923467">
              <w:t>2022</w:t>
            </w:r>
          </w:p>
        </w:tc>
        <w:tc>
          <w:tcPr>
            <w:tcW w:w="1144" w:type="dxa"/>
            <w:hideMark/>
          </w:tcPr>
          <w:p w14:paraId="2B8072B9" w14:textId="0FC79300" w:rsidR="00282181" w:rsidRPr="00923467" w:rsidRDefault="00974E4B" w:rsidP="00923467">
            <w:pPr>
              <w:cnfStyle w:val="100000000000" w:firstRow="1" w:lastRow="0" w:firstColumn="0" w:lastColumn="0" w:oddVBand="0" w:evenVBand="0" w:oddHBand="0" w:evenHBand="0" w:firstRowFirstColumn="0" w:firstRowLastColumn="0" w:lastRowFirstColumn="0" w:lastRowLastColumn="0"/>
              <w:rPr>
                <w:b w:val="0"/>
                <w:bCs w:val="0"/>
              </w:rPr>
            </w:pPr>
            <w:r w:rsidRPr="00923467">
              <w:t>Difference</w:t>
            </w:r>
          </w:p>
        </w:tc>
        <w:tc>
          <w:tcPr>
            <w:tcW w:w="1701" w:type="dxa"/>
            <w:noWrap/>
            <w:hideMark/>
          </w:tcPr>
          <w:p w14:paraId="79BDEA16" w14:textId="0FA69150" w:rsidR="00282181" w:rsidRPr="00923467" w:rsidRDefault="00974E4B" w:rsidP="00923467">
            <w:pPr>
              <w:cnfStyle w:val="100000000000" w:firstRow="1" w:lastRow="0" w:firstColumn="0" w:lastColumn="0" w:oddVBand="0" w:evenVBand="0" w:oddHBand="0" w:evenHBand="0" w:firstRowFirstColumn="0" w:firstRowLastColumn="0" w:lastRowFirstColumn="0" w:lastRowLastColumn="0"/>
              <w:rPr>
                <w:b w:val="0"/>
                <w:bCs w:val="0"/>
              </w:rPr>
            </w:pPr>
            <w:r w:rsidRPr="00923467">
              <w:t xml:space="preserve">% of 2022 Total </w:t>
            </w:r>
          </w:p>
        </w:tc>
      </w:tr>
      <w:tr w:rsidR="00A66409" w:rsidRPr="00923467" w14:paraId="06F7790D" w14:textId="77777777" w:rsidTr="00A6640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73" w:type="dxa"/>
            <w:hideMark/>
          </w:tcPr>
          <w:p w14:paraId="3C2F7109" w14:textId="0E4AD19A" w:rsidR="00282181" w:rsidRPr="00A66409" w:rsidRDefault="00974E4B" w:rsidP="00A66409">
            <w:pPr>
              <w:jc w:val="left"/>
              <w:rPr>
                <w:sz w:val="18"/>
                <w:szCs w:val="18"/>
              </w:rPr>
            </w:pPr>
            <w:r w:rsidRPr="00A66409">
              <w:rPr>
                <w:sz w:val="18"/>
                <w:szCs w:val="18"/>
              </w:rPr>
              <w:t>Total SCDs Processed</w:t>
            </w:r>
          </w:p>
        </w:tc>
        <w:tc>
          <w:tcPr>
            <w:tcW w:w="990" w:type="dxa"/>
            <w:hideMark/>
          </w:tcPr>
          <w:p w14:paraId="03102969" w14:textId="77777777" w:rsidR="00282181" w:rsidRPr="00A66409" w:rsidRDefault="00282181" w:rsidP="00A66409">
            <w:pPr>
              <w:jc w:val="left"/>
              <w:cnfStyle w:val="000000100000" w:firstRow="0" w:lastRow="0" w:firstColumn="0" w:lastColumn="0" w:oddVBand="0" w:evenVBand="0" w:oddHBand="1" w:evenHBand="0" w:firstRowFirstColumn="0" w:firstRowLastColumn="0" w:lastRowFirstColumn="0" w:lastRowLastColumn="0"/>
              <w:rPr>
                <w:b/>
                <w:bCs/>
                <w:sz w:val="18"/>
                <w:szCs w:val="18"/>
              </w:rPr>
            </w:pPr>
            <w:r w:rsidRPr="00A66409">
              <w:rPr>
                <w:b/>
                <w:bCs/>
                <w:sz w:val="18"/>
                <w:szCs w:val="18"/>
              </w:rPr>
              <w:t>13,723</w:t>
            </w:r>
          </w:p>
        </w:tc>
        <w:tc>
          <w:tcPr>
            <w:tcW w:w="850" w:type="dxa"/>
            <w:hideMark/>
          </w:tcPr>
          <w:p w14:paraId="1E114B08" w14:textId="77777777" w:rsidR="00282181" w:rsidRPr="00A66409" w:rsidRDefault="00282181" w:rsidP="00A66409">
            <w:pPr>
              <w:jc w:val="left"/>
              <w:cnfStyle w:val="000000100000" w:firstRow="0" w:lastRow="0" w:firstColumn="0" w:lastColumn="0" w:oddVBand="0" w:evenVBand="0" w:oddHBand="1" w:evenHBand="0" w:firstRowFirstColumn="0" w:firstRowLastColumn="0" w:lastRowFirstColumn="0" w:lastRowLastColumn="0"/>
              <w:rPr>
                <w:b/>
                <w:bCs/>
                <w:sz w:val="18"/>
                <w:szCs w:val="18"/>
              </w:rPr>
            </w:pPr>
            <w:r w:rsidRPr="00A66409">
              <w:rPr>
                <w:b/>
                <w:bCs/>
                <w:sz w:val="18"/>
                <w:szCs w:val="18"/>
              </w:rPr>
              <w:t>10,653</w:t>
            </w:r>
          </w:p>
        </w:tc>
        <w:tc>
          <w:tcPr>
            <w:tcW w:w="1144" w:type="dxa"/>
            <w:hideMark/>
          </w:tcPr>
          <w:p w14:paraId="187839FE" w14:textId="0BF63340" w:rsidR="00282181" w:rsidRPr="00A66409" w:rsidRDefault="00F31BF4" w:rsidP="00A66409">
            <w:pPr>
              <w:jc w:val="left"/>
              <w:cnfStyle w:val="000000100000" w:firstRow="0" w:lastRow="0" w:firstColumn="0" w:lastColumn="0" w:oddVBand="0" w:evenVBand="0" w:oddHBand="1" w:evenHBand="0" w:firstRowFirstColumn="0" w:firstRowLastColumn="0" w:lastRowFirstColumn="0" w:lastRowLastColumn="0"/>
              <w:rPr>
                <w:b/>
                <w:bCs/>
                <w:sz w:val="18"/>
                <w:szCs w:val="18"/>
              </w:rPr>
            </w:pPr>
            <w:r w:rsidRPr="00A66409">
              <w:rPr>
                <w:b/>
                <w:bCs/>
                <w:sz w:val="18"/>
                <w:szCs w:val="18"/>
              </w:rPr>
              <w:t>(</w:t>
            </w:r>
            <w:r w:rsidR="00282181" w:rsidRPr="00A66409">
              <w:rPr>
                <w:b/>
                <w:bCs/>
                <w:sz w:val="18"/>
                <w:szCs w:val="18"/>
              </w:rPr>
              <w:t>3,070</w:t>
            </w:r>
            <w:r w:rsidRPr="00A66409">
              <w:rPr>
                <w:b/>
                <w:bCs/>
                <w:sz w:val="18"/>
                <w:szCs w:val="18"/>
              </w:rPr>
              <w:t>)</w:t>
            </w:r>
          </w:p>
        </w:tc>
        <w:tc>
          <w:tcPr>
            <w:tcW w:w="1701" w:type="dxa"/>
            <w:noWrap/>
            <w:hideMark/>
          </w:tcPr>
          <w:p w14:paraId="575585B6" w14:textId="77777777" w:rsidR="00282181" w:rsidRPr="00A66409" w:rsidRDefault="00282181" w:rsidP="00A66409">
            <w:pPr>
              <w:jc w:val="left"/>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 </w:t>
            </w:r>
          </w:p>
        </w:tc>
      </w:tr>
      <w:tr w:rsidR="00A66409" w:rsidRPr="00923467" w14:paraId="3DCE30DA" w14:textId="77777777" w:rsidTr="00A66409">
        <w:trPr>
          <w:trHeight w:val="340"/>
        </w:trPr>
        <w:tc>
          <w:tcPr>
            <w:cnfStyle w:val="001000000000" w:firstRow="0" w:lastRow="0" w:firstColumn="1" w:lastColumn="0" w:oddVBand="0" w:evenVBand="0" w:oddHBand="0" w:evenHBand="0" w:firstRowFirstColumn="0" w:firstRowLastColumn="0" w:lastRowFirstColumn="0" w:lastRowLastColumn="0"/>
            <w:tcW w:w="1973" w:type="dxa"/>
            <w:hideMark/>
          </w:tcPr>
          <w:p w14:paraId="5EEBAAB5" w14:textId="57127C20" w:rsidR="00282181" w:rsidRPr="00A66409" w:rsidRDefault="00D547F0" w:rsidP="00A66409">
            <w:pPr>
              <w:jc w:val="left"/>
              <w:rPr>
                <w:b w:val="0"/>
                <w:bCs w:val="0"/>
                <w:sz w:val="18"/>
                <w:szCs w:val="18"/>
              </w:rPr>
            </w:pPr>
            <w:r w:rsidRPr="00A66409">
              <w:rPr>
                <w:b w:val="0"/>
                <w:bCs w:val="0"/>
                <w:sz w:val="18"/>
                <w:szCs w:val="18"/>
              </w:rPr>
              <w:t>Red Lane</w:t>
            </w:r>
          </w:p>
        </w:tc>
        <w:tc>
          <w:tcPr>
            <w:tcW w:w="990" w:type="dxa"/>
            <w:hideMark/>
          </w:tcPr>
          <w:p w14:paraId="1200CA6F" w14:textId="77777777" w:rsidR="00282181" w:rsidRPr="00A66409" w:rsidRDefault="00282181"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11,092</w:t>
            </w:r>
          </w:p>
        </w:tc>
        <w:tc>
          <w:tcPr>
            <w:tcW w:w="850" w:type="dxa"/>
            <w:hideMark/>
          </w:tcPr>
          <w:p w14:paraId="4362AE49" w14:textId="77777777" w:rsidR="00282181" w:rsidRPr="00A66409" w:rsidRDefault="00282181"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8,376</w:t>
            </w:r>
          </w:p>
        </w:tc>
        <w:tc>
          <w:tcPr>
            <w:tcW w:w="1144" w:type="dxa"/>
            <w:hideMark/>
          </w:tcPr>
          <w:p w14:paraId="3BC4F592" w14:textId="49346ACB" w:rsidR="00282181" w:rsidRPr="00A66409" w:rsidRDefault="00F31BF4"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w:t>
            </w:r>
            <w:r w:rsidR="00282181" w:rsidRPr="00A66409">
              <w:rPr>
                <w:sz w:val="18"/>
                <w:szCs w:val="18"/>
              </w:rPr>
              <w:t>2,716</w:t>
            </w:r>
            <w:r w:rsidRPr="00A66409">
              <w:rPr>
                <w:sz w:val="18"/>
                <w:szCs w:val="18"/>
              </w:rPr>
              <w:t>)</w:t>
            </w:r>
          </w:p>
        </w:tc>
        <w:tc>
          <w:tcPr>
            <w:tcW w:w="1701" w:type="dxa"/>
            <w:noWrap/>
            <w:hideMark/>
          </w:tcPr>
          <w:p w14:paraId="0E0DADB8" w14:textId="77777777" w:rsidR="00282181" w:rsidRPr="00A66409" w:rsidRDefault="00282181"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80.8%</w:t>
            </w:r>
          </w:p>
        </w:tc>
      </w:tr>
      <w:tr w:rsidR="00A66409" w:rsidRPr="00923467" w14:paraId="4CF85B65" w14:textId="77777777" w:rsidTr="00A6640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73" w:type="dxa"/>
            <w:hideMark/>
          </w:tcPr>
          <w:p w14:paraId="2A350033" w14:textId="14EFC119" w:rsidR="00282181" w:rsidRPr="00A66409" w:rsidRDefault="00D547F0" w:rsidP="00A66409">
            <w:pPr>
              <w:jc w:val="left"/>
              <w:rPr>
                <w:b w:val="0"/>
                <w:bCs w:val="0"/>
                <w:sz w:val="18"/>
                <w:szCs w:val="18"/>
              </w:rPr>
            </w:pPr>
            <w:r w:rsidRPr="00A66409">
              <w:rPr>
                <w:b w:val="0"/>
                <w:bCs w:val="0"/>
                <w:sz w:val="18"/>
                <w:szCs w:val="18"/>
              </w:rPr>
              <w:t>Green Lane</w:t>
            </w:r>
          </w:p>
        </w:tc>
        <w:tc>
          <w:tcPr>
            <w:tcW w:w="990" w:type="dxa"/>
            <w:hideMark/>
          </w:tcPr>
          <w:p w14:paraId="4E5578AC" w14:textId="77777777" w:rsidR="00282181" w:rsidRPr="00A66409" w:rsidRDefault="00282181" w:rsidP="00A66409">
            <w:pPr>
              <w:jc w:val="left"/>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553</w:t>
            </w:r>
          </w:p>
        </w:tc>
        <w:tc>
          <w:tcPr>
            <w:tcW w:w="850" w:type="dxa"/>
            <w:hideMark/>
          </w:tcPr>
          <w:p w14:paraId="400337A6" w14:textId="77777777" w:rsidR="00282181" w:rsidRPr="00A66409" w:rsidRDefault="00282181" w:rsidP="00A66409">
            <w:pPr>
              <w:jc w:val="left"/>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254</w:t>
            </w:r>
          </w:p>
        </w:tc>
        <w:tc>
          <w:tcPr>
            <w:tcW w:w="1144" w:type="dxa"/>
            <w:hideMark/>
          </w:tcPr>
          <w:p w14:paraId="567ABAFD" w14:textId="0744F80A" w:rsidR="00282181" w:rsidRPr="00A66409" w:rsidRDefault="00F31BF4" w:rsidP="00A66409">
            <w:pPr>
              <w:jc w:val="left"/>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w:t>
            </w:r>
            <w:r w:rsidR="00282181" w:rsidRPr="00A66409">
              <w:rPr>
                <w:sz w:val="18"/>
                <w:szCs w:val="18"/>
              </w:rPr>
              <w:t>299</w:t>
            </w:r>
            <w:r w:rsidRPr="00A66409">
              <w:rPr>
                <w:sz w:val="18"/>
                <w:szCs w:val="18"/>
              </w:rPr>
              <w:t>)</w:t>
            </w:r>
          </w:p>
        </w:tc>
        <w:tc>
          <w:tcPr>
            <w:tcW w:w="1701" w:type="dxa"/>
            <w:noWrap/>
            <w:hideMark/>
          </w:tcPr>
          <w:p w14:paraId="3D645407" w14:textId="77777777" w:rsidR="00282181" w:rsidRPr="00A66409" w:rsidRDefault="00282181" w:rsidP="00A66409">
            <w:pPr>
              <w:jc w:val="left"/>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4.0%</w:t>
            </w:r>
          </w:p>
        </w:tc>
      </w:tr>
      <w:tr w:rsidR="00A66409" w:rsidRPr="00923467" w14:paraId="3E853D21" w14:textId="77777777" w:rsidTr="00A66409">
        <w:trPr>
          <w:trHeight w:val="340"/>
        </w:trPr>
        <w:tc>
          <w:tcPr>
            <w:cnfStyle w:val="001000000000" w:firstRow="0" w:lastRow="0" w:firstColumn="1" w:lastColumn="0" w:oddVBand="0" w:evenVBand="0" w:oddHBand="0" w:evenHBand="0" w:firstRowFirstColumn="0" w:firstRowLastColumn="0" w:lastRowFirstColumn="0" w:lastRowLastColumn="0"/>
            <w:tcW w:w="1973" w:type="dxa"/>
            <w:hideMark/>
          </w:tcPr>
          <w:p w14:paraId="6ED71D23" w14:textId="5172B63E" w:rsidR="00282181" w:rsidRPr="00A66409" w:rsidRDefault="00D547F0" w:rsidP="00A66409">
            <w:pPr>
              <w:jc w:val="left"/>
              <w:rPr>
                <w:b w:val="0"/>
                <w:bCs w:val="0"/>
                <w:sz w:val="18"/>
                <w:szCs w:val="18"/>
              </w:rPr>
            </w:pPr>
            <w:r w:rsidRPr="00A66409">
              <w:rPr>
                <w:b w:val="0"/>
                <w:bCs w:val="0"/>
                <w:sz w:val="18"/>
                <w:szCs w:val="18"/>
              </w:rPr>
              <w:t>Blue Lane</w:t>
            </w:r>
          </w:p>
        </w:tc>
        <w:tc>
          <w:tcPr>
            <w:tcW w:w="990" w:type="dxa"/>
            <w:hideMark/>
          </w:tcPr>
          <w:p w14:paraId="4D85B3B0" w14:textId="77777777" w:rsidR="00282181" w:rsidRPr="00A66409" w:rsidRDefault="00282181"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2,078</w:t>
            </w:r>
          </w:p>
        </w:tc>
        <w:tc>
          <w:tcPr>
            <w:tcW w:w="850" w:type="dxa"/>
            <w:hideMark/>
          </w:tcPr>
          <w:p w14:paraId="1D4B370A" w14:textId="77777777" w:rsidR="00282181" w:rsidRPr="00A66409" w:rsidRDefault="00282181"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2,023</w:t>
            </w:r>
          </w:p>
        </w:tc>
        <w:tc>
          <w:tcPr>
            <w:tcW w:w="1144" w:type="dxa"/>
            <w:hideMark/>
          </w:tcPr>
          <w:p w14:paraId="698B34C6" w14:textId="2B74F7A5" w:rsidR="00282181" w:rsidRPr="00A66409" w:rsidRDefault="00F31BF4"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w:t>
            </w:r>
            <w:r w:rsidR="00282181" w:rsidRPr="00A66409">
              <w:rPr>
                <w:sz w:val="18"/>
                <w:szCs w:val="18"/>
              </w:rPr>
              <w:t>55</w:t>
            </w:r>
            <w:r w:rsidRPr="00A66409">
              <w:rPr>
                <w:sz w:val="18"/>
                <w:szCs w:val="18"/>
              </w:rPr>
              <w:t>)</w:t>
            </w:r>
          </w:p>
        </w:tc>
        <w:tc>
          <w:tcPr>
            <w:tcW w:w="1701" w:type="dxa"/>
            <w:noWrap/>
            <w:hideMark/>
          </w:tcPr>
          <w:p w14:paraId="1C748E56" w14:textId="77777777" w:rsidR="00282181" w:rsidRPr="00A66409" w:rsidRDefault="00282181"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15.1%</w:t>
            </w:r>
          </w:p>
        </w:tc>
      </w:tr>
      <w:tr w:rsidR="00A66409" w:rsidRPr="00923467" w14:paraId="6BE69E97" w14:textId="77777777" w:rsidTr="00A6640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73" w:type="dxa"/>
          </w:tcPr>
          <w:p w14:paraId="3FFD1FE2" w14:textId="77777777" w:rsidR="00A66409" w:rsidRPr="00A66409" w:rsidRDefault="00A66409" w:rsidP="00A66409">
            <w:pPr>
              <w:jc w:val="left"/>
              <w:rPr>
                <w:b w:val="0"/>
                <w:bCs w:val="0"/>
                <w:sz w:val="18"/>
                <w:szCs w:val="18"/>
              </w:rPr>
            </w:pPr>
          </w:p>
        </w:tc>
        <w:tc>
          <w:tcPr>
            <w:tcW w:w="990" w:type="dxa"/>
          </w:tcPr>
          <w:p w14:paraId="6CBCFF6F" w14:textId="77777777" w:rsidR="00A66409" w:rsidRPr="00A66409" w:rsidRDefault="00A66409" w:rsidP="00A66409">
            <w:pPr>
              <w:jc w:val="left"/>
              <w:cnfStyle w:val="000000100000" w:firstRow="0" w:lastRow="0" w:firstColumn="0" w:lastColumn="0" w:oddVBand="0" w:evenVBand="0" w:oddHBand="1" w:evenHBand="0" w:firstRowFirstColumn="0" w:firstRowLastColumn="0" w:lastRowFirstColumn="0" w:lastRowLastColumn="0"/>
              <w:rPr>
                <w:b/>
                <w:bCs/>
                <w:sz w:val="18"/>
                <w:szCs w:val="18"/>
              </w:rPr>
            </w:pPr>
          </w:p>
        </w:tc>
        <w:tc>
          <w:tcPr>
            <w:tcW w:w="850" w:type="dxa"/>
          </w:tcPr>
          <w:p w14:paraId="29A03977" w14:textId="77777777" w:rsidR="00A66409" w:rsidRPr="00A66409" w:rsidRDefault="00A66409" w:rsidP="00A66409">
            <w:pPr>
              <w:jc w:val="left"/>
              <w:cnfStyle w:val="000000100000" w:firstRow="0" w:lastRow="0" w:firstColumn="0" w:lastColumn="0" w:oddVBand="0" w:evenVBand="0" w:oddHBand="1" w:evenHBand="0" w:firstRowFirstColumn="0" w:firstRowLastColumn="0" w:lastRowFirstColumn="0" w:lastRowLastColumn="0"/>
              <w:rPr>
                <w:b/>
                <w:bCs/>
                <w:sz w:val="18"/>
                <w:szCs w:val="18"/>
              </w:rPr>
            </w:pPr>
          </w:p>
        </w:tc>
        <w:tc>
          <w:tcPr>
            <w:tcW w:w="1144" w:type="dxa"/>
          </w:tcPr>
          <w:p w14:paraId="02C9528A" w14:textId="77777777" w:rsidR="00A66409" w:rsidRPr="00A66409" w:rsidRDefault="00A66409" w:rsidP="00A66409">
            <w:pPr>
              <w:jc w:val="left"/>
              <w:cnfStyle w:val="000000100000" w:firstRow="0" w:lastRow="0" w:firstColumn="0" w:lastColumn="0" w:oddVBand="0" w:evenVBand="0" w:oddHBand="1" w:evenHBand="0" w:firstRowFirstColumn="0" w:firstRowLastColumn="0" w:lastRowFirstColumn="0" w:lastRowLastColumn="0"/>
              <w:rPr>
                <w:b/>
                <w:bCs/>
                <w:sz w:val="18"/>
                <w:szCs w:val="18"/>
              </w:rPr>
            </w:pPr>
          </w:p>
        </w:tc>
        <w:tc>
          <w:tcPr>
            <w:tcW w:w="1701" w:type="dxa"/>
            <w:noWrap/>
          </w:tcPr>
          <w:p w14:paraId="0070367A" w14:textId="77777777" w:rsidR="00A66409" w:rsidRPr="00A66409" w:rsidRDefault="00A66409" w:rsidP="00A66409">
            <w:pPr>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A66409" w:rsidRPr="00923467" w14:paraId="2182480B" w14:textId="77777777" w:rsidTr="00A66409">
        <w:trPr>
          <w:trHeight w:val="340"/>
        </w:trPr>
        <w:tc>
          <w:tcPr>
            <w:cnfStyle w:val="001000000000" w:firstRow="0" w:lastRow="0" w:firstColumn="1" w:lastColumn="0" w:oddVBand="0" w:evenVBand="0" w:oddHBand="0" w:evenHBand="0" w:firstRowFirstColumn="0" w:firstRowLastColumn="0" w:lastRowFirstColumn="0" w:lastRowLastColumn="0"/>
            <w:tcW w:w="1973" w:type="dxa"/>
            <w:hideMark/>
          </w:tcPr>
          <w:p w14:paraId="1886E432" w14:textId="2C609182" w:rsidR="00282181" w:rsidRPr="00A66409" w:rsidRDefault="00974E4B" w:rsidP="00A66409">
            <w:pPr>
              <w:jc w:val="left"/>
              <w:rPr>
                <w:sz w:val="18"/>
                <w:szCs w:val="18"/>
              </w:rPr>
            </w:pPr>
            <w:r w:rsidRPr="00A66409">
              <w:rPr>
                <w:sz w:val="18"/>
                <w:szCs w:val="18"/>
              </w:rPr>
              <w:t>Total Containers</w:t>
            </w:r>
          </w:p>
        </w:tc>
        <w:tc>
          <w:tcPr>
            <w:tcW w:w="990" w:type="dxa"/>
            <w:hideMark/>
          </w:tcPr>
          <w:p w14:paraId="09ED1767" w14:textId="77777777" w:rsidR="00282181" w:rsidRPr="00A66409" w:rsidRDefault="00282181" w:rsidP="00A66409">
            <w:pPr>
              <w:jc w:val="left"/>
              <w:cnfStyle w:val="000000000000" w:firstRow="0" w:lastRow="0" w:firstColumn="0" w:lastColumn="0" w:oddVBand="0" w:evenVBand="0" w:oddHBand="0" w:evenHBand="0" w:firstRowFirstColumn="0" w:firstRowLastColumn="0" w:lastRowFirstColumn="0" w:lastRowLastColumn="0"/>
              <w:rPr>
                <w:b/>
                <w:bCs/>
                <w:sz w:val="18"/>
                <w:szCs w:val="18"/>
              </w:rPr>
            </w:pPr>
            <w:r w:rsidRPr="00A66409">
              <w:rPr>
                <w:b/>
                <w:bCs/>
                <w:sz w:val="18"/>
                <w:szCs w:val="18"/>
              </w:rPr>
              <w:t>26,942</w:t>
            </w:r>
          </w:p>
        </w:tc>
        <w:tc>
          <w:tcPr>
            <w:tcW w:w="850" w:type="dxa"/>
            <w:hideMark/>
          </w:tcPr>
          <w:p w14:paraId="67A77799" w14:textId="77777777" w:rsidR="00282181" w:rsidRPr="00A66409" w:rsidRDefault="00282181" w:rsidP="00A66409">
            <w:pPr>
              <w:jc w:val="left"/>
              <w:cnfStyle w:val="000000000000" w:firstRow="0" w:lastRow="0" w:firstColumn="0" w:lastColumn="0" w:oddVBand="0" w:evenVBand="0" w:oddHBand="0" w:evenHBand="0" w:firstRowFirstColumn="0" w:firstRowLastColumn="0" w:lastRowFirstColumn="0" w:lastRowLastColumn="0"/>
              <w:rPr>
                <w:b/>
                <w:bCs/>
                <w:sz w:val="18"/>
                <w:szCs w:val="18"/>
              </w:rPr>
            </w:pPr>
            <w:r w:rsidRPr="00A66409">
              <w:rPr>
                <w:b/>
                <w:bCs/>
                <w:sz w:val="18"/>
                <w:szCs w:val="18"/>
              </w:rPr>
              <w:t>20,866</w:t>
            </w:r>
          </w:p>
        </w:tc>
        <w:tc>
          <w:tcPr>
            <w:tcW w:w="1144" w:type="dxa"/>
            <w:hideMark/>
          </w:tcPr>
          <w:p w14:paraId="1EA416BB" w14:textId="6F52A9B3" w:rsidR="00282181" w:rsidRPr="00A66409" w:rsidRDefault="00883642" w:rsidP="00A66409">
            <w:pPr>
              <w:jc w:val="left"/>
              <w:cnfStyle w:val="000000000000" w:firstRow="0" w:lastRow="0" w:firstColumn="0" w:lastColumn="0" w:oddVBand="0" w:evenVBand="0" w:oddHBand="0" w:evenHBand="0" w:firstRowFirstColumn="0" w:firstRowLastColumn="0" w:lastRowFirstColumn="0" w:lastRowLastColumn="0"/>
              <w:rPr>
                <w:b/>
                <w:bCs/>
                <w:sz w:val="18"/>
                <w:szCs w:val="18"/>
              </w:rPr>
            </w:pPr>
            <w:r w:rsidRPr="00A66409">
              <w:rPr>
                <w:b/>
                <w:bCs/>
                <w:sz w:val="18"/>
                <w:szCs w:val="18"/>
              </w:rPr>
              <w:t>(</w:t>
            </w:r>
            <w:r w:rsidR="00282181" w:rsidRPr="00A66409">
              <w:rPr>
                <w:b/>
                <w:bCs/>
                <w:sz w:val="18"/>
                <w:szCs w:val="18"/>
              </w:rPr>
              <w:t>6,076</w:t>
            </w:r>
            <w:r w:rsidRPr="00A66409">
              <w:rPr>
                <w:b/>
                <w:bCs/>
                <w:sz w:val="18"/>
                <w:szCs w:val="18"/>
              </w:rPr>
              <w:t>)</w:t>
            </w:r>
          </w:p>
        </w:tc>
        <w:tc>
          <w:tcPr>
            <w:tcW w:w="1701" w:type="dxa"/>
            <w:noWrap/>
            <w:hideMark/>
          </w:tcPr>
          <w:p w14:paraId="1808B7DD" w14:textId="77777777" w:rsidR="00282181" w:rsidRPr="00A66409" w:rsidRDefault="00282181"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 </w:t>
            </w:r>
          </w:p>
        </w:tc>
      </w:tr>
      <w:tr w:rsidR="00A66409" w:rsidRPr="00923467" w14:paraId="4B1EAD8F" w14:textId="77777777" w:rsidTr="00A6640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73" w:type="dxa"/>
            <w:hideMark/>
          </w:tcPr>
          <w:p w14:paraId="1E128EA9" w14:textId="6F10CF9F" w:rsidR="00282181" w:rsidRPr="00A66409" w:rsidRDefault="00D547F0" w:rsidP="00A66409">
            <w:pPr>
              <w:jc w:val="left"/>
              <w:rPr>
                <w:b w:val="0"/>
                <w:bCs w:val="0"/>
                <w:sz w:val="18"/>
                <w:szCs w:val="18"/>
              </w:rPr>
            </w:pPr>
            <w:r w:rsidRPr="00A66409">
              <w:rPr>
                <w:b w:val="0"/>
                <w:bCs w:val="0"/>
                <w:sz w:val="18"/>
                <w:szCs w:val="18"/>
              </w:rPr>
              <w:t xml:space="preserve">20ft </w:t>
            </w:r>
            <w:r w:rsidR="00A66409">
              <w:rPr>
                <w:b w:val="0"/>
                <w:bCs w:val="0"/>
                <w:sz w:val="18"/>
                <w:szCs w:val="18"/>
              </w:rPr>
              <w:t>Containers</w:t>
            </w:r>
          </w:p>
        </w:tc>
        <w:tc>
          <w:tcPr>
            <w:tcW w:w="990" w:type="dxa"/>
            <w:hideMark/>
          </w:tcPr>
          <w:p w14:paraId="48F7B9DE" w14:textId="77777777" w:rsidR="00282181" w:rsidRPr="00A66409" w:rsidRDefault="00282181" w:rsidP="00A66409">
            <w:pPr>
              <w:jc w:val="left"/>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15,971</w:t>
            </w:r>
          </w:p>
        </w:tc>
        <w:tc>
          <w:tcPr>
            <w:tcW w:w="850" w:type="dxa"/>
            <w:hideMark/>
          </w:tcPr>
          <w:p w14:paraId="62A256A2" w14:textId="77777777" w:rsidR="00282181" w:rsidRPr="00A66409" w:rsidRDefault="00282181" w:rsidP="00A66409">
            <w:pPr>
              <w:jc w:val="left"/>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12,298</w:t>
            </w:r>
          </w:p>
        </w:tc>
        <w:tc>
          <w:tcPr>
            <w:tcW w:w="1144" w:type="dxa"/>
            <w:hideMark/>
          </w:tcPr>
          <w:p w14:paraId="08E26EA7" w14:textId="52FB94D6" w:rsidR="00282181" w:rsidRPr="00A66409" w:rsidRDefault="00883642" w:rsidP="00A66409">
            <w:pPr>
              <w:jc w:val="left"/>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w:t>
            </w:r>
            <w:r w:rsidR="00282181" w:rsidRPr="00A66409">
              <w:rPr>
                <w:sz w:val="18"/>
                <w:szCs w:val="18"/>
              </w:rPr>
              <w:t>3,673</w:t>
            </w:r>
            <w:r w:rsidRPr="00A66409">
              <w:rPr>
                <w:sz w:val="18"/>
                <w:szCs w:val="18"/>
              </w:rPr>
              <w:t>)</w:t>
            </w:r>
          </w:p>
        </w:tc>
        <w:tc>
          <w:tcPr>
            <w:tcW w:w="1701" w:type="dxa"/>
            <w:noWrap/>
            <w:hideMark/>
          </w:tcPr>
          <w:p w14:paraId="71BBC26C" w14:textId="77777777" w:rsidR="00282181" w:rsidRPr="00A66409" w:rsidRDefault="00282181" w:rsidP="00A66409">
            <w:pPr>
              <w:jc w:val="left"/>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58.9%</w:t>
            </w:r>
          </w:p>
        </w:tc>
      </w:tr>
      <w:tr w:rsidR="00A66409" w:rsidRPr="00923467" w14:paraId="3B8702E6" w14:textId="77777777" w:rsidTr="00A66409">
        <w:trPr>
          <w:trHeight w:val="340"/>
        </w:trPr>
        <w:tc>
          <w:tcPr>
            <w:cnfStyle w:val="001000000000" w:firstRow="0" w:lastRow="0" w:firstColumn="1" w:lastColumn="0" w:oddVBand="0" w:evenVBand="0" w:oddHBand="0" w:evenHBand="0" w:firstRowFirstColumn="0" w:firstRowLastColumn="0" w:lastRowFirstColumn="0" w:lastRowLastColumn="0"/>
            <w:tcW w:w="1973" w:type="dxa"/>
            <w:hideMark/>
          </w:tcPr>
          <w:p w14:paraId="72F51865" w14:textId="140F74B2" w:rsidR="00282181" w:rsidRPr="00A66409" w:rsidRDefault="00D547F0" w:rsidP="00A66409">
            <w:pPr>
              <w:jc w:val="left"/>
              <w:rPr>
                <w:b w:val="0"/>
                <w:bCs w:val="0"/>
                <w:sz w:val="18"/>
                <w:szCs w:val="18"/>
              </w:rPr>
            </w:pPr>
            <w:r w:rsidRPr="00A66409">
              <w:rPr>
                <w:b w:val="0"/>
                <w:bCs w:val="0"/>
                <w:sz w:val="18"/>
                <w:szCs w:val="18"/>
              </w:rPr>
              <w:t>40ft</w:t>
            </w:r>
            <w:r w:rsidR="00B5402D" w:rsidRPr="00A66409">
              <w:rPr>
                <w:b w:val="0"/>
                <w:bCs w:val="0"/>
                <w:sz w:val="18"/>
                <w:szCs w:val="18"/>
              </w:rPr>
              <w:t xml:space="preserve"> </w:t>
            </w:r>
            <w:r w:rsidR="00A66409">
              <w:rPr>
                <w:b w:val="0"/>
                <w:bCs w:val="0"/>
                <w:sz w:val="18"/>
                <w:szCs w:val="18"/>
              </w:rPr>
              <w:t>Containers</w:t>
            </w:r>
          </w:p>
        </w:tc>
        <w:tc>
          <w:tcPr>
            <w:tcW w:w="990" w:type="dxa"/>
            <w:hideMark/>
          </w:tcPr>
          <w:p w14:paraId="3FB5C58A" w14:textId="77777777" w:rsidR="00282181" w:rsidRPr="00A66409" w:rsidRDefault="00282181"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10,971</w:t>
            </w:r>
          </w:p>
        </w:tc>
        <w:tc>
          <w:tcPr>
            <w:tcW w:w="850" w:type="dxa"/>
            <w:hideMark/>
          </w:tcPr>
          <w:p w14:paraId="3B6819DF" w14:textId="77777777" w:rsidR="00282181" w:rsidRPr="00A66409" w:rsidRDefault="00282181"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8,568</w:t>
            </w:r>
          </w:p>
        </w:tc>
        <w:tc>
          <w:tcPr>
            <w:tcW w:w="1144" w:type="dxa"/>
            <w:hideMark/>
          </w:tcPr>
          <w:p w14:paraId="23B55894" w14:textId="47A48231" w:rsidR="00282181" w:rsidRPr="00A66409" w:rsidRDefault="00883642"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w:t>
            </w:r>
            <w:r w:rsidR="00282181" w:rsidRPr="00A66409">
              <w:rPr>
                <w:sz w:val="18"/>
                <w:szCs w:val="18"/>
              </w:rPr>
              <w:t>2,403</w:t>
            </w:r>
            <w:r w:rsidRPr="00A66409">
              <w:rPr>
                <w:sz w:val="18"/>
                <w:szCs w:val="18"/>
              </w:rPr>
              <w:t>)</w:t>
            </w:r>
          </w:p>
        </w:tc>
        <w:tc>
          <w:tcPr>
            <w:tcW w:w="1701" w:type="dxa"/>
            <w:noWrap/>
            <w:hideMark/>
          </w:tcPr>
          <w:p w14:paraId="7F13F410" w14:textId="77777777" w:rsidR="00282181" w:rsidRPr="00A66409" w:rsidRDefault="00282181"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41.1%</w:t>
            </w:r>
          </w:p>
        </w:tc>
      </w:tr>
      <w:tr w:rsidR="00A66409" w:rsidRPr="00923467" w14:paraId="6B86F3F6" w14:textId="77777777" w:rsidTr="00A6640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73" w:type="dxa"/>
            <w:hideMark/>
          </w:tcPr>
          <w:p w14:paraId="4586F969" w14:textId="0FBAFD46" w:rsidR="00282181" w:rsidRPr="00A66409" w:rsidRDefault="00974E4B" w:rsidP="00A66409">
            <w:pPr>
              <w:jc w:val="left"/>
              <w:rPr>
                <w:b w:val="0"/>
                <w:bCs w:val="0"/>
                <w:sz w:val="18"/>
                <w:szCs w:val="18"/>
              </w:rPr>
            </w:pPr>
            <w:r w:rsidRPr="00A66409">
              <w:rPr>
                <w:b w:val="0"/>
                <w:bCs w:val="0"/>
                <w:sz w:val="18"/>
                <w:szCs w:val="18"/>
              </w:rPr>
              <w:t>Dutiable</w:t>
            </w:r>
          </w:p>
        </w:tc>
        <w:tc>
          <w:tcPr>
            <w:tcW w:w="990" w:type="dxa"/>
            <w:hideMark/>
          </w:tcPr>
          <w:p w14:paraId="661B1266" w14:textId="77777777" w:rsidR="00282181" w:rsidRPr="00A66409" w:rsidRDefault="00282181" w:rsidP="00A66409">
            <w:pPr>
              <w:jc w:val="left"/>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24,878</w:t>
            </w:r>
          </w:p>
        </w:tc>
        <w:tc>
          <w:tcPr>
            <w:tcW w:w="850" w:type="dxa"/>
            <w:hideMark/>
          </w:tcPr>
          <w:p w14:paraId="379DCA6B" w14:textId="77777777" w:rsidR="00282181" w:rsidRPr="00A66409" w:rsidRDefault="00282181" w:rsidP="00A66409">
            <w:pPr>
              <w:jc w:val="left"/>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17,203</w:t>
            </w:r>
          </w:p>
        </w:tc>
        <w:tc>
          <w:tcPr>
            <w:tcW w:w="1144" w:type="dxa"/>
            <w:hideMark/>
          </w:tcPr>
          <w:p w14:paraId="3B6B2BE9" w14:textId="6437BBEB" w:rsidR="00282181" w:rsidRPr="00A66409" w:rsidRDefault="00883642" w:rsidP="00A66409">
            <w:pPr>
              <w:jc w:val="left"/>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w:t>
            </w:r>
            <w:r w:rsidR="00282181" w:rsidRPr="00A66409">
              <w:rPr>
                <w:sz w:val="18"/>
                <w:szCs w:val="18"/>
              </w:rPr>
              <w:t>7,675</w:t>
            </w:r>
            <w:r w:rsidRPr="00A66409">
              <w:rPr>
                <w:sz w:val="18"/>
                <w:szCs w:val="18"/>
              </w:rPr>
              <w:t>)</w:t>
            </w:r>
          </w:p>
        </w:tc>
        <w:tc>
          <w:tcPr>
            <w:tcW w:w="1701" w:type="dxa"/>
            <w:noWrap/>
            <w:hideMark/>
          </w:tcPr>
          <w:p w14:paraId="19805699" w14:textId="77777777" w:rsidR="00282181" w:rsidRPr="00A66409" w:rsidRDefault="00282181" w:rsidP="00A66409">
            <w:pPr>
              <w:jc w:val="left"/>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82%</w:t>
            </w:r>
          </w:p>
        </w:tc>
      </w:tr>
      <w:tr w:rsidR="00A66409" w:rsidRPr="00923467" w14:paraId="4247230B" w14:textId="77777777" w:rsidTr="00A66409">
        <w:trPr>
          <w:trHeight w:val="340"/>
        </w:trPr>
        <w:tc>
          <w:tcPr>
            <w:cnfStyle w:val="001000000000" w:firstRow="0" w:lastRow="0" w:firstColumn="1" w:lastColumn="0" w:oddVBand="0" w:evenVBand="0" w:oddHBand="0" w:evenHBand="0" w:firstRowFirstColumn="0" w:firstRowLastColumn="0" w:lastRowFirstColumn="0" w:lastRowLastColumn="0"/>
            <w:tcW w:w="1973" w:type="dxa"/>
            <w:hideMark/>
          </w:tcPr>
          <w:p w14:paraId="334A100A" w14:textId="6B6080F4" w:rsidR="00282181" w:rsidRPr="00A66409" w:rsidRDefault="00974E4B" w:rsidP="00A66409">
            <w:pPr>
              <w:jc w:val="left"/>
              <w:rPr>
                <w:b w:val="0"/>
                <w:bCs w:val="0"/>
                <w:sz w:val="18"/>
                <w:szCs w:val="18"/>
              </w:rPr>
            </w:pPr>
            <w:r w:rsidRPr="00A66409">
              <w:rPr>
                <w:b w:val="0"/>
                <w:bCs w:val="0"/>
                <w:sz w:val="18"/>
                <w:szCs w:val="18"/>
              </w:rPr>
              <w:t>Duty-Free</w:t>
            </w:r>
          </w:p>
        </w:tc>
        <w:tc>
          <w:tcPr>
            <w:tcW w:w="990" w:type="dxa"/>
            <w:hideMark/>
          </w:tcPr>
          <w:p w14:paraId="3B562A39" w14:textId="77777777" w:rsidR="00282181" w:rsidRPr="00A66409" w:rsidRDefault="00282181"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2,064</w:t>
            </w:r>
          </w:p>
        </w:tc>
        <w:tc>
          <w:tcPr>
            <w:tcW w:w="850" w:type="dxa"/>
            <w:hideMark/>
          </w:tcPr>
          <w:p w14:paraId="739E9755" w14:textId="77777777" w:rsidR="00282181" w:rsidRPr="00A66409" w:rsidRDefault="00282181"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3,663</w:t>
            </w:r>
          </w:p>
        </w:tc>
        <w:tc>
          <w:tcPr>
            <w:tcW w:w="1144" w:type="dxa"/>
            <w:hideMark/>
          </w:tcPr>
          <w:p w14:paraId="262094C9" w14:textId="77777777" w:rsidR="00282181" w:rsidRPr="00A66409" w:rsidRDefault="00282181"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1,599</w:t>
            </w:r>
          </w:p>
        </w:tc>
        <w:tc>
          <w:tcPr>
            <w:tcW w:w="1701" w:type="dxa"/>
            <w:noWrap/>
            <w:hideMark/>
          </w:tcPr>
          <w:p w14:paraId="4AF8B511" w14:textId="77777777" w:rsidR="00282181" w:rsidRPr="00A66409" w:rsidRDefault="00282181" w:rsidP="00A66409">
            <w:pPr>
              <w:jc w:val="left"/>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18%</w:t>
            </w:r>
          </w:p>
        </w:tc>
      </w:tr>
    </w:tbl>
    <w:p w14:paraId="3D26FC5F" w14:textId="4B983C7C" w:rsidR="00974E4B" w:rsidRPr="00923467" w:rsidRDefault="00974E4B" w:rsidP="00923467">
      <w:pPr>
        <w:pStyle w:val="Caption"/>
      </w:pPr>
      <w:bookmarkStart w:id="84" w:name="_Toc137831149"/>
      <w:r w:rsidRPr="00923467">
        <w:t xml:space="preserve">Table </w:t>
      </w:r>
      <w:r w:rsidRPr="00923467">
        <w:fldChar w:fldCharType="begin"/>
      </w:r>
      <w:r w:rsidRPr="00923467">
        <w:instrText xml:space="preserve"> SEQ Table \* ARABIC </w:instrText>
      </w:r>
      <w:r w:rsidRPr="00923467">
        <w:fldChar w:fldCharType="separate"/>
      </w:r>
      <w:r w:rsidR="00E12E6B">
        <w:rPr>
          <w:noProof/>
        </w:rPr>
        <w:t>20</w:t>
      </w:r>
      <w:r w:rsidRPr="00923467">
        <w:fldChar w:fldCharType="end"/>
      </w:r>
      <w:r w:rsidRPr="00923467">
        <w:t>: Containers Examined and Released 2021 and 2022 by the Container Unit</w:t>
      </w:r>
      <w:bookmarkEnd w:id="84"/>
    </w:p>
    <w:p w14:paraId="44457BC8" w14:textId="0D994A80" w:rsidR="00CA1671" w:rsidRPr="00A66409" w:rsidRDefault="00067A27" w:rsidP="00923467">
      <w:pPr>
        <w:rPr>
          <w:sz w:val="16"/>
          <w:szCs w:val="16"/>
        </w:rPr>
      </w:pPr>
      <w:r w:rsidRPr="00A66409">
        <w:rPr>
          <w:sz w:val="16"/>
          <w:szCs w:val="16"/>
        </w:rPr>
        <w:t>Source: CSD</w:t>
      </w:r>
    </w:p>
    <w:p w14:paraId="2123C54A" w14:textId="77777777" w:rsidR="00974E4B" w:rsidRPr="00923467" w:rsidRDefault="00974E4B" w:rsidP="00923467"/>
    <w:p w14:paraId="20F1AB07" w14:textId="28219D4B" w:rsidR="00974E4B" w:rsidRDefault="001309FD" w:rsidP="00923467">
      <w:r w:rsidRPr="00923467">
        <w:t xml:space="preserve">It should be </w:t>
      </w:r>
      <w:r w:rsidR="00067A27" w:rsidRPr="00923467">
        <w:t>note</w:t>
      </w:r>
      <w:r w:rsidRPr="00923467">
        <w:t>d</w:t>
      </w:r>
      <w:r w:rsidR="00067A27" w:rsidRPr="00923467">
        <w:t xml:space="preserve"> that during the conduct of physical examination</w:t>
      </w:r>
      <w:r w:rsidR="00877901" w:rsidRPr="00923467">
        <w:t>s</w:t>
      </w:r>
      <w:r w:rsidR="00067A27" w:rsidRPr="00923467">
        <w:t xml:space="preserve">, some discrepancies were discovered by the Unit which led to the recovery of additional revenues. </w:t>
      </w:r>
      <w:r w:rsidR="00D466D1" w:rsidRPr="00923467">
        <w:t xml:space="preserve">A total of </w:t>
      </w:r>
      <w:r w:rsidR="00067A27" w:rsidRPr="00923467">
        <w:t xml:space="preserve">36 declarations were found to contain discrepancies and </w:t>
      </w:r>
      <w:proofErr w:type="spellStart"/>
      <w:r w:rsidR="00067A27" w:rsidRPr="00923467">
        <w:t>NLe</w:t>
      </w:r>
      <w:proofErr w:type="spellEnd"/>
      <w:r w:rsidR="00067A27" w:rsidRPr="00923467">
        <w:t xml:space="preserve"> 1,466,383 was recovered as additional revenue.</w:t>
      </w:r>
    </w:p>
    <w:p w14:paraId="1844AE1E" w14:textId="77777777" w:rsidR="00A66409" w:rsidRPr="00923467" w:rsidRDefault="00A66409" w:rsidP="00923467"/>
    <w:p w14:paraId="6CFDDD5E" w14:textId="18D4398D" w:rsidR="00CC36B8" w:rsidRPr="00923467" w:rsidRDefault="00CA1671" w:rsidP="00EF2D32">
      <w:pPr>
        <w:pStyle w:val="Heading3"/>
      </w:pPr>
      <w:bookmarkStart w:id="85" w:name="_Toc137831109"/>
      <w:r w:rsidRPr="00923467">
        <w:t>Port Baggage Unit</w:t>
      </w:r>
      <w:bookmarkEnd w:id="85"/>
    </w:p>
    <w:p w14:paraId="295EE57E" w14:textId="2CC5013F" w:rsidR="00A56B4C" w:rsidRDefault="00B3577E" w:rsidP="00923467">
      <w:r w:rsidRPr="00A66409">
        <w:t xml:space="preserve">Table </w:t>
      </w:r>
      <w:r w:rsidR="00974E4B" w:rsidRPr="00A66409">
        <w:t xml:space="preserve">21 </w:t>
      </w:r>
      <w:r w:rsidR="00432391" w:rsidRPr="00A66409">
        <w:t xml:space="preserve">provides a </w:t>
      </w:r>
      <w:r w:rsidRPr="00A66409">
        <w:t xml:space="preserve">summary of total declarations, containers and packages processed and released in 2021 and 2022 by the Baggage Unit. </w:t>
      </w:r>
      <w:r w:rsidR="00CC36B8" w:rsidRPr="00A66409">
        <w:t xml:space="preserve">The </w:t>
      </w:r>
      <w:r w:rsidR="00AD7DF9" w:rsidRPr="00A66409">
        <w:t xml:space="preserve">total number of declarations processed by the </w:t>
      </w:r>
      <w:r w:rsidR="00CC36B8" w:rsidRPr="00A66409">
        <w:t xml:space="preserve">Baggage Unit </w:t>
      </w:r>
      <w:r w:rsidR="00036419" w:rsidRPr="00A66409">
        <w:t>increased</w:t>
      </w:r>
      <w:r w:rsidR="00AD7DF9" w:rsidRPr="00A66409">
        <w:t xml:space="preserve"> by 650 from 6,187 in 2021</w:t>
      </w:r>
      <w:r w:rsidR="000317D8" w:rsidRPr="00A66409">
        <w:t xml:space="preserve">.  </w:t>
      </w:r>
      <w:r w:rsidR="007B5A34" w:rsidRPr="00A66409">
        <w:t xml:space="preserve">A total of 5,501 containers were examined and released in 2022 of which 97.7% were 40 feet containers. </w:t>
      </w:r>
      <w:r w:rsidR="00370757" w:rsidRPr="00A66409">
        <w:t xml:space="preserve">Furthermore, </w:t>
      </w:r>
      <w:r w:rsidR="00DF0226" w:rsidRPr="00A66409">
        <w:t>a</w:t>
      </w:r>
      <w:r w:rsidR="00370757" w:rsidRPr="00A66409">
        <w:t xml:space="preserve"> total number of </w:t>
      </w:r>
      <w:r w:rsidR="00DF0226" w:rsidRPr="00A66409">
        <w:t>1,312 packages were also examined and released by the Unit.</w:t>
      </w:r>
      <w:r w:rsidR="00DF0226" w:rsidRPr="00923467">
        <w:t xml:space="preserve"> </w:t>
      </w:r>
    </w:p>
    <w:p w14:paraId="5DC0C8CC" w14:textId="77777777" w:rsidR="0063149A" w:rsidRDefault="0063149A" w:rsidP="00923467"/>
    <w:p w14:paraId="1376A79C" w14:textId="77777777" w:rsidR="0063149A" w:rsidRDefault="0063149A" w:rsidP="00923467"/>
    <w:p w14:paraId="4BC5300C" w14:textId="77777777" w:rsidR="0063149A" w:rsidRDefault="0063149A" w:rsidP="00923467"/>
    <w:p w14:paraId="1A814394" w14:textId="77777777" w:rsidR="00A66409" w:rsidRPr="00923467" w:rsidRDefault="00A66409" w:rsidP="00923467"/>
    <w:tbl>
      <w:tblPr>
        <w:tblStyle w:val="GridTable4-Accent5"/>
        <w:tblW w:w="4815" w:type="dxa"/>
        <w:tblLook w:val="04A0" w:firstRow="1" w:lastRow="0" w:firstColumn="1" w:lastColumn="0" w:noHBand="0" w:noVBand="1"/>
      </w:tblPr>
      <w:tblGrid>
        <w:gridCol w:w="2254"/>
        <w:gridCol w:w="709"/>
        <w:gridCol w:w="709"/>
        <w:gridCol w:w="1143"/>
      </w:tblGrid>
      <w:tr w:rsidR="00F76659" w:rsidRPr="00923467" w14:paraId="2EE9C204" w14:textId="77777777" w:rsidTr="00A6640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54" w:type="dxa"/>
            <w:hideMark/>
          </w:tcPr>
          <w:p w14:paraId="112D244A" w14:textId="69D791FA" w:rsidR="00F76659" w:rsidRPr="00A66409" w:rsidRDefault="00B04696" w:rsidP="00923467">
            <w:pPr>
              <w:rPr>
                <w:sz w:val="18"/>
                <w:szCs w:val="18"/>
              </w:rPr>
            </w:pPr>
            <w:r w:rsidRPr="00A66409">
              <w:rPr>
                <w:sz w:val="18"/>
                <w:szCs w:val="18"/>
              </w:rPr>
              <w:t>Category</w:t>
            </w:r>
          </w:p>
        </w:tc>
        <w:tc>
          <w:tcPr>
            <w:tcW w:w="709" w:type="dxa"/>
            <w:hideMark/>
          </w:tcPr>
          <w:p w14:paraId="0BD5E9AD" w14:textId="69076F9A" w:rsidR="00F76659" w:rsidRPr="00A66409" w:rsidRDefault="00B04696"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66409">
              <w:rPr>
                <w:sz w:val="18"/>
                <w:szCs w:val="18"/>
              </w:rPr>
              <w:t>2021</w:t>
            </w:r>
          </w:p>
        </w:tc>
        <w:tc>
          <w:tcPr>
            <w:tcW w:w="709" w:type="dxa"/>
            <w:hideMark/>
          </w:tcPr>
          <w:p w14:paraId="28724D91" w14:textId="11C789D7" w:rsidR="00F76659" w:rsidRPr="00A66409" w:rsidRDefault="00B04696"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66409">
              <w:rPr>
                <w:sz w:val="18"/>
                <w:szCs w:val="18"/>
              </w:rPr>
              <w:t>2022</w:t>
            </w:r>
          </w:p>
        </w:tc>
        <w:tc>
          <w:tcPr>
            <w:tcW w:w="1143" w:type="dxa"/>
            <w:hideMark/>
          </w:tcPr>
          <w:p w14:paraId="44168499" w14:textId="23D82246" w:rsidR="00F76659" w:rsidRPr="00A66409" w:rsidRDefault="00B04696"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66409">
              <w:rPr>
                <w:sz w:val="18"/>
                <w:szCs w:val="18"/>
              </w:rPr>
              <w:t>Difference</w:t>
            </w:r>
          </w:p>
        </w:tc>
      </w:tr>
      <w:tr w:rsidR="00564D1A" w:rsidRPr="00923467" w14:paraId="23F0C7C2" w14:textId="77777777" w:rsidTr="00A6640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54" w:type="dxa"/>
            <w:hideMark/>
          </w:tcPr>
          <w:p w14:paraId="58C4E486" w14:textId="2D8CF401" w:rsidR="00F76659" w:rsidRPr="00A66409" w:rsidRDefault="00B04696" w:rsidP="00923467">
            <w:pPr>
              <w:rPr>
                <w:sz w:val="18"/>
                <w:szCs w:val="18"/>
              </w:rPr>
            </w:pPr>
            <w:r w:rsidRPr="00A66409">
              <w:rPr>
                <w:sz w:val="18"/>
                <w:szCs w:val="18"/>
              </w:rPr>
              <w:t>Total SCDS Processed</w:t>
            </w:r>
          </w:p>
        </w:tc>
        <w:tc>
          <w:tcPr>
            <w:tcW w:w="709" w:type="dxa"/>
            <w:hideMark/>
          </w:tcPr>
          <w:p w14:paraId="147FD70D" w14:textId="58DE4FF4" w:rsidR="00F76659" w:rsidRPr="00A66409"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6,187</w:t>
            </w:r>
          </w:p>
        </w:tc>
        <w:tc>
          <w:tcPr>
            <w:tcW w:w="709" w:type="dxa"/>
            <w:hideMark/>
          </w:tcPr>
          <w:p w14:paraId="0769D68F" w14:textId="30E781D4" w:rsidR="00F76659" w:rsidRPr="00A66409"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6,837</w:t>
            </w:r>
          </w:p>
        </w:tc>
        <w:tc>
          <w:tcPr>
            <w:tcW w:w="1143" w:type="dxa"/>
            <w:hideMark/>
          </w:tcPr>
          <w:p w14:paraId="0258CE58" w14:textId="29D266FB" w:rsidR="00F76659" w:rsidRPr="00A66409"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650</w:t>
            </w:r>
          </w:p>
        </w:tc>
      </w:tr>
      <w:tr w:rsidR="00F76659" w:rsidRPr="00923467" w14:paraId="61B374EC" w14:textId="77777777" w:rsidTr="00A66409">
        <w:trPr>
          <w:trHeight w:val="340"/>
        </w:trPr>
        <w:tc>
          <w:tcPr>
            <w:cnfStyle w:val="001000000000" w:firstRow="0" w:lastRow="0" w:firstColumn="1" w:lastColumn="0" w:oddVBand="0" w:evenVBand="0" w:oddHBand="0" w:evenHBand="0" w:firstRowFirstColumn="0" w:firstRowLastColumn="0" w:lastRowFirstColumn="0" w:lastRowLastColumn="0"/>
            <w:tcW w:w="2254" w:type="dxa"/>
            <w:hideMark/>
          </w:tcPr>
          <w:p w14:paraId="672C2363" w14:textId="3D7F0085" w:rsidR="00F76659" w:rsidRPr="00A66409" w:rsidRDefault="00B04696" w:rsidP="00923467">
            <w:pPr>
              <w:rPr>
                <w:sz w:val="18"/>
                <w:szCs w:val="18"/>
              </w:rPr>
            </w:pPr>
            <w:r w:rsidRPr="00A66409">
              <w:rPr>
                <w:sz w:val="18"/>
                <w:szCs w:val="18"/>
              </w:rPr>
              <w:t>Total Containers</w:t>
            </w:r>
          </w:p>
        </w:tc>
        <w:tc>
          <w:tcPr>
            <w:tcW w:w="709" w:type="dxa"/>
            <w:hideMark/>
          </w:tcPr>
          <w:p w14:paraId="23566981" w14:textId="5D5A2F9C" w:rsidR="00F76659" w:rsidRPr="00A66409"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5,935</w:t>
            </w:r>
          </w:p>
        </w:tc>
        <w:tc>
          <w:tcPr>
            <w:tcW w:w="709" w:type="dxa"/>
            <w:hideMark/>
          </w:tcPr>
          <w:p w14:paraId="451A39DA" w14:textId="4BE2AFAE" w:rsidR="00F76659" w:rsidRPr="00A66409"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5,501</w:t>
            </w:r>
          </w:p>
        </w:tc>
        <w:tc>
          <w:tcPr>
            <w:tcW w:w="1143" w:type="dxa"/>
            <w:hideMark/>
          </w:tcPr>
          <w:p w14:paraId="1A2A3EAF" w14:textId="41FC53F8" w:rsidR="00F76659" w:rsidRPr="00A66409"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-434</w:t>
            </w:r>
          </w:p>
        </w:tc>
      </w:tr>
      <w:tr w:rsidR="00564D1A" w:rsidRPr="00923467" w14:paraId="2ACD8CB4" w14:textId="77777777" w:rsidTr="00A6640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54" w:type="dxa"/>
            <w:hideMark/>
          </w:tcPr>
          <w:p w14:paraId="3C996829" w14:textId="3F471B12" w:rsidR="00F76659" w:rsidRPr="00A66409" w:rsidRDefault="00B04696" w:rsidP="00923467">
            <w:pPr>
              <w:rPr>
                <w:b w:val="0"/>
                <w:bCs w:val="0"/>
                <w:sz w:val="18"/>
                <w:szCs w:val="18"/>
              </w:rPr>
            </w:pPr>
            <w:r w:rsidRPr="00A66409">
              <w:rPr>
                <w:b w:val="0"/>
                <w:bCs w:val="0"/>
                <w:sz w:val="18"/>
                <w:szCs w:val="18"/>
              </w:rPr>
              <w:t xml:space="preserve">40ft </w:t>
            </w:r>
            <w:r w:rsidR="00A66409" w:rsidRPr="00A66409">
              <w:rPr>
                <w:b w:val="0"/>
                <w:bCs w:val="0"/>
                <w:sz w:val="18"/>
                <w:szCs w:val="18"/>
              </w:rPr>
              <w:t>Containers</w:t>
            </w:r>
          </w:p>
        </w:tc>
        <w:tc>
          <w:tcPr>
            <w:tcW w:w="709" w:type="dxa"/>
            <w:hideMark/>
          </w:tcPr>
          <w:p w14:paraId="643DD258" w14:textId="270FC292" w:rsidR="00F76659" w:rsidRPr="00A66409"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5,874</w:t>
            </w:r>
          </w:p>
        </w:tc>
        <w:tc>
          <w:tcPr>
            <w:tcW w:w="709" w:type="dxa"/>
            <w:hideMark/>
          </w:tcPr>
          <w:p w14:paraId="32BB77ED" w14:textId="1D18CB62" w:rsidR="00F76659" w:rsidRPr="00A66409"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5,375</w:t>
            </w:r>
          </w:p>
        </w:tc>
        <w:tc>
          <w:tcPr>
            <w:tcW w:w="1143" w:type="dxa"/>
            <w:hideMark/>
          </w:tcPr>
          <w:p w14:paraId="5CF47F89" w14:textId="6AC8446C" w:rsidR="00F76659" w:rsidRPr="00A66409"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-499</w:t>
            </w:r>
          </w:p>
        </w:tc>
      </w:tr>
      <w:tr w:rsidR="00F76659" w:rsidRPr="00923467" w14:paraId="342E8353" w14:textId="77777777" w:rsidTr="00A66409">
        <w:trPr>
          <w:trHeight w:val="340"/>
        </w:trPr>
        <w:tc>
          <w:tcPr>
            <w:cnfStyle w:val="001000000000" w:firstRow="0" w:lastRow="0" w:firstColumn="1" w:lastColumn="0" w:oddVBand="0" w:evenVBand="0" w:oddHBand="0" w:evenHBand="0" w:firstRowFirstColumn="0" w:firstRowLastColumn="0" w:lastRowFirstColumn="0" w:lastRowLastColumn="0"/>
            <w:tcW w:w="2254" w:type="dxa"/>
            <w:hideMark/>
          </w:tcPr>
          <w:p w14:paraId="2A9B9861" w14:textId="5BE697C0" w:rsidR="00F76659" w:rsidRPr="00A66409" w:rsidRDefault="00B04696" w:rsidP="00923467">
            <w:pPr>
              <w:rPr>
                <w:b w:val="0"/>
                <w:bCs w:val="0"/>
                <w:sz w:val="18"/>
                <w:szCs w:val="18"/>
              </w:rPr>
            </w:pPr>
            <w:r w:rsidRPr="00A66409">
              <w:rPr>
                <w:b w:val="0"/>
                <w:bCs w:val="0"/>
                <w:sz w:val="18"/>
                <w:szCs w:val="18"/>
              </w:rPr>
              <w:t xml:space="preserve">20ft </w:t>
            </w:r>
            <w:r w:rsidR="00A66409" w:rsidRPr="00A66409">
              <w:rPr>
                <w:b w:val="0"/>
                <w:bCs w:val="0"/>
                <w:sz w:val="18"/>
                <w:szCs w:val="18"/>
              </w:rPr>
              <w:t>Containers</w:t>
            </w:r>
          </w:p>
        </w:tc>
        <w:tc>
          <w:tcPr>
            <w:tcW w:w="709" w:type="dxa"/>
            <w:hideMark/>
          </w:tcPr>
          <w:p w14:paraId="2E31838D" w14:textId="45A7C14F" w:rsidR="00F76659" w:rsidRPr="00A66409"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61</w:t>
            </w:r>
          </w:p>
        </w:tc>
        <w:tc>
          <w:tcPr>
            <w:tcW w:w="709" w:type="dxa"/>
            <w:hideMark/>
          </w:tcPr>
          <w:p w14:paraId="3C90888C" w14:textId="291BF9E6" w:rsidR="00F76659" w:rsidRPr="00A66409"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126</w:t>
            </w:r>
          </w:p>
        </w:tc>
        <w:tc>
          <w:tcPr>
            <w:tcW w:w="1143" w:type="dxa"/>
            <w:hideMark/>
          </w:tcPr>
          <w:p w14:paraId="0FD331E9" w14:textId="322CEFC2" w:rsidR="00F76659" w:rsidRPr="00A66409"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65</w:t>
            </w:r>
          </w:p>
        </w:tc>
      </w:tr>
      <w:tr w:rsidR="00564D1A" w:rsidRPr="00923467" w14:paraId="4A184F7C" w14:textId="77777777" w:rsidTr="00A6640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54" w:type="dxa"/>
            <w:hideMark/>
          </w:tcPr>
          <w:p w14:paraId="7770CC29" w14:textId="13530C68" w:rsidR="00F76659" w:rsidRPr="00A66409" w:rsidRDefault="00B04696" w:rsidP="00923467">
            <w:pPr>
              <w:rPr>
                <w:b w:val="0"/>
                <w:bCs w:val="0"/>
                <w:sz w:val="18"/>
                <w:szCs w:val="18"/>
              </w:rPr>
            </w:pPr>
            <w:r w:rsidRPr="00A66409">
              <w:rPr>
                <w:b w:val="0"/>
                <w:bCs w:val="0"/>
                <w:sz w:val="18"/>
                <w:szCs w:val="18"/>
              </w:rPr>
              <w:t>Packages</w:t>
            </w:r>
          </w:p>
        </w:tc>
        <w:tc>
          <w:tcPr>
            <w:tcW w:w="709" w:type="dxa"/>
            <w:hideMark/>
          </w:tcPr>
          <w:p w14:paraId="3D5525E6" w14:textId="166C1BDA" w:rsidR="00F76659" w:rsidRPr="00A66409"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256</w:t>
            </w:r>
          </w:p>
        </w:tc>
        <w:tc>
          <w:tcPr>
            <w:tcW w:w="709" w:type="dxa"/>
            <w:hideMark/>
          </w:tcPr>
          <w:p w14:paraId="069BBCB4" w14:textId="222B0CA8" w:rsidR="00F76659" w:rsidRPr="00A66409"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1,312</w:t>
            </w:r>
          </w:p>
        </w:tc>
        <w:tc>
          <w:tcPr>
            <w:tcW w:w="1143" w:type="dxa"/>
            <w:hideMark/>
          </w:tcPr>
          <w:p w14:paraId="1FA2F832" w14:textId="2C1D9B99" w:rsidR="00F76659" w:rsidRPr="00A66409"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1,056</w:t>
            </w:r>
          </w:p>
        </w:tc>
      </w:tr>
      <w:tr w:rsidR="00F76659" w:rsidRPr="00923467" w14:paraId="0C8CF48A" w14:textId="77777777" w:rsidTr="00A66409">
        <w:trPr>
          <w:trHeight w:val="340"/>
        </w:trPr>
        <w:tc>
          <w:tcPr>
            <w:cnfStyle w:val="001000000000" w:firstRow="0" w:lastRow="0" w:firstColumn="1" w:lastColumn="0" w:oddVBand="0" w:evenVBand="0" w:oddHBand="0" w:evenHBand="0" w:firstRowFirstColumn="0" w:firstRowLastColumn="0" w:lastRowFirstColumn="0" w:lastRowLastColumn="0"/>
            <w:tcW w:w="2254" w:type="dxa"/>
            <w:hideMark/>
          </w:tcPr>
          <w:p w14:paraId="21AE202A" w14:textId="314AAF4E" w:rsidR="00F76659" w:rsidRPr="00A66409" w:rsidRDefault="00381AD2" w:rsidP="00923467">
            <w:pPr>
              <w:rPr>
                <w:b w:val="0"/>
                <w:bCs w:val="0"/>
                <w:sz w:val="18"/>
                <w:szCs w:val="18"/>
              </w:rPr>
            </w:pPr>
            <w:r w:rsidRPr="00A66409">
              <w:rPr>
                <w:b w:val="0"/>
                <w:bCs w:val="0"/>
                <w:sz w:val="18"/>
                <w:szCs w:val="18"/>
              </w:rPr>
              <w:t>Dutiable</w:t>
            </w:r>
          </w:p>
        </w:tc>
        <w:tc>
          <w:tcPr>
            <w:tcW w:w="709" w:type="dxa"/>
            <w:hideMark/>
          </w:tcPr>
          <w:p w14:paraId="3014B61D" w14:textId="6ABB7A40" w:rsidR="00F76659" w:rsidRPr="00A66409"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189</w:t>
            </w:r>
          </w:p>
        </w:tc>
        <w:tc>
          <w:tcPr>
            <w:tcW w:w="709" w:type="dxa"/>
            <w:hideMark/>
          </w:tcPr>
          <w:p w14:paraId="259B3B9F" w14:textId="03F45303" w:rsidR="00F76659" w:rsidRPr="00A66409"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792</w:t>
            </w:r>
          </w:p>
        </w:tc>
        <w:tc>
          <w:tcPr>
            <w:tcW w:w="1143" w:type="dxa"/>
            <w:hideMark/>
          </w:tcPr>
          <w:p w14:paraId="4F4B085F" w14:textId="4D8C6F9F" w:rsidR="00F76659" w:rsidRPr="00A66409" w:rsidRDefault="00B0469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603</w:t>
            </w:r>
          </w:p>
        </w:tc>
      </w:tr>
      <w:tr w:rsidR="00564D1A" w:rsidRPr="00923467" w14:paraId="35854995" w14:textId="77777777" w:rsidTr="00A6640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54" w:type="dxa"/>
            <w:hideMark/>
          </w:tcPr>
          <w:p w14:paraId="168E0550" w14:textId="4B04A97F" w:rsidR="00F76659" w:rsidRPr="00A66409" w:rsidRDefault="00B04696" w:rsidP="00923467">
            <w:pPr>
              <w:rPr>
                <w:b w:val="0"/>
                <w:bCs w:val="0"/>
                <w:sz w:val="18"/>
                <w:szCs w:val="18"/>
              </w:rPr>
            </w:pPr>
            <w:r w:rsidRPr="00A66409">
              <w:rPr>
                <w:b w:val="0"/>
                <w:bCs w:val="0"/>
                <w:sz w:val="18"/>
                <w:szCs w:val="18"/>
              </w:rPr>
              <w:t>Duty-Free</w:t>
            </w:r>
          </w:p>
        </w:tc>
        <w:tc>
          <w:tcPr>
            <w:tcW w:w="709" w:type="dxa"/>
            <w:hideMark/>
          </w:tcPr>
          <w:p w14:paraId="616E83DC" w14:textId="20D12887" w:rsidR="00F76659" w:rsidRPr="00A66409"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67</w:t>
            </w:r>
          </w:p>
        </w:tc>
        <w:tc>
          <w:tcPr>
            <w:tcW w:w="709" w:type="dxa"/>
            <w:hideMark/>
          </w:tcPr>
          <w:p w14:paraId="67C578CB" w14:textId="6264C461" w:rsidR="00F76659" w:rsidRPr="00A66409"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520</w:t>
            </w:r>
          </w:p>
        </w:tc>
        <w:tc>
          <w:tcPr>
            <w:tcW w:w="1143" w:type="dxa"/>
            <w:hideMark/>
          </w:tcPr>
          <w:p w14:paraId="1DB7F6D7" w14:textId="6AA87C58" w:rsidR="00F76659" w:rsidRPr="00A66409" w:rsidRDefault="00B0469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453</w:t>
            </w:r>
          </w:p>
        </w:tc>
      </w:tr>
    </w:tbl>
    <w:p w14:paraId="168281E3" w14:textId="2D6F1F7E" w:rsidR="00974E4B" w:rsidRPr="00923467" w:rsidRDefault="00974E4B" w:rsidP="00923467">
      <w:pPr>
        <w:pStyle w:val="Caption"/>
      </w:pPr>
      <w:bookmarkStart w:id="86" w:name="_Toc137831150"/>
      <w:r w:rsidRPr="00923467">
        <w:t xml:space="preserve">Table </w:t>
      </w:r>
      <w:r w:rsidRPr="00923467">
        <w:fldChar w:fldCharType="begin"/>
      </w:r>
      <w:r w:rsidRPr="00923467">
        <w:instrText xml:space="preserve"> SEQ Table \* ARABIC </w:instrText>
      </w:r>
      <w:r w:rsidRPr="00923467">
        <w:fldChar w:fldCharType="separate"/>
      </w:r>
      <w:r w:rsidR="00E12E6B">
        <w:rPr>
          <w:noProof/>
        </w:rPr>
        <w:t>21</w:t>
      </w:r>
      <w:r w:rsidRPr="00923467">
        <w:fldChar w:fldCharType="end"/>
      </w:r>
      <w:r w:rsidRPr="00923467">
        <w:t>: Containers Examined and Released 2021 and 2022 by the Baggage Unit</w:t>
      </w:r>
      <w:bookmarkEnd w:id="86"/>
    </w:p>
    <w:p w14:paraId="4D791FCA" w14:textId="26C06E65" w:rsidR="00CA1671" w:rsidRPr="00A66409" w:rsidRDefault="0024644E" w:rsidP="00923467">
      <w:pPr>
        <w:rPr>
          <w:sz w:val="16"/>
          <w:szCs w:val="16"/>
        </w:rPr>
      </w:pPr>
      <w:r w:rsidRPr="00A66409">
        <w:rPr>
          <w:sz w:val="16"/>
          <w:szCs w:val="16"/>
        </w:rPr>
        <w:t>Source: CSD</w:t>
      </w:r>
    </w:p>
    <w:p w14:paraId="4AC46FAA" w14:textId="77777777" w:rsidR="00974E4B" w:rsidRPr="00923467" w:rsidRDefault="00974E4B" w:rsidP="00923467">
      <w:pPr>
        <w:rPr>
          <w:highlight w:val="yellow"/>
        </w:rPr>
      </w:pPr>
    </w:p>
    <w:p w14:paraId="0E84D14B" w14:textId="53796963" w:rsidR="00A56B4C" w:rsidRDefault="003B0E67" w:rsidP="00923467">
      <w:r w:rsidRPr="00923467">
        <w:t>Figure</w:t>
      </w:r>
      <w:r w:rsidR="0024644E" w:rsidRPr="00923467">
        <w:t xml:space="preserve"> </w:t>
      </w:r>
      <w:r w:rsidR="00692BE8" w:rsidRPr="00923467">
        <w:t xml:space="preserve">9 </w:t>
      </w:r>
      <w:r w:rsidR="0024644E" w:rsidRPr="00923467">
        <w:t xml:space="preserve">further shows </w:t>
      </w:r>
      <w:r w:rsidR="00F8279C" w:rsidRPr="00923467">
        <w:t xml:space="preserve">the </w:t>
      </w:r>
      <w:r w:rsidR="00BB1674" w:rsidRPr="00923467">
        <w:t xml:space="preserve">monthly </w:t>
      </w:r>
      <w:r w:rsidR="0024644E" w:rsidRPr="00923467">
        <w:t xml:space="preserve">amount of revenue recovered following examination by the Baggage Unit. </w:t>
      </w:r>
      <w:r w:rsidR="00BB1674" w:rsidRPr="00923467">
        <w:t xml:space="preserve"> </w:t>
      </w:r>
      <w:r w:rsidR="00CD03F0" w:rsidRPr="00923467">
        <w:t xml:space="preserve">The total amount of </w:t>
      </w:r>
      <w:r w:rsidR="008045B2" w:rsidRPr="00923467">
        <w:t xml:space="preserve">additional </w:t>
      </w:r>
      <w:r w:rsidR="00CD03F0" w:rsidRPr="00923467">
        <w:t xml:space="preserve">revenue recovered in 2022 amounted to </w:t>
      </w:r>
      <w:proofErr w:type="spellStart"/>
      <w:r w:rsidR="00CD03F0" w:rsidRPr="00923467">
        <w:t>NLe</w:t>
      </w:r>
      <w:proofErr w:type="spellEnd"/>
      <w:r w:rsidR="00CD03F0" w:rsidRPr="00923467">
        <w:t xml:space="preserve"> 982,85</w:t>
      </w:r>
      <w:r w:rsidR="008552C2" w:rsidRPr="00923467">
        <w:t>4</w:t>
      </w:r>
      <w:r w:rsidR="008079C5" w:rsidRPr="00923467">
        <w:t>.</w:t>
      </w:r>
    </w:p>
    <w:p w14:paraId="15D2E014" w14:textId="77777777" w:rsidR="00A66409" w:rsidRPr="00923467" w:rsidRDefault="00A66409" w:rsidP="00923467"/>
    <w:p w14:paraId="0463E379" w14:textId="77777777" w:rsidR="00974E4B" w:rsidRPr="00923467" w:rsidRDefault="003B0E67" w:rsidP="00923467">
      <w:r w:rsidRPr="00923467">
        <w:rPr>
          <w:noProof/>
        </w:rPr>
        <w:drawing>
          <wp:inline distT="0" distB="0" distL="0" distR="0" wp14:anchorId="513217B1" wp14:editId="7BA881BB">
            <wp:extent cx="5432079" cy="2670175"/>
            <wp:effectExtent l="0" t="0" r="16510" b="9525"/>
            <wp:docPr id="24" name="Chart 24">
              <a:extLst xmlns:a="http://schemas.openxmlformats.org/drawingml/2006/main">
                <a:ext uri="{FF2B5EF4-FFF2-40B4-BE49-F238E27FC236}">
                  <a16:creationId xmlns:a16="http://schemas.microsoft.com/office/drawing/2014/main" id="{EBC43558-0EA2-ED6E-B3EF-50E7690E9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74B95F" w14:textId="65F75F22" w:rsidR="003B0E67" w:rsidRPr="00923467" w:rsidRDefault="00974E4B" w:rsidP="00923467">
      <w:pPr>
        <w:pStyle w:val="Caption"/>
        <w:rPr>
          <w:b/>
          <w:bCs/>
          <w:sz w:val="24"/>
          <w:szCs w:val="24"/>
        </w:rPr>
      </w:pPr>
      <w:bookmarkStart w:id="87" w:name="_Toc137831172"/>
      <w:r w:rsidRPr="00923467">
        <w:t xml:space="preserve">Figure </w:t>
      </w:r>
      <w:r w:rsidRPr="00923467">
        <w:fldChar w:fldCharType="begin"/>
      </w:r>
      <w:r w:rsidRPr="00923467">
        <w:instrText xml:space="preserve"> SEQ Figure \* ARABIC </w:instrText>
      </w:r>
      <w:r w:rsidRPr="00923467">
        <w:fldChar w:fldCharType="separate"/>
      </w:r>
      <w:r w:rsidR="00E12E6B">
        <w:rPr>
          <w:noProof/>
        </w:rPr>
        <w:t>9</w:t>
      </w:r>
      <w:r w:rsidRPr="00923467">
        <w:fldChar w:fldCharType="end"/>
      </w:r>
      <w:r w:rsidRPr="00923467">
        <w:t>: Additional Revenue Recovered by the Baggage Unit in 2022</w:t>
      </w:r>
      <w:bookmarkEnd w:id="87"/>
    </w:p>
    <w:p w14:paraId="1163E976" w14:textId="75478444" w:rsidR="00310A88" w:rsidRPr="00A66409" w:rsidRDefault="00134284" w:rsidP="00923467">
      <w:pPr>
        <w:rPr>
          <w:sz w:val="16"/>
          <w:szCs w:val="16"/>
        </w:rPr>
      </w:pPr>
      <w:r w:rsidRPr="00A66409">
        <w:rPr>
          <w:sz w:val="16"/>
          <w:szCs w:val="16"/>
        </w:rPr>
        <w:t xml:space="preserve">Source: CSD </w:t>
      </w:r>
    </w:p>
    <w:p w14:paraId="39A7E6D2" w14:textId="77777777" w:rsidR="00310A88" w:rsidRPr="00923467" w:rsidRDefault="00310A88" w:rsidP="00923467"/>
    <w:p w14:paraId="6B742D42" w14:textId="77777777" w:rsidR="0005120F" w:rsidRDefault="0005120F" w:rsidP="00EF2D32">
      <w:pPr>
        <w:pStyle w:val="Heading3"/>
      </w:pPr>
    </w:p>
    <w:p w14:paraId="09C797D9" w14:textId="77777777" w:rsidR="0005120F" w:rsidRDefault="0005120F" w:rsidP="00EF2D32">
      <w:pPr>
        <w:pStyle w:val="Heading3"/>
      </w:pPr>
    </w:p>
    <w:p w14:paraId="7DF17856" w14:textId="77777777" w:rsidR="0063149A" w:rsidRDefault="0063149A" w:rsidP="0063149A"/>
    <w:p w14:paraId="78197C2E" w14:textId="77777777" w:rsidR="0063149A" w:rsidRDefault="0063149A" w:rsidP="0063149A"/>
    <w:p w14:paraId="381BF66C" w14:textId="77777777" w:rsidR="0063149A" w:rsidRPr="0063149A" w:rsidRDefault="0063149A" w:rsidP="0063149A"/>
    <w:p w14:paraId="620F2EFB" w14:textId="77777777" w:rsidR="0005120F" w:rsidRDefault="0005120F" w:rsidP="00EF2D32">
      <w:pPr>
        <w:pStyle w:val="Heading3"/>
      </w:pPr>
    </w:p>
    <w:p w14:paraId="4B50F244" w14:textId="49191388" w:rsidR="00A520EA" w:rsidRPr="00923467" w:rsidRDefault="00A520EA" w:rsidP="00EF2D32">
      <w:pPr>
        <w:pStyle w:val="Heading3"/>
      </w:pPr>
      <w:bookmarkStart w:id="88" w:name="_Toc137831110"/>
      <w:r w:rsidRPr="00923467">
        <w:t>Vehicle Clearance Unit</w:t>
      </w:r>
      <w:bookmarkEnd w:id="88"/>
    </w:p>
    <w:p w14:paraId="2EAD9643" w14:textId="1986C49B" w:rsidR="00B04696" w:rsidRPr="00923467" w:rsidRDefault="00A520EA" w:rsidP="00923467">
      <w:r w:rsidRPr="00923467">
        <w:t xml:space="preserve">Vehicles </w:t>
      </w:r>
      <w:r w:rsidR="00A244D1" w:rsidRPr="00923467">
        <w:t>V</w:t>
      </w:r>
      <w:r w:rsidRPr="00923467">
        <w:t xml:space="preserve">aluation </w:t>
      </w:r>
      <w:r w:rsidR="00A244D1" w:rsidRPr="00923467">
        <w:t>U</w:t>
      </w:r>
      <w:r w:rsidRPr="00923467">
        <w:t xml:space="preserve">nit is charged with the responsibility to assess values on imported vehicles, motorcycles, machines, and boats. </w:t>
      </w:r>
      <w:r w:rsidR="00243BC0" w:rsidRPr="00923467">
        <w:t>In the year under review</w:t>
      </w:r>
      <w:r w:rsidRPr="00923467">
        <w:t xml:space="preserve">, the </w:t>
      </w:r>
      <w:r w:rsidR="00243BC0" w:rsidRPr="00923467">
        <w:t>U</w:t>
      </w:r>
      <w:r w:rsidRPr="00923467">
        <w:t xml:space="preserve">nit </w:t>
      </w:r>
      <w:r w:rsidR="00061D75" w:rsidRPr="00923467">
        <w:t xml:space="preserve">processed a total of </w:t>
      </w:r>
      <w:r w:rsidRPr="00923467">
        <w:t xml:space="preserve">9,603 declarations </w:t>
      </w:r>
      <w:r w:rsidR="00201A2D" w:rsidRPr="00923467">
        <w:t>and generated</w:t>
      </w:r>
      <w:r w:rsidRPr="00923467">
        <w:t xml:space="preserve"> revenue total</w:t>
      </w:r>
      <w:r w:rsidR="00F8279C" w:rsidRPr="00923467">
        <w:t>l</w:t>
      </w:r>
      <w:r w:rsidRPr="00923467">
        <w:t>ing NLe156,194,38</w:t>
      </w:r>
      <w:r w:rsidR="0065316C" w:rsidRPr="00923467">
        <w:t>9</w:t>
      </w:r>
      <w:r w:rsidRPr="00923467">
        <w:t xml:space="preserve"> </w:t>
      </w:r>
      <w:r w:rsidR="00201A2D" w:rsidRPr="00923467">
        <w:t xml:space="preserve">from the various </w:t>
      </w:r>
      <w:r w:rsidR="00C47BDE" w:rsidRPr="00923467">
        <w:t>vehicle</w:t>
      </w:r>
      <w:r w:rsidR="00201A2D" w:rsidRPr="00923467">
        <w:t xml:space="preserve"> type</w:t>
      </w:r>
      <w:r w:rsidR="00E70030" w:rsidRPr="00923467">
        <w:t>s</w:t>
      </w:r>
      <w:r w:rsidR="00201A2D" w:rsidRPr="00923467">
        <w:t xml:space="preserve"> as shown in Table </w:t>
      </w:r>
      <w:r w:rsidR="00692BE8" w:rsidRPr="00923467">
        <w:t>22</w:t>
      </w:r>
      <w:r w:rsidR="00692BE8" w:rsidRPr="00923467">
        <w:rPr>
          <w:b/>
          <w:bCs/>
          <w:i/>
          <w:iCs/>
        </w:rPr>
        <w:t>.</w:t>
      </w:r>
    </w:p>
    <w:p w14:paraId="6EA9E13E" w14:textId="5852E333" w:rsidR="003E607B" w:rsidRPr="00923467" w:rsidRDefault="003E607B" w:rsidP="00923467"/>
    <w:tbl>
      <w:tblPr>
        <w:tblStyle w:val="GridTable4-Accent5"/>
        <w:tblW w:w="5382" w:type="dxa"/>
        <w:tblLook w:val="04A0" w:firstRow="1" w:lastRow="0" w:firstColumn="1" w:lastColumn="0" w:noHBand="0" w:noVBand="1"/>
      </w:tblPr>
      <w:tblGrid>
        <w:gridCol w:w="1555"/>
        <w:gridCol w:w="1842"/>
        <w:gridCol w:w="1985"/>
      </w:tblGrid>
      <w:tr w:rsidR="003E607B" w:rsidRPr="00923467" w14:paraId="4A61ED65" w14:textId="77777777" w:rsidTr="00A66409">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555" w:type="dxa"/>
            <w:hideMark/>
          </w:tcPr>
          <w:p w14:paraId="5AB0DF16" w14:textId="23D00A3B" w:rsidR="003E607B" w:rsidRPr="00A66409" w:rsidRDefault="00692BE8" w:rsidP="00923467">
            <w:pPr>
              <w:rPr>
                <w:sz w:val="18"/>
                <w:szCs w:val="18"/>
              </w:rPr>
            </w:pPr>
            <w:r w:rsidRPr="00A66409">
              <w:rPr>
                <w:sz w:val="18"/>
                <w:szCs w:val="18"/>
              </w:rPr>
              <w:t>Description</w:t>
            </w:r>
          </w:p>
        </w:tc>
        <w:tc>
          <w:tcPr>
            <w:tcW w:w="1842" w:type="dxa"/>
            <w:hideMark/>
          </w:tcPr>
          <w:p w14:paraId="4E6B2B61" w14:textId="507235BB" w:rsidR="003E607B" w:rsidRPr="00A66409" w:rsidRDefault="00692BE8"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66409">
              <w:rPr>
                <w:sz w:val="18"/>
                <w:szCs w:val="18"/>
              </w:rPr>
              <w:t>Revenue Collected</w:t>
            </w:r>
          </w:p>
        </w:tc>
        <w:tc>
          <w:tcPr>
            <w:tcW w:w="1985" w:type="dxa"/>
            <w:hideMark/>
          </w:tcPr>
          <w:p w14:paraId="006C00A8" w14:textId="0F0427F3" w:rsidR="003E607B" w:rsidRPr="00A66409" w:rsidRDefault="00692BE8"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66409">
              <w:rPr>
                <w:sz w:val="18"/>
                <w:szCs w:val="18"/>
              </w:rPr>
              <w:t>No. Of Declarations</w:t>
            </w:r>
          </w:p>
        </w:tc>
      </w:tr>
      <w:tr w:rsidR="00702FC8" w:rsidRPr="00923467" w14:paraId="18F6E392" w14:textId="77777777" w:rsidTr="00A6640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dxa"/>
            <w:hideMark/>
          </w:tcPr>
          <w:p w14:paraId="29DD16A8" w14:textId="77777777" w:rsidR="00702FC8" w:rsidRPr="00A66409" w:rsidRDefault="00702FC8" w:rsidP="00923467">
            <w:pPr>
              <w:rPr>
                <w:b w:val="0"/>
                <w:bCs w:val="0"/>
                <w:sz w:val="18"/>
                <w:szCs w:val="18"/>
              </w:rPr>
            </w:pPr>
            <w:r w:rsidRPr="00A66409">
              <w:rPr>
                <w:b w:val="0"/>
                <w:bCs w:val="0"/>
                <w:sz w:val="18"/>
                <w:szCs w:val="18"/>
              </w:rPr>
              <w:t>Cars</w:t>
            </w:r>
          </w:p>
        </w:tc>
        <w:tc>
          <w:tcPr>
            <w:tcW w:w="1842" w:type="dxa"/>
            <w:hideMark/>
          </w:tcPr>
          <w:p w14:paraId="21BAFD9B" w14:textId="66C231F7" w:rsidR="00702FC8" w:rsidRPr="00A66409" w:rsidRDefault="00702FC8"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66409">
              <w:rPr>
                <w:sz w:val="18"/>
                <w:szCs w:val="18"/>
              </w:rPr>
              <w:t>19,904,475</w:t>
            </w:r>
          </w:p>
        </w:tc>
        <w:tc>
          <w:tcPr>
            <w:tcW w:w="1985" w:type="dxa"/>
            <w:hideMark/>
          </w:tcPr>
          <w:p w14:paraId="1D9FDD3B" w14:textId="7EE45282" w:rsidR="00702FC8" w:rsidRPr="00A66409" w:rsidRDefault="00702FC8"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66409">
              <w:rPr>
                <w:sz w:val="18"/>
                <w:szCs w:val="18"/>
              </w:rPr>
              <w:t>2,839</w:t>
            </w:r>
          </w:p>
        </w:tc>
      </w:tr>
      <w:tr w:rsidR="00702FC8" w:rsidRPr="00923467" w14:paraId="0409E30B" w14:textId="77777777" w:rsidTr="00A66409">
        <w:trPr>
          <w:trHeight w:val="315"/>
        </w:trPr>
        <w:tc>
          <w:tcPr>
            <w:cnfStyle w:val="001000000000" w:firstRow="0" w:lastRow="0" w:firstColumn="1" w:lastColumn="0" w:oddVBand="0" w:evenVBand="0" w:oddHBand="0" w:evenHBand="0" w:firstRowFirstColumn="0" w:firstRowLastColumn="0" w:lastRowFirstColumn="0" w:lastRowLastColumn="0"/>
            <w:tcW w:w="1555" w:type="dxa"/>
            <w:hideMark/>
          </w:tcPr>
          <w:p w14:paraId="52852849" w14:textId="77777777" w:rsidR="00702FC8" w:rsidRPr="00A66409" w:rsidRDefault="00702FC8" w:rsidP="00923467">
            <w:pPr>
              <w:rPr>
                <w:b w:val="0"/>
                <w:bCs w:val="0"/>
                <w:sz w:val="18"/>
                <w:szCs w:val="18"/>
              </w:rPr>
            </w:pPr>
            <w:r w:rsidRPr="00A66409">
              <w:rPr>
                <w:b w:val="0"/>
                <w:bCs w:val="0"/>
                <w:sz w:val="18"/>
                <w:szCs w:val="18"/>
              </w:rPr>
              <w:t>Jeeps</w:t>
            </w:r>
          </w:p>
        </w:tc>
        <w:tc>
          <w:tcPr>
            <w:tcW w:w="1842" w:type="dxa"/>
            <w:hideMark/>
          </w:tcPr>
          <w:p w14:paraId="596766F6" w14:textId="28E8F40D" w:rsidR="00702FC8" w:rsidRPr="00A66409" w:rsidRDefault="00702FC8"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66409">
              <w:rPr>
                <w:sz w:val="18"/>
                <w:szCs w:val="18"/>
              </w:rPr>
              <w:t>47,061,095</w:t>
            </w:r>
          </w:p>
        </w:tc>
        <w:tc>
          <w:tcPr>
            <w:tcW w:w="1985" w:type="dxa"/>
            <w:hideMark/>
          </w:tcPr>
          <w:p w14:paraId="6EE5E187" w14:textId="45975B5C" w:rsidR="00702FC8" w:rsidRPr="00A66409" w:rsidRDefault="00702FC8"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66409">
              <w:rPr>
                <w:sz w:val="18"/>
                <w:szCs w:val="18"/>
              </w:rPr>
              <w:t>4,036</w:t>
            </w:r>
          </w:p>
        </w:tc>
      </w:tr>
      <w:tr w:rsidR="00702FC8" w:rsidRPr="00923467" w14:paraId="2AEB3DB5" w14:textId="77777777" w:rsidTr="00A6640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dxa"/>
            <w:hideMark/>
          </w:tcPr>
          <w:p w14:paraId="0A57DF29" w14:textId="77777777" w:rsidR="00702FC8" w:rsidRPr="00A66409" w:rsidRDefault="00702FC8" w:rsidP="00923467">
            <w:pPr>
              <w:rPr>
                <w:b w:val="0"/>
                <w:bCs w:val="0"/>
                <w:sz w:val="18"/>
                <w:szCs w:val="18"/>
              </w:rPr>
            </w:pPr>
            <w:r w:rsidRPr="00A66409">
              <w:rPr>
                <w:b w:val="0"/>
                <w:bCs w:val="0"/>
                <w:sz w:val="18"/>
                <w:szCs w:val="18"/>
              </w:rPr>
              <w:t>Vans</w:t>
            </w:r>
          </w:p>
        </w:tc>
        <w:tc>
          <w:tcPr>
            <w:tcW w:w="1842" w:type="dxa"/>
            <w:hideMark/>
          </w:tcPr>
          <w:p w14:paraId="6818EA47" w14:textId="2F2C63D1" w:rsidR="00702FC8" w:rsidRPr="00A66409" w:rsidRDefault="00702FC8"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66409">
              <w:rPr>
                <w:sz w:val="18"/>
                <w:szCs w:val="18"/>
              </w:rPr>
              <w:t>12,128,442</w:t>
            </w:r>
          </w:p>
        </w:tc>
        <w:tc>
          <w:tcPr>
            <w:tcW w:w="1985" w:type="dxa"/>
            <w:hideMark/>
          </w:tcPr>
          <w:p w14:paraId="1EE0A373" w14:textId="2FB7625B" w:rsidR="00702FC8" w:rsidRPr="00A66409" w:rsidRDefault="00702FC8"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66409">
              <w:rPr>
                <w:sz w:val="18"/>
                <w:szCs w:val="18"/>
              </w:rPr>
              <w:t>1,619</w:t>
            </w:r>
          </w:p>
        </w:tc>
      </w:tr>
      <w:tr w:rsidR="00702FC8" w:rsidRPr="00923467" w14:paraId="61FA0342" w14:textId="77777777" w:rsidTr="00A66409">
        <w:trPr>
          <w:trHeight w:val="315"/>
        </w:trPr>
        <w:tc>
          <w:tcPr>
            <w:cnfStyle w:val="001000000000" w:firstRow="0" w:lastRow="0" w:firstColumn="1" w:lastColumn="0" w:oddVBand="0" w:evenVBand="0" w:oddHBand="0" w:evenHBand="0" w:firstRowFirstColumn="0" w:firstRowLastColumn="0" w:lastRowFirstColumn="0" w:lastRowLastColumn="0"/>
            <w:tcW w:w="1555" w:type="dxa"/>
            <w:hideMark/>
          </w:tcPr>
          <w:p w14:paraId="1DAB14CF" w14:textId="77777777" w:rsidR="00702FC8" w:rsidRPr="00A66409" w:rsidRDefault="00702FC8" w:rsidP="00923467">
            <w:pPr>
              <w:rPr>
                <w:b w:val="0"/>
                <w:bCs w:val="0"/>
                <w:sz w:val="18"/>
                <w:szCs w:val="18"/>
              </w:rPr>
            </w:pPr>
            <w:r w:rsidRPr="00A66409">
              <w:rPr>
                <w:b w:val="0"/>
                <w:bCs w:val="0"/>
                <w:sz w:val="18"/>
                <w:szCs w:val="18"/>
              </w:rPr>
              <w:t>Buses</w:t>
            </w:r>
          </w:p>
        </w:tc>
        <w:tc>
          <w:tcPr>
            <w:tcW w:w="1842" w:type="dxa"/>
            <w:hideMark/>
          </w:tcPr>
          <w:p w14:paraId="474A0AB0" w14:textId="5AF6A271" w:rsidR="00702FC8" w:rsidRPr="00A66409" w:rsidRDefault="00702FC8"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66409">
              <w:rPr>
                <w:sz w:val="18"/>
                <w:szCs w:val="18"/>
              </w:rPr>
              <w:t>4,389,824</w:t>
            </w:r>
          </w:p>
        </w:tc>
        <w:tc>
          <w:tcPr>
            <w:tcW w:w="1985" w:type="dxa"/>
            <w:hideMark/>
          </w:tcPr>
          <w:p w14:paraId="7E88D255" w14:textId="4003F598" w:rsidR="00702FC8" w:rsidRPr="00A66409" w:rsidRDefault="00702FC8"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66409">
              <w:rPr>
                <w:sz w:val="18"/>
                <w:szCs w:val="18"/>
              </w:rPr>
              <w:t>400</w:t>
            </w:r>
          </w:p>
        </w:tc>
      </w:tr>
      <w:tr w:rsidR="00702FC8" w:rsidRPr="00923467" w14:paraId="4962A206" w14:textId="77777777" w:rsidTr="00A664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hideMark/>
          </w:tcPr>
          <w:p w14:paraId="4F5BE8E5" w14:textId="77777777" w:rsidR="00702FC8" w:rsidRPr="00A66409" w:rsidRDefault="00702FC8" w:rsidP="00923467">
            <w:pPr>
              <w:rPr>
                <w:b w:val="0"/>
                <w:bCs w:val="0"/>
                <w:sz w:val="18"/>
                <w:szCs w:val="18"/>
              </w:rPr>
            </w:pPr>
            <w:r w:rsidRPr="00A66409">
              <w:rPr>
                <w:b w:val="0"/>
                <w:bCs w:val="0"/>
                <w:sz w:val="18"/>
                <w:szCs w:val="18"/>
              </w:rPr>
              <w:t>Motorcycles</w:t>
            </w:r>
          </w:p>
        </w:tc>
        <w:tc>
          <w:tcPr>
            <w:tcW w:w="1842" w:type="dxa"/>
            <w:hideMark/>
          </w:tcPr>
          <w:p w14:paraId="140284F1" w14:textId="3C3EBB79" w:rsidR="00702FC8" w:rsidRPr="00A66409" w:rsidRDefault="00702FC8"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66409">
              <w:rPr>
                <w:sz w:val="18"/>
                <w:szCs w:val="18"/>
              </w:rPr>
              <w:t>61,342,084</w:t>
            </w:r>
          </w:p>
        </w:tc>
        <w:tc>
          <w:tcPr>
            <w:tcW w:w="1985" w:type="dxa"/>
            <w:hideMark/>
          </w:tcPr>
          <w:p w14:paraId="3FB2CCAB" w14:textId="30F2E64D" w:rsidR="00702FC8" w:rsidRPr="00A66409" w:rsidRDefault="00702FC8"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66409">
              <w:rPr>
                <w:sz w:val="18"/>
                <w:szCs w:val="18"/>
              </w:rPr>
              <w:t>430</w:t>
            </w:r>
          </w:p>
        </w:tc>
      </w:tr>
      <w:tr w:rsidR="00702FC8" w:rsidRPr="00923467" w14:paraId="290E28F2" w14:textId="77777777" w:rsidTr="00A66409">
        <w:trPr>
          <w:trHeight w:val="315"/>
        </w:trPr>
        <w:tc>
          <w:tcPr>
            <w:cnfStyle w:val="001000000000" w:firstRow="0" w:lastRow="0" w:firstColumn="1" w:lastColumn="0" w:oddVBand="0" w:evenVBand="0" w:oddHBand="0" w:evenHBand="0" w:firstRowFirstColumn="0" w:firstRowLastColumn="0" w:lastRowFirstColumn="0" w:lastRowLastColumn="0"/>
            <w:tcW w:w="1555" w:type="dxa"/>
            <w:hideMark/>
          </w:tcPr>
          <w:p w14:paraId="67EE9B37" w14:textId="77777777" w:rsidR="00702FC8" w:rsidRPr="00A66409" w:rsidRDefault="00702FC8" w:rsidP="00923467">
            <w:pPr>
              <w:rPr>
                <w:b w:val="0"/>
                <w:bCs w:val="0"/>
                <w:sz w:val="18"/>
                <w:szCs w:val="18"/>
              </w:rPr>
            </w:pPr>
            <w:r w:rsidRPr="00A66409">
              <w:rPr>
                <w:b w:val="0"/>
                <w:bCs w:val="0"/>
                <w:sz w:val="18"/>
                <w:szCs w:val="18"/>
              </w:rPr>
              <w:t>Machines</w:t>
            </w:r>
          </w:p>
        </w:tc>
        <w:tc>
          <w:tcPr>
            <w:tcW w:w="1842" w:type="dxa"/>
            <w:hideMark/>
          </w:tcPr>
          <w:p w14:paraId="47C5816B" w14:textId="6AE5F0C5" w:rsidR="00702FC8" w:rsidRPr="00A66409" w:rsidRDefault="00702FC8"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66409">
              <w:rPr>
                <w:sz w:val="18"/>
                <w:szCs w:val="18"/>
              </w:rPr>
              <w:t>11,250,016</w:t>
            </w:r>
          </w:p>
        </w:tc>
        <w:tc>
          <w:tcPr>
            <w:tcW w:w="1985" w:type="dxa"/>
            <w:hideMark/>
          </w:tcPr>
          <w:p w14:paraId="7F02CA0C" w14:textId="0A141851" w:rsidR="00702FC8" w:rsidRPr="00A66409" w:rsidRDefault="00702FC8"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66409">
              <w:rPr>
                <w:sz w:val="18"/>
                <w:szCs w:val="18"/>
              </w:rPr>
              <w:t>276</w:t>
            </w:r>
          </w:p>
        </w:tc>
      </w:tr>
      <w:tr w:rsidR="00702FC8" w:rsidRPr="00923467" w14:paraId="02852997" w14:textId="77777777" w:rsidTr="00A6640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55" w:type="dxa"/>
            <w:hideMark/>
          </w:tcPr>
          <w:p w14:paraId="1F4585B0" w14:textId="77777777" w:rsidR="00702FC8" w:rsidRPr="00A66409" w:rsidRDefault="00702FC8" w:rsidP="00923467">
            <w:pPr>
              <w:rPr>
                <w:b w:val="0"/>
                <w:bCs w:val="0"/>
                <w:sz w:val="18"/>
                <w:szCs w:val="18"/>
              </w:rPr>
            </w:pPr>
            <w:r w:rsidRPr="00A66409">
              <w:rPr>
                <w:b w:val="0"/>
                <w:bCs w:val="0"/>
                <w:sz w:val="18"/>
                <w:szCs w:val="18"/>
              </w:rPr>
              <w:t>Boats</w:t>
            </w:r>
          </w:p>
        </w:tc>
        <w:tc>
          <w:tcPr>
            <w:tcW w:w="1842" w:type="dxa"/>
            <w:hideMark/>
          </w:tcPr>
          <w:p w14:paraId="49266623" w14:textId="4B721A57" w:rsidR="00702FC8" w:rsidRPr="00A66409" w:rsidRDefault="00702FC8"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66409">
              <w:rPr>
                <w:sz w:val="18"/>
                <w:szCs w:val="18"/>
              </w:rPr>
              <w:t>118,454</w:t>
            </w:r>
          </w:p>
        </w:tc>
        <w:tc>
          <w:tcPr>
            <w:tcW w:w="1985" w:type="dxa"/>
            <w:hideMark/>
          </w:tcPr>
          <w:p w14:paraId="61292534" w14:textId="28F1BFC1" w:rsidR="00702FC8" w:rsidRPr="00A66409" w:rsidRDefault="00702FC8"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66409">
              <w:rPr>
                <w:sz w:val="18"/>
                <w:szCs w:val="18"/>
              </w:rPr>
              <w:t>3</w:t>
            </w:r>
          </w:p>
        </w:tc>
      </w:tr>
      <w:tr w:rsidR="00702FC8" w:rsidRPr="00923467" w14:paraId="378AB273" w14:textId="77777777" w:rsidTr="00A66409">
        <w:trPr>
          <w:trHeight w:val="330"/>
        </w:trPr>
        <w:tc>
          <w:tcPr>
            <w:cnfStyle w:val="001000000000" w:firstRow="0" w:lastRow="0" w:firstColumn="1" w:lastColumn="0" w:oddVBand="0" w:evenVBand="0" w:oddHBand="0" w:evenHBand="0" w:firstRowFirstColumn="0" w:firstRowLastColumn="0" w:lastRowFirstColumn="0" w:lastRowLastColumn="0"/>
            <w:tcW w:w="1555" w:type="dxa"/>
            <w:hideMark/>
          </w:tcPr>
          <w:p w14:paraId="49993655" w14:textId="30FBF66B" w:rsidR="00702FC8" w:rsidRPr="00A66409" w:rsidRDefault="00542064" w:rsidP="00923467">
            <w:pPr>
              <w:rPr>
                <w:b w:val="0"/>
                <w:bCs w:val="0"/>
                <w:sz w:val="18"/>
                <w:szCs w:val="18"/>
              </w:rPr>
            </w:pPr>
            <w:r w:rsidRPr="00A66409">
              <w:rPr>
                <w:sz w:val="18"/>
                <w:szCs w:val="18"/>
              </w:rPr>
              <w:t>Total</w:t>
            </w:r>
          </w:p>
        </w:tc>
        <w:tc>
          <w:tcPr>
            <w:tcW w:w="1842" w:type="dxa"/>
            <w:noWrap/>
            <w:hideMark/>
          </w:tcPr>
          <w:p w14:paraId="15C648BB" w14:textId="4B688197" w:rsidR="00702FC8" w:rsidRPr="00A66409" w:rsidRDefault="00702FC8" w:rsidP="00923467">
            <w:pPr>
              <w:cnfStyle w:val="000000000000" w:firstRow="0" w:lastRow="0" w:firstColumn="0" w:lastColumn="0" w:oddVBand="0" w:evenVBand="0" w:oddHBand="0" w:evenHBand="0" w:firstRowFirstColumn="0" w:firstRowLastColumn="0" w:lastRowFirstColumn="0" w:lastRowLastColumn="0"/>
              <w:rPr>
                <w:rFonts w:eastAsia="Times New Roman"/>
                <w:b/>
                <w:bCs/>
                <w:sz w:val="18"/>
                <w:szCs w:val="18"/>
              </w:rPr>
            </w:pPr>
            <w:r w:rsidRPr="00A66409">
              <w:rPr>
                <w:b/>
                <w:bCs/>
                <w:sz w:val="18"/>
                <w:szCs w:val="18"/>
              </w:rPr>
              <w:t>156,194,389</w:t>
            </w:r>
          </w:p>
        </w:tc>
        <w:tc>
          <w:tcPr>
            <w:tcW w:w="1985" w:type="dxa"/>
            <w:noWrap/>
            <w:hideMark/>
          </w:tcPr>
          <w:p w14:paraId="72E0DCFC" w14:textId="584E43DE" w:rsidR="00702FC8" w:rsidRPr="00A66409" w:rsidRDefault="00702FC8" w:rsidP="00923467">
            <w:pPr>
              <w:cnfStyle w:val="000000000000" w:firstRow="0" w:lastRow="0" w:firstColumn="0" w:lastColumn="0" w:oddVBand="0" w:evenVBand="0" w:oddHBand="0" w:evenHBand="0" w:firstRowFirstColumn="0" w:firstRowLastColumn="0" w:lastRowFirstColumn="0" w:lastRowLastColumn="0"/>
              <w:rPr>
                <w:rFonts w:eastAsia="Times New Roman"/>
                <w:b/>
                <w:bCs/>
                <w:sz w:val="18"/>
                <w:szCs w:val="18"/>
              </w:rPr>
            </w:pPr>
            <w:r w:rsidRPr="00A66409">
              <w:rPr>
                <w:b/>
                <w:bCs/>
                <w:sz w:val="18"/>
                <w:szCs w:val="18"/>
              </w:rPr>
              <w:t>9,603</w:t>
            </w:r>
          </w:p>
        </w:tc>
      </w:tr>
    </w:tbl>
    <w:p w14:paraId="1310EA6F" w14:textId="7E4F2E04" w:rsidR="00692BE8" w:rsidRPr="00923467" w:rsidRDefault="00692BE8" w:rsidP="00923467">
      <w:pPr>
        <w:pStyle w:val="Caption"/>
      </w:pPr>
      <w:bookmarkStart w:id="89" w:name="_Toc137831151"/>
      <w:r w:rsidRPr="00923467">
        <w:t xml:space="preserve">Table </w:t>
      </w:r>
      <w:r w:rsidRPr="00923467">
        <w:fldChar w:fldCharType="begin"/>
      </w:r>
      <w:r w:rsidRPr="00923467">
        <w:instrText xml:space="preserve"> SEQ Table \* ARABIC </w:instrText>
      </w:r>
      <w:r w:rsidRPr="00923467">
        <w:fldChar w:fldCharType="separate"/>
      </w:r>
      <w:r w:rsidR="00E12E6B">
        <w:rPr>
          <w:noProof/>
        </w:rPr>
        <w:t>22</w:t>
      </w:r>
      <w:r w:rsidRPr="00923467">
        <w:fldChar w:fldCharType="end"/>
      </w:r>
      <w:r w:rsidRPr="00923467">
        <w:t>: Declarations and Revenue Collection by the Vehicle Unit in 2022</w:t>
      </w:r>
      <w:bookmarkEnd w:id="89"/>
    </w:p>
    <w:p w14:paraId="1FCA97EC" w14:textId="456D442A" w:rsidR="003E607B" w:rsidRPr="0005120F" w:rsidRDefault="00343CF4" w:rsidP="00923467">
      <w:pPr>
        <w:rPr>
          <w:sz w:val="16"/>
          <w:szCs w:val="16"/>
        </w:rPr>
      </w:pPr>
      <w:r w:rsidRPr="0005120F">
        <w:rPr>
          <w:sz w:val="16"/>
          <w:szCs w:val="16"/>
        </w:rPr>
        <w:t>Source: CSD</w:t>
      </w:r>
    </w:p>
    <w:p w14:paraId="5FB20FB7" w14:textId="77777777" w:rsidR="00B04696" w:rsidRPr="00923467" w:rsidRDefault="00B04696" w:rsidP="00923467"/>
    <w:p w14:paraId="38ABE0F2" w14:textId="16D1AEF3" w:rsidR="00A520EA" w:rsidRPr="00923467" w:rsidRDefault="00572095" w:rsidP="00EF2D32">
      <w:pPr>
        <w:pStyle w:val="Heading3"/>
      </w:pPr>
      <w:bookmarkStart w:id="90" w:name="_Toc137831111"/>
      <w:r w:rsidRPr="00923467">
        <w:t>Scanning Unit</w:t>
      </w:r>
      <w:bookmarkEnd w:id="90"/>
    </w:p>
    <w:p w14:paraId="1968D138" w14:textId="0D165D85" w:rsidR="00836CBE" w:rsidRDefault="00E4055E" w:rsidP="00923467">
      <w:r w:rsidRPr="00923467">
        <w:t>The Scanning Unit uses a scanning machine that helps identify objects that are in containers/luggage by creating images. Once the containers/</w:t>
      </w:r>
      <w:r w:rsidR="0063149A" w:rsidRPr="00923467">
        <w:t>luggage</w:t>
      </w:r>
      <w:r w:rsidRPr="00923467">
        <w:t xml:space="preserve"> are scanned, reports are then forwarded to the </w:t>
      </w:r>
      <w:r w:rsidR="004E7586" w:rsidRPr="00923467">
        <w:t>P</w:t>
      </w:r>
      <w:r w:rsidRPr="00923467">
        <w:t xml:space="preserve">hysical </w:t>
      </w:r>
      <w:r w:rsidR="004E7586" w:rsidRPr="00923467">
        <w:t>I</w:t>
      </w:r>
      <w:r w:rsidRPr="00923467">
        <w:t xml:space="preserve">nspection </w:t>
      </w:r>
      <w:r w:rsidR="004E7586" w:rsidRPr="00923467">
        <w:t>U</w:t>
      </w:r>
      <w:r w:rsidRPr="00923467">
        <w:t>nit for necessary action.</w:t>
      </w:r>
      <w:r w:rsidR="00B04696" w:rsidRPr="00923467">
        <w:t xml:space="preserve"> </w:t>
      </w:r>
      <w:r w:rsidRPr="00923467">
        <w:t xml:space="preserve">Reports generated could either be satisfactory if it conforms </w:t>
      </w:r>
      <w:r w:rsidR="00744BC7" w:rsidRPr="00923467">
        <w:t>with</w:t>
      </w:r>
      <w:r w:rsidRPr="00923467">
        <w:t xml:space="preserve"> </w:t>
      </w:r>
      <w:r w:rsidR="008D68E0" w:rsidRPr="00923467">
        <w:t>what is declared</w:t>
      </w:r>
      <w:r w:rsidRPr="00923467">
        <w:t xml:space="preserve"> or </w:t>
      </w:r>
      <w:r w:rsidR="008D68E0" w:rsidRPr="00923467">
        <w:t>can be u</w:t>
      </w:r>
      <w:r w:rsidRPr="00923467">
        <w:t>nsatisfactory if it does not conform</w:t>
      </w:r>
      <w:r w:rsidR="008D68E0" w:rsidRPr="00923467">
        <w:t xml:space="preserve"> </w:t>
      </w:r>
      <w:r w:rsidR="00850225" w:rsidRPr="00923467">
        <w:t>with</w:t>
      </w:r>
      <w:r w:rsidR="008D68E0" w:rsidRPr="00923467">
        <w:t xml:space="preserve"> what is declared</w:t>
      </w:r>
      <w:r w:rsidRPr="00923467">
        <w:t>. Unsatisfactory report is an indicat</w:t>
      </w:r>
      <w:r w:rsidR="008D68E0" w:rsidRPr="00923467">
        <w:t>ion</w:t>
      </w:r>
      <w:r w:rsidRPr="00923467">
        <w:t xml:space="preserve"> that detailed checks need to be done by the </w:t>
      </w:r>
      <w:r w:rsidR="004E7586" w:rsidRPr="00923467">
        <w:t>P</w:t>
      </w:r>
      <w:r w:rsidRPr="00923467">
        <w:t xml:space="preserve">hysical </w:t>
      </w:r>
      <w:r w:rsidR="004E7586" w:rsidRPr="00923467">
        <w:t>I</w:t>
      </w:r>
      <w:r w:rsidRPr="00923467">
        <w:t xml:space="preserve">nspection </w:t>
      </w:r>
      <w:r w:rsidR="004E7586" w:rsidRPr="00923467">
        <w:t>U</w:t>
      </w:r>
      <w:r w:rsidRPr="00923467">
        <w:t>nit.</w:t>
      </w:r>
      <w:r w:rsidR="008D0CFE" w:rsidRPr="00923467">
        <w:t xml:space="preserve"> </w:t>
      </w:r>
    </w:p>
    <w:p w14:paraId="1002F30D" w14:textId="77777777" w:rsidR="00A66409" w:rsidRPr="00923467" w:rsidRDefault="00A66409" w:rsidP="00923467"/>
    <w:p w14:paraId="12F70C98" w14:textId="1C37941C" w:rsidR="00E4055E" w:rsidRDefault="006217B1" w:rsidP="00923467">
      <w:r w:rsidRPr="00923467">
        <w:t>T</w:t>
      </w:r>
      <w:r w:rsidR="00E4055E" w:rsidRPr="00923467">
        <w:t xml:space="preserve">able </w:t>
      </w:r>
      <w:r w:rsidR="00B04696" w:rsidRPr="00923467">
        <w:t xml:space="preserve">23 </w:t>
      </w:r>
      <w:r w:rsidR="00CC2309" w:rsidRPr="00923467">
        <w:t>compar</w:t>
      </w:r>
      <w:r w:rsidR="00B2418C" w:rsidRPr="00923467">
        <w:t>es</w:t>
      </w:r>
      <w:r w:rsidR="00E4055E" w:rsidRPr="00923467">
        <w:t xml:space="preserve"> the total number of containers scanned </w:t>
      </w:r>
      <w:r w:rsidR="00CC2309" w:rsidRPr="00923467">
        <w:t>by</w:t>
      </w:r>
      <w:r w:rsidR="00E4055E" w:rsidRPr="00923467">
        <w:t xml:space="preserve"> the Unit </w:t>
      </w:r>
      <w:r w:rsidR="007502BF" w:rsidRPr="00923467">
        <w:t>in</w:t>
      </w:r>
      <w:r w:rsidR="00E4055E" w:rsidRPr="00923467">
        <w:t xml:space="preserve"> </w:t>
      </w:r>
      <w:r w:rsidR="00CC2309" w:rsidRPr="00923467">
        <w:t xml:space="preserve">2021 and </w:t>
      </w:r>
      <w:r w:rsidR="00E4055E" w:rsidRPr="00923467">
        <w:t>2022</w:t>
      </w:r>
      <w:r w:rsidR="002F3FAA" w:rsidRPr="00923467">
        <w:t xml:space="preserve"> by month</w:t>
      </w:r>
      <w:r w:rsidR="00E4055E" w:rsidRPr="00923467">
        <w:t>.</w:t>
      </w:r>
      <w:r w:rsidR="002F3FAA" w:rsidRPr="00923467">
        <w:t xml:space="preserve"> As could be seen, the total number of containers scanned declined in 2022 by 2,180 from 48,988 in 2021. </w:t>
      </w:r>
      <w:r w:rsidR="00071AD7" w:rsidRPr="00923467">
        <w:t>Further, t</w:t>
      </w:r>
      <w:r w:rsidR="002F3FAA" w:rsidRPr="00923467">
        <w:t>he number of scanned import containers declined by</w:t>
      </w:r>
      <w:r w:rsidR="00EC2F22" w:rsidRPr="00923467">
        <w:t xml:space="preserve"> 2,119</w:t>
      </w:r>
      <w:r w:rsidR="002F3FAA" w:rsidRPr="00923467">
        <w:t xml:space="preserve"> </w:t>
      </w:r>
      <w:r w:rsidR="00FD1033" w:rsidRPr="00923467">
        <w:t>(</w:t>
      </w:r>
      <w:r w:rsidR="00EC2F22" w:rsidRPr="00923467">
        <w:t>6.2%</w:t>
      </w:r>
      <w:r w:rsidR="00FD1033" w:rsidRPr="00923467">
        <w:t>)</w:t>
      </w:r>
      <w:r w:rsidR="002F3FAA" w:rsidRPr="00923467">
        <w:t xml:space="preserve">, </w:t>
      </w:r>
      <w:r w:rsidR="000D2835" w:rsidRPr="00923467">
        <w:t xml:space="preserve">while </w:t>
      </w:r>
      <w:r w:rsidR="002F3FAA" w:rsidRPr="00923467">
        <w:t xml:space="preserve">the number of scanned export containers declined by only </w:t>
      </w:r>
      <w:r w:rsidR="000D2835" w:rsidRPr="00923467">
        <w:t xml:space="preserve">61 </w:t>
      </w:r>
      <w:r w:rsidR="00FD1033" w:rsidRPr="00923467">
        <w:t>(</w:t>
      </w:r>
      <w:r w:rsidR="000D2835" w:rsidRPr="00923467">
        <w:t>0.4%</w:t>
      </w:r>
      <w:r w:rsidR="00FD1033" w:rsidRPr="00923467">
        <w:t>)</w:t>
      </w:r>
      <w:r w:rsidR="002F3FAA" w:rsidRPr="00923467">
        <w:t xml:space="preserve">. </w:t>
      </w:r>
    </w:p>
    <w:p w14:paraId="7BF84A56" w14:textId="77777777" w:rsidR="0063149A" w:rsidRDefault="0063149A" w:rsidP="00923467"/>
    <w:p w14:paraId="22CBFA9E" w14:textId="77777777" w:rsidR="0063149A" w:rsidRDefault="0063149A" w:rsidP="00923467"/>
    <w:p w14:paraId="513B608F" w14:textId="77777777" w:rsidR="0063149A" w:rsidRDefault="0063149A" w:rsidP="00923467"/>
    <w:p w14:paraId="4ADAFFBA" w14:textId="77777777" w:rsidR="0063149A" w:rsidRDefault="0063149A" w:rsidP="00923467"/>
    <w:p w14:paraId="39E37632" w14:textId="77777777" w:rsidR="0063149A" w:rsidRDefault="0063149A" w:rsidP="00923467"/>
    <w:p w14:paraId="6219D754" w14:textId="77777777" w:rsidR="0063149A" w:rsidRDefault="0063149A" w:rsidP="00923467"/>
    <w:p w14:paraId="3D58EF98" w14:textId="77777777" w:rsidR="0063149A" w:rsidRPr="00923467" w:rsidRDefault="0063149A" w:rsidP="00923467"/>
    <w:p w14:paraId="129F0A7B" w14:textId="77777777" w:rsidR="00AA0852" w:rsidRPr="00923467" w:rsidRDefault="00AA0852" w:rsidP="00923467"/>
    <w:tbl>
      <w:tblPr>
        <w:tblStyle w:val="GridTable4-Accent5"/>
        <w:tblW w:w="8784" w:type="dxa"/>
        <w:tblLook w:val="04A0" w:firstRow="1" w:lastRow="0" w:firstColumn="1" w:lastColumn="0" w:noHBand="0" w:noVBand="1"/>
      </w:tblPr>
      <w:tblGrid>
        <w:gridCol w:w="1142"/>
        <w:gridCol w:w="795"/>
        <w:gridCol w:w="834"/>
        <w:gridCol w:w="979"/>
        <w:gridCol w:w="781"/>
        <w:gridCol w:w="709"/>
        <w:gridCol w:w="992"/>
        <w:gridCol w:w="709"/>
        <w:gridCol w:w="709"/>
        <w:gridCol w:w="1134"/>
      </w:tblGrid>
      <w:tr w:rsidR="00A66409" w:rsidRPr="00923467" w14:paraId="4EFC6EFB" w14:textId="77777777" w:rsidTr="00A66409">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142" w:type="dxa"/>
            <w:tcBorders>
              <w:bottom w:val="nil"/>
            </w:tcBorders>
            <w:hideMark/>
          </w:tcPr>
          <w:p w14:paraId="1926F40C" w14:textId="153FADF4" w:rsidR="00CA3476" w:rsidRPr="00A66409" w:rsidRDefault="00CA3476" w:rsidP="00923467">
            <w:pPr>
              <w:rPr>
                <w:sz w:val="18"/>
                <w:szCs w:val="18"/>
              </w:rPr>
            </w:pPr>
          </w:p>
        </w:tc>
        <w:tc>
          <w:tcPr>
            <w:tcW w:w="2608" w:type="dxa"/>
            <w:gridSpan w:val="3"/>
            <w:tcBorders>
              <w:bottom w:val="nil"/>
            </w:tcBorders>
            <w:hideMark/>
          </w:tcPr>
          <w:p w14:paraId="066D23EA" w14:textId="64C02390" w:rsidR="00CA3476" w:rsidRPr="00A66409" w:rsidRDefault="00CA3476" w:rsidP="00A66409">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66409">
              <w:rPr>
                <w:sz w:val="18"/>
                <w:szCs w:val="18"/>
              </w:rPr>
              <w:t>Total Scanned</w:t>
            </w:r>
          </w:p>
        </w:tc>
        <w:tc>
          <w:tcPr>
            <w:tcW w:w="2482" w:type="dxa"/>
            <w:gridSpan w:val="3"/>
            <w:tcBorders>
              <w:bottom w:val="nil"/>
            </w:tcBorders>
            <w:hideMark/>
          </w:tcPr>
          <w:p w14:paraId="24077A49" w14:textId="256171EB" w:rsidR="00CA3476" w:rsidRPr="00A66409" w:rsidRDefault="00CA3476" w:rsidP="00A66409">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66409">
              <w:rPr>
                <w:sz w:val="18"/>
                <w:szCs w:val="18"/>
              </w:rPr>
              <w:t>Total Import</w:t>
            </w:r>
          </w:p>
        </w:tc>
        <w:tc>
          <w:tcPr>
            <w:tcW w:w="2552" w:type="dxa"/>
            <w:gridSpan w:val="3"/>
            <w:tcBorders>
              <w:bottom w:val="nil"/>
            </w:tcBorders>
            <w:hideMark/>
          </w:tcPr>
          <w:p w14:paraId="4DEB17CA" w14:textId="34900B5B" w:rsidR="00CA3476" w:rsidRPr="00A66409" w:rsidRDefault="00CA3476" w:rsidP="00A66409">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66409">
              <w:rPr>
                <w:sz w:val="18"/>
                <w:szCs w:val="18"/>
              </w:rPr>
              <w:t>Total Export</w:t>
            </w:r>
          </w:p>
        </w:tc>
      </w:tr>
      <w:tr w:rsidR="00D730E6" w:rsidRPr="00923467" w14:paraId="3D555CD8" w14:textId="77777777" w:rsidTr="00AD36D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142" w:type="dxa"/>
            <w:tcBorders>
              <w:top w:val="nil"/>
              <w:left w:val="nil"/>
              <w:bottom w:val="nil"/>
              <w:right w:val="nil"/>
            </w:tcBorders>
            <w:shd w:val="clear" w:color="auto" w:fill="5B9BD5" w:themeFill="accent5"/>
            <w:hideMark/>
          </w:tcPr>
          <w:p w14:paraId="453A81C7" w14:textId="77777777" w:rsidR="00CA3476" w:rsidRPr="00A66409" w:rsidRDefault="00CA3476" w:rsidP="00923467">
            <w:pPr>
              <w:rPr>
                <w:color w:val="FFFFFF" w:themeColor="background1"/>
                <w:sz w:val="18"/>
                <w:szCs w:val="18"/>
              </w:rPr>
            </w:pPr>
          </w:p>
        </w:tc>
        <w:tc>
          <w:tcPr>
            <w:tcW w:w="795" w:type="dxa"/>
            <w:tcBorders>
              <w:top w:val="nil"/>
              <w:left w:val="nil"/>
              <w:bottom w:val="nil"/>
              <w:right w:val="nil"/>
            </w:tcBorders>
            <w:shd w:val="clear" w:color="auto" w:fill="5B9BD5" w:themeFill="accent5"/>
            <w:noWrap/>
            <w:hideMark/>
          </w:tcPr>
          <w:p w14:paraId="70918D07" w14:textId="03646A78"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66409">
              <w:rPr>
                <w:b/>
                <w:bCs/>
                <w:color w:val="FFFFFF" w:themeColor="background1"/>
                <w:sz w:val="18"/>
                <w:szCs w:val="18"/>
              </w:rPr>
              <w:t>2021</w:t>
            </w:r>
          </w:p>
        </w:tc>
        <w:tc>
          <w:tcPr>
            <w:tcW w:w="834" w:type="dxa"/>
            <w:tcBorders>
              <w:top w:val="nil"/>
              <w:left w:val="nil"/>
              <w:bottom w:val="nil"/>
              <w:right w:val="nil"/>
            </w:tcBorders>
            <w:shd w:val="clear" w:color="auto" w:fill="5B9BD5" w:themeFill="accent5"/>
            <w:hideMark/>
          </w:tcPr>
          <w:p w14:paraId="1ADC284D" w14:textId="77777777"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66409">
              <w:rPr>
                <w:b/>
                <w:bCs/>
                <w:color w:val="FFFFFF" w:themeColor="background1"/>
                <w:sz w:val="18"/>
                <w:szCs w:val="18"/>
              </w:rPr>
              <w:t>2022</w:t>
            </w:r>
          </w:p>
        </w:tc>
        <w:tc>
          <w:tcPr>
            <w:tcW w:w="979" w:type="dxa"/>
            <w:tcBorders>
              <w:top w:val="nil"/>
              <w:left w:val="nil"/>
              <w:bottom w:val="nil"/>
              <w:right w:val="single" w:sz="4" w:space="0" w:color="FFFFFF" w:themeColor="background1"/>
            </w:tcBorders>
            <w:shd w:val="clear" w:color="auto" w:fill="5B9BD5" w:themeFill="accent5"/>
            <w:hideMark/>
          </w:tcPr>
          <w:p w14:paraId="0B02D509" w14:textId="18C0060C" w:rsidR="00CA3476" w:rsidRPr="00A66409" w:rsidRDefault="00645107" w:rsidP="00923467">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66409">
              <w:rPr>
                <w:b/>
                <w:bCs/>
                <w:color w:val="FFFFFF" w:themeColor="background1"/>
                <w:sz w:val="18"/>
                <w:szCs w:val="18"/>
              </w:rPr>
              <w:t>Difference</w:t>
            </w:r>
          </w:p>
        </w:tc>
        <w:tc>
          <w:tcPr>
            <w:tcW w:w="781" w:type="dxa"/>
            <w:tcBorders>
              <w:top w:val="nil"/>
              <w:left w:val="single" w:sz="4" w:space="0" w:color="FFFFFF" w:themeColor="background1"/>
              <w:bottom w:val="nil"/>
              <w:right w:val="nil"/>
            </w:tcBorders>
            <w:shd w:val="clear" w:color="auto" w:fill="5B9BD5" w:themeFill="accent5"/>
            <w:noWrap/>
            <w:hideMark/>
          </w:tcPr>
          <w:p w14:paraId="06B3838E" w14:textId="77777777"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66409">
              <w:rPr>
                <w:b/>
                <w:bCs/>
                <w:color w:val="FFFFFF" w:themeColor="background1"/>
                <w:sz w:val="18"/>
                <w:szCs w:val="18"/>
              </w:rPr>
              <w:t>2021</w:t>
            </w:r>
          </w:p>
        </w:tc>
        <w:tc>
          <w:tcPr>
            <w:tcW w:w="709" w:type="dxa"/>
            <w:tcBorders>
              <w:top w:val="nil"/>
              <w:left w:val="nil"/>
              <w:bottom w:val="nil"/>
              <w:right w:val="nil"/>
            </w:tcBorders>
            <w:shd w:val="clear" w:color="auto" w:fill="5B9BD5" w:themeFill="accent5"/>
            <w:hideMark/>
          </w:tcPr>
          <w:p w14:paraId="2FCA846D" w14:textId="77777777"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66409">
              <w:rPr>
                <w:b/>
                <w:bCs/>
                <w:color w:val="FFFFFF" w:themeColor="background1"/>
                <w:sz w:val="18"/>
                <w:szCs w:val="18"/>
              </w:rPr>
              <w:t>2022</w:t>
            </w:r>
          </w:p>
        </w:tc>
        <w:tc>
          <w:tcPr>
            <w:tcW w:w="992" w:type="dxa"/>
            <w:tcBorders>
              <w:top w:val="nil"/>
              <w:left w:val="nil"/>
              <w:bottom w:val="nil"/>
              <w:right w:val="single" w:sz="4" w:space="0" w:color="FFFFFF" w:themeColor="background1"/>
            </w:tcBorders>
            <w:shd w:val="clear" w:color="auto" w:fill="5B9BD5" w:themeFill="accent5"/>
            <w:hideMark/>
          </w:tcPr>
          <w:p w14:paraId="07471907" w14:textId="7AB67BB8" w:rsidR="00CA3476" w:rsidRPr="00A66409" w:rsidRDefault="00645107" w:rsidP="00923467">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66409">
              <w:rPr>
                <w:b/>
                <w:bCs/>
                <w:color w:val="FFFFFF" w:themeColor="background1"/>
                <w:sz w:val="18"/>
                <w:szCs w:val="18"/>
              </w:rPr>
              <w:t>Difference</w:t>
            </w:r>
          </w:p>
        </w:tc>
        <w:tc>
          <w:tcPr>
            <w:tcW w:w="709" w:type="dxa"/>
            <w:tcBorders>
              <w:top w:val="nil"/>
              <w:left w:val="single" w:sz="4" w:space="0" w:color="FFFFFF" w:themeColor="background1"/>
              <w:bottom w:val="nil"/>
              <w:right w:val="nil"/>
            </w:tcBorders>
            <w:shd w:val="clear" w:color="auto" w:fill="5B9BD5" w:themeFill="accent5"/>
            <w:noWrap/>
            <w:hideMark/>
          </w:tcPr>
          <w:p w14:paraId="4D97C356" w14:textId="77777777"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66409">
              <w:rPr>
                <w:b/>
                <w:bCs/>
                <w:color w:val="FFFFFF" w:themeColor="background1"/>
                <w:sz w:val="18"/>
                <w:szCs w:val="18"/>
              </w:rPr>
              <w:t>2021</w:t>
            </w:r>
          </w:p>
        </w:tc>
        <w:tc>
          <w:tcPr>
            <w:tcW w:w="709" w:type="dxa"/>
            <w:tcBorders>
              <w:top w:val="nil"/>
              <w:left w:val="nil"/>
              <w:bottom w:val="nil"/>
              <w:right w:val="nil"/>
            </w:tcBorders>
            <w:shd w:val="clear" w:color="auto" w:fill="5B9BD5" w:themeFill="accent5"/>
            <w:hideMark/>
          </w:tcPr>
          <w:p w14:paraId="522D9102" w14:textId="77777777"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66409">
              <w:rPr>
                <w:b/>
                <w:bCs/>
                <w:color w:val="FFFFFF" w:themeColor="background1"/>
                <w:sz w:val="18"/>
                <w:szCs w:val="18"/>
              </w:rPr>
              <w:t>2022</w:t>
            </w:r>
          </w:p>
        </w:tc>
        <w:tc>
          <w:tcPr>
            <w:tcW w:w="1134" w:type="dxa"/>
            <w:tcBorders>
              <w:top w:val="nil"/>
              <w:left w:val="nil"/>
              <w:bottom w:val="nil"/>
              <w:right w:val="nil"/>
            </w:tcBorders>
            <w:shd w:val="clear" w:color="auto" w:fill="5B9BD5" w:themeFill="accent5"/>
            <w:hideMark/>
          </w:tcPr>
          <w:p w14:paraId="3920E09B" w14:textId="53ADE285" w:rsidR="00CA3476" w:rsidRPr="00A66409" w:rsidRDefault="00645107" w:rsidP="00923467">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66409">
              <w:rPr>
                <w:b/>
                <w:bCs/>
                <w:color w:val="FFFFFF" w:themeColor="background1"/>
                <w:sz w:val="18"/>
                <w:szCs w:val="18"/>
              </w:rPr>
              <w:t>Difference</w:t>
            </w:r>
          </w:p>
        </w:tc>
      </w:tr>
      <w:tr w:rsidR="00A66409" w:rsidRPr="00923467" w14:paraId="7274650A" w14:textId="77777777" w:rsidTr="00A66409">
        <w:trPr>
          <w:trHeight w:val="341"/>
        </w:trPr>
        <w:tc>
          <w:tcPr>
            <w:cnfStyle w:val="001000000000" w:firstRow="0" w:lastRow="0" w:firstColumn="1" w:lastColumn="0" w:oddVBand="0" w:evenVBand="0" w:oddHBand="0" w:evenHBand="0" w:firstRowFirstColumn="0" w:firstRowLastColumn="0" w:lastRowFirstColumn="0" w:lastRowLastColumn="0"/>
            <w:tcW w:w="1142" w:type="dxa"/>
            <w:tcBorders>
              <w:top w:val="nil"/>
            </w:tcBorders>
            <w:hideMark/>
          </w:tcPr>
          <w:p w14:paraId="0ED7AFB3" w14:textId="337665E8" w:rsidR="00CA3476" w:rsidRPr="00A66409" w:rsidRDefault="00CA3476" w:rsidP="00923467">
            <w:pPr>
              <w:rPr>
                <w:b w:val="0"/>
                <w:bCs w:val="0"/>
                <w:sz w:val="18"/>
                <w:szCs w:val="18"/>
              </w:rPr>
            </w:pPr>
            <w:r w:rsidRPr="00A66409">
              <w:rPr>
                <w:sz w:val="18"/>
                <w:szCs w:val="18"/>
              </w:rPr>
              <w:t>January</w:t>
            </w:r>
          </w:p>
        </w:tc>
        <w:tc>
          <w:tcPr>
            <w:tcW w:w="795" w:type="dxa"/>
            <w:tcBorders>
              <w:top w:val="nil"/>
            </w:tcBorders>
            <w:hideMark/>
          </w:tcPr>
          <w:p w14:paraId="037C28B8" w14:textId="306606A8"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3,721</w:t>
            </w:r>
          </w:p>
        </w:tc>
        <w:tc>
          <w:tcPr>
            <w:tcW w:w="834" w:type="dxa"/>
            <w:tcBorders>
              <w:top w:val="nil"/>
            </w:tcBorders>
            <w:noWrap/>
            <w:hideMark/>
          </w:tcPr>
          <w:p w14:paraId="4D32C148" w14:textId="66D8DE4C"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7,180</w:t>
            </w:r>
          </w:p>
        </w:tc>
        <w:tc>
          <w:tcPr>
            <w:tcW w:w="979" w:type="dxa"/>
            <w:tcBorders>
              <w:top w:val="nil"/>
            </w:tcBorders>
            <w:noWrap/>
            <w:hideMark/>
          </w:tcPr>
          <w:p w14:paraId="2F2DC7F7" w14:textId="0D87BD87"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3,459</w:t>
            </w:r>
          </w:p>
        </w:tc>
        <w:tc>
          <w:tcPr>
            <w:tcW w:w="781" w:type="dxa"/>
            <w:tcBorders>
              <w:top w:val="nil"/>
            </w:tcBorders>
            <w:noWrap/>
            <w:hideMark/>
          </w:tcPr>
          <w:p w14:paraId="0A5D1C49" w14:textId="308AD1E1"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2,818</w:t>
            </w:r>
          </w:p>
        </w:tc>
        <w:tc>
          <w:tcPr>
            <w:tcW w:w="709" w:type="dxa"/>
            <w:tcBorders>
              <w:top w:val="nil"/>
            </w:tcBorders>
            <w:noWrap/>
            <w:hideMark/>
          </w:tcPr>
          <w:p w14:paraId="3112CFEC" w14:textId="6CE1A54E"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2,593</w:t>
            </w:r>
          </w:p>
        </w:tc>
        <w:tc>
          <w:tcPr>
            <w:tcW w:w="992" w:type="dxa"/>
            <w:tcBorders>
              <w:top w:val="nil"/>
            </w:tcBorders>
            <w:noWrap/>
            <w:hideMark/>
          </w:tcPr>
          <w:p w14:paraId="39BF5B70" w14:textId="278F9CF8"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(225)</w:t>
            </w:r>
          </w:p>
        </w:tc>
        <w:tc>
          <w:tcPr>
            <w:tcW w:w="709" w:type="dxa"/>
            <w:tcBorders>
              <w:top w:val="nil"/>
            </w:tcBorders>
            <w:noWrap/>
            <w:hideMark/>
          </w:tcPr>
          <w:p w14:paraId="7D23B532" w14:textId="6111C8A2"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903</w:t>
            </w:r>
          </w:p>
        </w:tc>
        <w:tc>
          <w:tcPr>
            <w:tcW w:w="709" w:type="dxa"/>
            <w:tcBorders>
              <w:top w:val="nil"/>
            </w:tcBorders>
            <w:noWrap/>
            <w:hideMark/>
          </w:tcPr>
          <w:p w14:paraId="5DEB3360" w14:textId="0F1B0543"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4,587</w:t>
            </w:r>
          </w:p>
        </w:tc>
        <w:tc>
          <w:tcPr>
            <w:tcW w:w="1134" w:type="dxa"/>
            <w:tcBorders>
              <w:top w:val="nil"/>
            </w:tcBorders>
            <w:noWrap/>
            <w:hideMark/>
          </w:tcPr>
          <w:p w14:paraId="231EDF97" w14:textId="5DA6C21D"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3,684</w:t>
            </w:r>
          </w:p>
        </w:tc>
      </w:tr>
      <w:tr w:rsidR="00A66409" w:rsidRPr="00923467" w14:paraId="051C4E3F" w14:textId="77777777" w:rsidTr="00A6640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142" w:type="dxa"/>
            <w:hideMark/>
          </w:tcPr>
          <w:p w14:paraId="765531E2" w14:textId="3453183C" w:rsidR="00CA3476" w:rsidRPr="00A66409" w:rsidRDefault="00CA3476" w:rsidP="00923467">
            <w:pPr>
              <w:rPr>
                <w:b w:val="0"/>
                <w:bCs w:val="0"/>
                <w:sz w:val="18"/>
                <w:szCs w:val="18"/>
              </w:rPr>
            </w:pPr>
            <w:r w:rsidRPr="00A66409">
              <w:rPr>
                <w:sz w:val="18"/>
                <w:szCs w:val="18"/>
              </w:rPr>
              <w:t>February</w:t>
            </w:r>
          </w:p>
        </w:tc>
        <w:tc>
          <w:tcPr>
            <w:tcW w:w="795" w:type="dxa"/>
            <w:hideMark/>
          </w:tcPr>
          <w:p w14:paraId="3D6791AE" w14:textId="30101C7E"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4,079</w:t>
            </w:r>
          </w:p>
        </w:tc>
        <w:tc>
          <w:tcPr>
            <w:tcW w:w="834" w:type="dxa"/>
            <w:noWrap/>
            <w:hideMark/>
          </w:tcPr>
          <w:p w14:paraId="494C8D50" w14:textId="2C0DB9C4"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3,461</w:t>
            </w:r>
          </w:p>
        </w:tc>
        <w:tc>
          <w:tcPr>
            <w:tcW w:w="979" w:type="dxa"/>
            <w:noWrap/>
            <w:hideMark/>
          </w:tcPr>
          <w:p w14:paraId="18D60C62" w14:textId="259C69D9"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(618)</w:t>
            </w:r>
          </w:p>
        </w:tc>
        <w:tc>
          <w:tcPr>
            <w:tcW w:w="781" w:type="dxa"/>
            <w:noWrap/>
            <w:hideMark/>
          </w:tcPr>
          <w:p w14:paraId="66A5C8AB" w14:textId="0CB2E8A3"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2,793</w:t>
            </w:r>
          </w:p>
        </w:tc>
        <w:tc>
          <w:tcPr>
            <w:tcW w:w="709" w:type="dxa"/>
            <w:noWrap/>
            <w:hideMark/>
          </w:tcPr>
          <w:p w14:paraId="01102363" w14:textId="210455E3"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2,370</w:t>
            </w:r>
          </w:p>
        </w:tc>
        <w:tc>
          <w:tcPr>
            <w:tcW w:w="992" w:type="dxa"/>
            <w:noWrap/>
            <w:hideMark/>
          </w:tcPr>
          <w:p w14:paraId="632A4994" w14:textId="3E5FB052"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(423)</w:t>
            </w:r>
          </w:p>
        </w:tc>
        <w:tc>
          <w:tcPr>
            <w:tcW w:w="709" w:type="dxa"/>
            <w:noWrap/>
            <w:hideMark/>
          </w:tcPr>
          <w:p w14:paraId="6855B0F2" w14:textId="196D9CFC"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1,286</w:t>
            </w:r>
          </w:p>
        </w:tc>
        <w:tc>
          <w:tcPr>
            <w:tcW w:w="709" w:type="dxa"/>
            <w:noWrap/>
            <w:hideMark/>
          </w:tcPr>
          <w:p w14:paraId="3A7214B9" w14:textId="45927D73"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1,091</w:t>
            </w:r>
          </w:p>
        </w:tc>
        <w:tc>
          <w:tcPr>
            <w:tcW w:w="1134" w:type="dxa"/>
            <w:noWrap/>
            <w:hideMark/>
          </w:tcPr>
          <w:p w14:paraId="4591CAC2" w14:textId="1FE37CD2"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(195)</w:t>
            </w:r>
          </w:p>
        </w:tc>
      </w:tr>
      <w:tr w:rsidR="00A66409" w:rsidRPr="00923467" w14:paraId="724396C2" w14:textId="77777777" w:rsidTr="00A66409">
        <w:trPr>
          <w:trHeight w:val="290"/>
        </w:trPr>
        <w:tc>
          <w:tcPr>
            <w:cnfStyle w:val="001000000000" w:firstRow="0" w:lastRow="0" w:firstColumn="1" w:lastColumn="0" w:oddVBand="0" w:evenVBand="0" w:oddHBand="0" w:evenHBand="0" w:firstRowFirstColumn="0" w:firstRowLastColumn="0" w:lastRowFirstColumn="0" w:lastRowLastColumn="0"/>
            <w:tcW w:w="1142" w:type="dxa"/>
            <w:hideMark/>
          </w:tcPr>
          <w:p w14:paraId="29F26B3B" w14:textId="0B35AF8E" w:rsidR="00CA3476" w:rsidRPr="00A66409" w:rsidRDefault="00CA3476" w:rsidP="00923467">
            <w:pPr>
              <w:rPr>
                <w:b w:val="0"/>
                <w:bCs w:val="0"/>
                <w:sz w:val="18"/>
                <w:szCs w:val="18"/>
              </w:rPr>
            </w:pPr>
            <w:r w:rsidRPr="00A66409">
              <w:rPr>
                <w:sz w:val="18"/>
                <w:szCs w:val="18"/>
              </w:rPr>
              <w:t>March</w:t>
            </w:r>
          </w:p>
        </w:tc>
        <w:tc>
          <w:tcPr>
            <w:tcW w:w="795" w:type="dxa"/>
            <w:hideMark/>
          </w:tcPr>
          <w:p w14:paraId="54086D94" w14:textId="04AEEEB5"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3,809</w:t>
            </w:r>
          </w:p>
        </w:tc>
        <w:tc>
          <w:tcPr>
            <w:tcW w:w="834" w:type="dxa"/>
            <w:noWrap/>
            <w:hideMark/>
          </w:tcPr>
          <w:p w14:paraId="6260BAFA" w14:textId="495B122C"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3,980</w:t>
            </w:r>
          </w:p>
        </w:tc>
        <w:tc>
          <w:tcPr>
            <w:tcW w:w="979" w:type="dxa"/>
            <w:noWrap/>
            <w:hideMark/>
          </w:tcPr>
          <w:p w14:paraId="33F1FE75" w14:textId="15916D8E"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171</w:t>
            </w:r>
          </w:p>
        </w:tc>
        <w:tc>
          <w:tcPr>
            <w:tcW w:w="781" w:type="dxa"/>
            <w:noWrap/>
            <w:hideMark/>
          </w:tcPr>
          <w:p w14:paraId="65BBAF16" w14:textId="2031886B"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2,726</w:t>
            </w:r>
          </w:p>
        </w:tc>
        <w:tc>
          <w:tcPr>
            <w:tcW w:w="709" w:type="dxa"/>
            <w:noWrap/>
            <w:hideMark/>
          </w:tcPr>
          <w:p w14:paraId="6C38BE00" w14:textId="0CF14BA4"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2,626</w:t>
            </w:r>
          </w:p>
        </w:tc>
        <w:tc>
          <w:tcPr>
            <w:tcW w:w="992" w:type="dxa"/>
            <w:noWrap/>
            <w:hideMark/>
          </w:tcPr>
          <w:p w14:paraId="57DDEC20" w14:textId="1FEF7EDD"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(100)</w:t>
            </w:r>
          </w:p>
        </w:tc>
        <w:tc>
          <w:tcPr>
            <w:tcW w:w="709" w:type="dxa"/>
            <w:noWrap/>
            <w:hideMark/>
          </w:tcPr>
          <w:p w14:paraId="77B877A4" w14:textId="2EE76E5D"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1,083</w:t>
            </w:r>
          </w:p>
        </w:tc>
        <w:tc>
          <w:tcPr>
            <w:tcW w:w="709" w:type="dxa"/>
            <w:noWrap/>
            <w:hideMark/>
          </w:tcPr>
          <w:p w14:paraId="7AD2BD9E" w14:textId="2E3F9EB5"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1,354</w:t>
            </w:r>
          </w:p>
        </w:tc>
        <w:tc>
          <w:tcPr>
            <w:tcW w:w="1134" w:type="dxa"/>
            <w:noWrap/>
            <w:hideMark/>
          </w:tcPr>
          <w:p w14:paraId="01C15E19" w14:textId="0CA350A9"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271</w:t>
            </w:r>
          </w:p>
        </w:tc>
      </w:tr>
      <w:tr w:rsidR="00A66409" w:rsidRPr="00923467" w14:paraId="62914D03" w14:textId="77777777" w:rsidTr="00A6640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2" w:type="dxa"/>
            <w:hideMark/>
          </w:tcPr>
          <w:p w14:paraId="25FB7ABB" w14:textId="4A1E06D7" w:rsidR="00CA3476" w:rsidRPr="00A66409" w:rsidRDefault="00CA3476" w:rsidP="00923467">
            <w:pPr>
              <w:rPr>
                <w:b w:val="0"/>
                <w:bCs w:val="0"/>
                <w:sz w:val="18"/>
                <w:szCs w:val="18"/>
              </w:rPr>
            </w:pPr>
            <w:r w:rsidRPr="00A66409">
              <w:rPr>
                <w:sz w:val="18"/>
                <w:szCs w:val="18"/>
              </w:rPr>
              <w:t>April</w:t>
            </w:r>
          </w:p>
        </w:tc>
        <w:tc>
          <w:tcPr>
            <w:tcW w:w="795" w:type="dxa"/>
            <w:hideMark/>
          </w:tcPr>
          <w:p w14:paraId="3BA011DB" w14:textId="019572E6"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4,022</w:t>
            </w:r>
          </w:p>
        </w:tc>
        <w:tc>
          <w:tcPr>
            <w:tcW w:w="834" w:type="dxa"/>
            <w:noWrap/>
            <w:hideMark/>
          </w:tcPr>
          <w:p w14:paraId="06D9C1B3" w14:textId="1E9A13FE"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3,437</w:t>
            </w:r>
          </w:p>
        </w:tc>
        <w:tc>
          <w:tcPr>
            <w:tcW w:w="979" w:type="dxa"/>
            <w:noWrap/>
            <w:hideMark/>
          </w:tcPr>
          <w:p w14:paraId="6AE899E9" w14:textId="17FDC4C1"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(585)</w:t>
            </w:r>
          </w:p>
        </w:tc>
        <w:tc>
          <w:tcPr>
            <w:tcW w:w="781" w:type="dxa"/>
            <w:noWrap/>
            <w:hideMark/>
          </w:tcPr>
          <w:p w14:paraId="78656E16" w14:textId="11C0E5B0"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3,033</w:t>
            </w:r>
          </w:p>
        </w:tc>
        <w:tc>
          <w:tcPr>
            <w:tcW w:w="709" w:type="dxa"/>
            <w:noWrap/>
            <w:hideMark/>
          </w:tcPr>
          <w:p w14:paraId="663D384D" w14:textId="7A23E27C"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2,039</w:t>
            </w:r>
          </w:p>
        </w:tc>
        <w:tc>
          <w:tcPr>
            <w:tcW w:w="992" w:type="dxa"/>
            <w:noWrap/>
            <w:hideMark/>
          </w:tcPr>
          <w:p w14:paraId="55A5DAFB" w14:textId="4DB4B94A"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(994)</w:t>
            </w:r>
          </w:p>
        </w:tc>
        <w:tc>
          <w:tcPr>
            <w:tcW w:w="709" w:type="dxa"/>
            <w:noWrap/>
            <w:hideMark/>
          </w:tcPr>
          <w:p w14:paraId="56CEB66F" w14:textId="77B2B357"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989</w:t>
            </w:r>
          </w:p>
        </w:tc>
        <w:tc>
          <w:tcPr>
            <w:tcW w:w="709" w:type="dxa"/>
            <w:noWrap/>
            <w:hideMark/>
          </w:tcPr>
          <w:p w14:paraId="5339A5B4" w14:textId="46D72DAC"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1,398</w:t>
            </w:r>
          </w:p>
        </w:tc>
        <w:tc>
          <w:tcPr>
            <w:tcW w:w="1134" w:type="dxa"/>
            <w:noWrap/>
            <w:hideMark/>
          </w:tcPr>
          <w:p w14:paraId="6596BB03" w14:textId="40A566FD"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409</w:t>
            </w:r>
          </w:p>
        </w:tc>
      </w:tr>
      <w:tr w:rsidR="00A66409" w:rsidRPr="00923467" w14:paraId="3F5A9909" w14:textId="77777777" w:rsidTr="00A66409">
        <w:trPr>
          <w:trHeight w:val="290"/>
        </w:trPr>
        <w:tc>
          <w:tcPr>
            <w:cnfStyle w:val="001000000000" w:firstRow="0" w:lastRow="0" w:firstColumn="1" w:lastColumn="0" w:oddVBand="0" w:evenVBand="0" w:oddHBand="0" w:evenHBand="0" w:firstRowFirstColumn="0" w:firstRowLastColumn="0" w:lastRowFirstColumn="0" w:lastRowLastColumn="0"/>
            <w:tcW w:w="1142" w:type="dxa"/>
            <w:hideMark/>
          </w:tcPr>
          <w:p w14:paraId="7B444DA5" w14:textId="001BC8E1" w:rsidR="00CA3476" w:rsidRPr="00A66409" w:rsidRDefault="00CA3476" w:rsidP="00923467">
            <w:pPr>
              <w:rPr>
                <w:b w:val="0"/>
                <w:bCs w:val="0"/>
                <w:sz w:val="18"/>
                <w:szCs w:val="18"/>
              </w:rPr>
            </w:pPr>
            <w:r w:rsidRPr="00A66409">
              <w:rPr>
                <w:sz w:val="18"/>
                <w:szCs w:val="18"/>
              </w:rPr>
              <w:t>May</w:t>
            </w:r>
          </w:p>
        </w:tc>
        <w:tc>
          <w:tcPr>
            <w:tcW w:w="795" w:type="dxa"/>
            <w:hideMark/>
          </w:tcPr>
          <w:p w14:paraId="06639FD1" w14:textId="2FEA0F8B"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3,906</w:t>
            </w:r>
          </w:p>
        </w:tc>
        <w:tc>
          <w:tcPr>
            <w:tcW w:w="834" w:type="dxa"/>
            <w:noWrap/>
            <w:hideMark/>
          </w:tcPr>
          <w:p w14:paraId="36F6C58E" w14:textId="0FE0B600"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4,051</w:t>
            </w:r>
          </w:p>
        </w:tc>
        <w:tc>
          <w:tcPr>
            <w:tcW w:w="979" w:type="dxa"/>
            <w:noWrap/>
            <w:hideMark/>
          </w:tcPr>
          <w:p w14:paraId="3405AE01" w14:textId="78DEA9B4"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145</w:t>
            </w:r>
          </w:p>
        </w:tc>
        <w:tc>
          <w:tcPr>
            <w:tcW w:w="781" w:type="dxa"/>
            <w:noWrap/>
            <w:hideMark/>
          </w:tcPr>
          <w:p w14:paraId="58F138E6" w14:textId="499E0EB9"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2,564</w:t>
            </w:r>
          </w:p>
        </w:tc>
        <w:tc>
          <w:tcPr>
            <w:tcW w:w="709" w:type="dxa"/>
            <w:noWrap/>
            <w:hideMark/>
          </w:tcPr>
          <w:p w14:paraId="3920B5E8" w14:textId="7145FDE9"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2,745</w:t>
            </w:r>
          </w:p>
        </w:tc>
        <w:tc>
          <w:tcPr>
            <w:tcW w:w="992" w:type="dxa"/>
            <w:noWrap/>
            <w:hideMark/>
          </w:tcPr>
          <w:p w14:paraId="36EF63C4" w14:textId="77F6D306"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181</w:t>
            </w:r>
          </w:p>
        </w:tc>
        <w:tc>
          <w:tcPr>
            <w:tcW w:w="709" w:type="dxa"/>
            <w:noWrap/>
            <w:hideMark/>
          </w:tcPr>
          <w:p w14:paraId="18D331EB" w14:textId="58854769"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1,342</w:t>
            </w:r>
          </w:p>
        </w:tc>
        <w:tc>
          <w:tcPr>
            <w:tcW w:w="709" w:type="dxa"/>
            <w:noWrap/>
            <w:hideMark/>
          </w:tcPr>
          <w:p w14:paraId="792EC46E" w14:textId="14FB701B"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1,306</w:t>
            </w:r>
          </w:p>
        </w:tc>
        <w:tc>
          <w:tcPr>
            <w:tcW w:w="1134" w:type="dxa"/>
            <w:noWrap/>
            <w:hideMark/>
          </w:tcPr>
          <w:p w14:paraId="1232BBC8" w14:textId="0D08755B"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(36)</w:t>
            </w:r>
          </w:p>
        </w:tc>
      </w:tr>
      <w:tr w:rsidR="00A66409" w:rsidRPr="00923467" w14:paraId="73E18088" w14:textId="77777777" w:rsidTr="00A6640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2" w:type="dxa"/>
            <w:hideMark/>
          </w:tcPr>
          <w:p w14:paraId="11ADBCA6" w14:textId="245B5356" w:rsidR="00CA3476" w:rsidRPr="00A66409" w:rsidRDefault="00CA3476" w:rsidP="00923467">
            <w:pPr>
              <w:rPr>
                <w:b w:val="0"/>
                <w:bCs w:val="0"/>
                <w:sz w:val="18"/>
                <w:szCs w:val="18"/>
              </w:rPr>
            </w:pPr>
            <w:r w:rsidRPr="00A66409">
              <w:rPr>
                <w:sz w:val="18"/>
                <w:szCs w:val="18"/>
              </w:rPr>
              <w:t>June</w:t>
            </w:r>
          </w:p>
        </w:tc>
        <w:tc>
          <w:tcPr>
            <w:tcW w:w="795" w:type="dxa"/>
            <w:hideMark/>
          </w:tcPr>
          <w:p w14:paraId="512ADFA1" w14:textId="2781AD30"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4,524</w:t>
            </w:r>
          </w:p>
        </w:tc>
        <w:tc>
          <w:tcPr>
            <w:tcW w:w="834" w:type="dxa"/>
            <w:noWrap/>
            <w:hideMark/>
          </w:tcPr>
          <w:p w14:paraId="74D20D95" w14:textId="3A8F02E3"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3,156</w:t>
            </w:r>
          </w:p>
        </w:tc>
        <w:tc>
          <w:tcPr>
            <w:tcW w:w="979" w:type="dxa"/>
            <w:noWrap/>
            <w:hideMark/>
          </w:tcPr>
          <w:p w14:paraId="39601520" w14:textId="1B6E8C2B"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(1,368)</w:t>
            </w:r>
          </w:p>
        </w:tc>
        <w:tc>
          <w:tcPr>
            <w:tcW w:w="781" w:type="dxa"/>
            <w:noWrap/>
            <w:hideMark/>
          </w:tcPr>
          <w:p w14:paraId="36173A2D" w14:textId="65BEB5D4"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3,481</w:t>
            </w:r>
          </w:p>
        </w:tc>
        <w:tc>
          <w:tcPr>
            <w:tcW w:w="709" w:type="dxa"/>
            <w:noWrap/>
            <w:hideMark/>
          </w:tcPr>
          <w:p w14:paraId="341FAA1D" w14:textId="53E09E78"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2,489</w:t>
            </w:r>
          </w:p>
        </w:tc>
        <w:tc>
          <w:tcPr>
            <w:tcW w:w="992" w:type="dxa"/>
            <w:noWrap/>
            <w:hideMark/>
          </w:tcPr>
          <w:p w14:paraId="3DCDE53D" w14:textId="6B2C5043"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(992)</w:t>
            </w:r>
          </w:p>
        </w:tc>
        <w:tc>
          <w:tcPr>
            <w:tcW w:w="709" w:type="dxa"/>
            <w:noWrap/>
            <w:hideMark/>
          </w:tcPr>
          <w:p w14:paraId="1EE032AC" w14:textId="66B827A1"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1,043</w:t>
            </w:r>
          </w:p>
        </w:tc>
        <w:tc>
          <w:tcPr>
            <w:tcW w:w="709" w:type="dxa"/>
            <w:noWrap/>
            <w:hideMark/>
          </w:tcPr>
          <w:p w14:paraId="1A04BE56" w14:textId="2B645DE7"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667</w:t>
            </w:r>
          </w:p>
        </w:tc>
        <w:tc>
          <w:tcPr>
            <w:tcW w:w="1134" w:type="dxa"/>
            <w:noWrap/>
            <w:hideMark/>
          </w:tcPr>
          <w:p w14:paraId="4306B884" w14:textId="447326C2"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(376)</w:t>
            </w:r>
          </w:p>
        </w:tc>
      </w:tr>
      <w:tr w:rsidR="00A66409" w:rsidRPr="00923467" w14:paraId="16722479" w14:textId="77777777" w:rsidTr="00A66409">
        <w:trPr>
          <w:trHeight w:val="290"/>
        </w:trPr>
        <w:tc>
          <w:tcPr>
            <w:cnfStyle w:val="001000000000" w:firstRow="0" w:lastRow="0" w:firstColumn="1" w:lastColumn="0" w:oddVBand="0" w:evenVBand="0" w:oddHBand="0" w:evenHBand="0" w:firstRowFirstColumn="0" w:firstRowLastColumn="0" w:lastRowFirstColumn="0" w:lastRowLastColumn="0"/>
            <w:tcW w:w="1142" w:type="dxa"/>
            <w:hideMark/>
          </w:tcPr>
          <w:p w14:paraId="2D0CE6C8" w14:textId="4C6E1722" w:rsidR="00CA3476" w:rsidRPr="00A66409" w:rsidRDefault="00CA3476" w:rsidP="00923467">
            <w:pPr>
              <w:rPr>
                <w:b w:val="0"/>
                <w:bCs w:val="0"/>
                <w:sz w:val="18"/>
                <w:szCs w:val="18"/>
              </w:rPr>
            </w:pPr>
            <w:r w:rsidRPr="00A66409">
              <w:rPr>
                <w:sz w:val="18"/>
                <w:szCs w:val="18"/>
              </w:rPr>
              <w:t>July</w:t>
            </w:r>
          </w:p>
        </w:tc>
        <w:tc>
          <w:tcPr>
            <w:tcW w:w="795" w:type="dxa"/>
            <w:hideMark/>
          </w:tcPr>
          <w:p w14:paraId="62FE466B" w14:textId="0EB64E0B"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3,962</w:t>
            </w:r>
          </w:p>
        </w:tc>
        <w:tc>
          <w:tcPr>
            <w:tcW w:w="834" w:type="dxa"/>
            <w:noWrap/>
            <w:hideMark/>
          </w:tcPr>
          <w:p w14:paraId="4FE066D0" w14:textId="675B8598"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3,015</w:t>
            </w:r>
          </w:p>
        </w:tc>
        <w:tc>
          <w:tcPr>
            <w:tcW w:w="979" w:type="dxa"/>
            <w:noWrap/>
            <w:hideMark/>
          </w:tcPr>
          <w:p w14:paraId="6ED521A3" w14:textId="3D20F702"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(947)</w:t>
            </w:r>
          </w:p>
        </w:tc>
        <w:tc>
          <w:tcPr>
            <w:tcW w:w="781" w:type="dxa"/>
            <w:noWrap/>
            <w:hideMark/>
          </w:tcPr>
          <w:p w14:paraId="01784F86" w14:textId="7D3272BA"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2,683</w:t>
            </w:r>
          </w:p>
        </w:tc>
        <w:tc>
          <w:tcPr>
            <w:tcW w:w="709" w:type="dxa"/>
            <w:noWrap/>
            <w:hideMark/>
          </w:tcPr>
          <w:p w14:paraId="7F8F6AF8" w14:textId="24F9AAA0"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2,407</w:t>
            </w:r>
          </w:p>
        </w:tc>
        <w:tc>
          <w:tcPr>
            <w:tcW w:w="992" w:type="dxa"/>
            <w:noWrap/>
            <w:hideMark/>
          </w:tcPr>
          <w:p w14:paraId="3C079B24" w14:textId="191376DF"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(276)</w:t>
            </w:r>
          </w:p>
        </w:tc>
        <w:tc>
          <w:tcPr>
            <w:tcW w:w="709" w:type="dxa"/>
            <w:noWrap/>
            <w:hideMark/>
          </w:tcPr>
          <w:p w14:paraId="0AD77A70" w14:textId="6E0FFE2E"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1,279</w:t>
            </w:r>
          </w:p>
        </w:tc>
        <w:tc>
          <w:tcPr>
            <w:tcW w:w="709" w:type="dxa"/>
            <w:noWrap/>
            <w:hideMark/>
          </w:tcPr>
          <w:p w14:paraId="0780E3AC" w14:textId="1E4AFC4B"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608</w:t>
            </w:r>
          </w:p>
        </w:tc>
        <w:tc>
          <w:tcPr>
            <w:tcW w:w="1134" w:type="dxa"/>
            <w:noWrap/>
            <w:hideMark/>
          </w:tcPr>
          <w:p w14:paraId="76AAEDCF" w14:textId="3DBD9872"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(671)</w:t>
            </w:r>
          </w:p>
        </w:tc>
      </w:tr>
      <w:tr w:rsidR="00A66409" w:rsidRPr="00923467" w14:paraId="240D67F0" w14:textId="77777777" w:rsidTr="00A6640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2" w:type="dxa"/>
            <w:hideMark/>
          </w:tcPr>
          <w:p w14:paraId="33EDFC9E" w14:textId="417C1AAC" w:rsidR="00CA3476" w:rsidRPr="00A66409" w:rsidRDefault="00CA3476" w:rsidP="00923467">
            <w:pPr>
              <w:rPr>
                <w:b w:val="0"/>
                <w:bCs w:val="0"/>
                <w:sz w:val="18"/>
                <w:szCs w:val="18"/>
              </w:rPr>
            </w:pPr>
            <w:r w:rsidRPr="00A66409">
              <w:rPr>
                <w:sz w:val="18"/>
                <w:szCs w:val="18"/>
              </w:rPr>
              <w:t>August</w:t>
            </w:r>
          </w:p>
        </w:tc>
        <w:tc>
          <w:tcPr>
            <w:tcW w:w="795" w:type="dxa"/>
            <w:hideMark/>
          </w:tcPr>
          <w:p w14:paraId="4C00F7E3" w14:textId="254CD743"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4,244</w:t>
            </w:r>
          </w:p>
        </w:tc>
        <w:tc>
          <w:tcPr>
            <w:tcW w:w="834" w:type="dxa"/>
            <w:noWrap/>
            <w:hideMark/>
          </w:tcPr>
          <w:p w14:paraId="5C32AC09" w14:textId="44C53F76"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3,476</w:t>
            </w:r>
          </w:p>
        </w:tc>
        <w:tc>
          <w:tcPr>
            <w:tcW w:w="979" w:type="dxa"/>
            <w:noWrap/>
            <w:hideMark/>
          </w:tcPr>
          <w:p w14:paraId="1EFEB6AE" w14:textId="5E206D21"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(768)</w:t>
            </w:r>
          </w:p>
        </w:tc>
        <w:tc>
          <w:tcPr>
            <w:tcW w:w="781" w:type="dxa"/>
            <w:noWrap/>
            <w:hideMark/>
          </w:tcPr>
          <w:p w14:paraId="2CB2E9C9" w14:textId="41129AE9"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2,715</w:t>
            </w:r>
          </w:p>
        </w:tc>
        <w:tc>
          <w:tcPr>
            <w:tcW w:w="709" w:type="dxa"/>
            <w:noWrap/>
            <w:hideMark/>
          </w:tcPr>
          <w:p w14:paraId="66BF7CD0" w14:textId="4B320C7A"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2,746</w:t>
            </w:r>
          </w:p>
        </w:tc>
        <w:tc>
          <w:tcPr>
            <w:tcW w:w="992" w:type="dxa"/>
            <w:noWrap/>
            <w:hideMark/>
          </w:tcPr>
          <w:p w14:paraId="5B242BA0" w14:textId="0813F6DD"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31</w:t>
            </w:r>
          </w:p>
        </w:tc>
        <w:tc>
          <w:tcPr>
            <w:tcW w:w="709" w:type="dxa"/>
            <w:noWrap/>
            <w:hideMark/>
          </w:tcPr>
          <w:p w14:paraId="15AA80D4" w14:textId="659243D9"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1,529</w:t>
            </w:r>
          </w:p>
        </w:tc>
        <w:tc>
          <w:tcPr>
            <w:tcW w:w="709" w:type="dxa"/>
            <w:noWrap/>
            <w:hideMark/>
          </w:tcPr>
          <w:p w14:paraId="491D077A" w14:textId="705633EF"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730</w:t>
            </w:r>
          </w:p>
        </w:tc>
        <w:tc>
          <w:tcPr>
            <w:tcW w:w="1134" w:type="dxa"/>
            <w:noWrap/>
            <w:hideMark/>
          </w:tcPr>
          <w:p w14:paraId="79B4B194" w14:textId="36135508"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(799)</w:t>
            </w:r>
          </w:p>
        </w:tc>
      </w:tr>
      <w:tr w:rsidR="00A66409" w:rsidRPr="00923467" w14:paraId="31ABAB9E" w14:textId="77777777" w:rsidTr="00A66409">
        <w:trPr>
          <w:trHeight w:val="290"/>
        </w:trPr>
        <w:tc>
          <w:tcPr>
            <w:cnfStyle w:val="001000000000" w:firstRow="0" w:lastRow="0" w:firstColumn="1" w:lastColumn="0" w:oddVBand="0" w:evenVBand="0" w:oddHBand="0" w:evenHBand="0" w:firstRowFirstColumn="0" w:firstRowLastColumn="0" w:lastRowFirstColumn="0" w:lastRowLastColumn="0"/>
            <w:tcW w:w="1142" w:type="dxa"/>
            <w:hideMark/>
          </w:tcPr>
          <w:p w14:paraId="31592EB1" w14:textId="283D299E" w:rsidR="00CA3476" w:rsidRPr="00A66409" w:rsidRDefault="00CA3476" w:rsidP="00923467">
            <w:pPr>
              <w:rPr>
                <w:b w:val="0"/>
                <w:bCs w:val="0"/>
                <w:sz w:val="18"/>
                <w:szCs w:val="18"/>
              </w:rPr>
            </w:pPr>
            <w:r w:rsidRPr="00A66409">
              <w:rPr>
                <w:sz w:val="18"/>
                <w:szCs w:val="18"/>
              </w:rPr>
              <w:t>September</w:t>
            </w:r>
          </w:p>
        </w:tc>
        <w:tc>
          <w:tcPr>
            <w:tcW w:w="795" w:type="dxa"/>
            <w:hideMark/>
          </w:tcPr>
          <w:p w14:paraId="4561013C" w14:textId="3514A6DB"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4,106</w:t>
            </w:r>
          </w:p>
        </w:tc>
        <w:tc>
          <w:tcPr>
            <w:tcW w:w="834" w:type="dxa"/>
            <w:noWrap/>
            <w:hideMark/>
          </w:tcPr>
          <w:p w14:paraId="357938D5" w14:textId="08078DA9"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3,944</w:t>
            </w:r>
          </w:p>
        </w:tc>
        <w:tc>
          <w:tcPr>
            <w:tcW w:w="979" w:type="dxa"/>
            <w:noWrap/>
            <w:hideMark/>
          </w:tcPr>
          <w:p w14:paraId="06861BA6" w14:textId="24D24A5D"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(162)</w:t>
            </w:r>
          </w:p>
        </w:tc>
        <w:tc>
          <w:tcPr>
            <w:tcW w:w="781" w:type="dxa"/>
            <w:noWrap/>
            <w:hideMark/>
          </w:tcPr>
          <w:p w14:paraId="61DF61BB" w14:textId="48F33EA8"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3,061</w:t>
            </w:r>
          </w:p>
        </w:tc>
        <w:tc>
          <w:tcPr>
            <w:tcW w:w="709" w:type="dxa"/>
            <w:noWrap/>
            <w:hideMark/>
          </w:tcPr>
          <w:p w14:paraId="51B52623" w14:textId="3B02F46B"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3,276</w:t>
            </w:r>
          </w:p>
        </w:tc>
        <w:tc>
          <w:tcPr>
            <w:tcW w:w="992" w:type="dxa"/>
            <w:noWrap/>
            <w:hideMark/>
          </w:tcPr>
          <w:p w14:paraId="2D84F970" w14:textId="4A748AA6"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215</w:t>
            </w:r>
          </w:p>
        </w:tc>
        <w:tc>
          <w:tcPr>
            <w:tcW w:w="709" w:type="dxa"/>
            <w:noWrap/>
            <w:hideMark/>
          </w:tcPr>
          <w:p w14:paraId="616206AA" w14:textId="0480A33E"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1,045</w:t>
            </w:r>
          </w:p>
        </w:tc>
        <w:tc>
          <w:tcPr>
            <w:tcW w:w="709" w:type="dxa"/>
            <w:noWrap/>
            <w:hideMark/>
          </w:tcPr>
          <w:p w14:paraId="08A6A4D1" w14:textId="5249275D"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668</w:t>
            </w:r>
          </w:p>
        </w:tc>
        <w:tc>
          <w:tcPr>
            <w:tcW w:w="1134" w:type="dxa"/>
            <w:noWrap/>
            <w:hideMark/>
          </w:tcPr>
          <w:p w14:paraId="7C0D9F78" w14:textId="5B77FB5E"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(377)</w:t>
            </w:r>
          </w:p>
        </w:tc>
      </w:tr>
      <w:tr w:rsidR="00A66409" w:rsidRPr="00923467" w14:paraId="6F5022D2" w14:textId="77777777" w:rsidTr="00A6640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2" w:type="dxa"/>
            <w:hideMark/>
          </w:tcPr>
          <w:p w14:paraId="21E38AF7" w14:textId="1EBEF8A9" w:rsidR="00CA3476" w:rsidRPr="00A66409" w:rsidRDefault="00CA3476" w:rsidP="00923467">
            <w:pPr>
              <w:rPr>
                <w:b w:val="0"/>
                <w:bCs w:val="0"/>
                <w:sz w:val="18"/>
                <w:szCs w:val="18"/>
              </w:rPr>
            </w:pPr>
            <w:r w:rsidRPr="00A66409">
              <w:rPr>
                <w:sz w:val="18"/>
                <w:szCs w:val="18"/>
              </w:rPr>
              <w:t>October</w:t>
            </w:r>
          </w:p>
        </w:tc>
        <w:tc>
          <w:tcPr>
            <w:tcW w:w="795" w:type="dxa"/>
            <w:hideMark/>
          </w:tcPr>
          <w:p w14:paraId="3156F2E8" w14:textId="493B1C88"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3,874</w:t>
            </w:r>
          </w:p>
        </w:tc>
        <w:tc>
          <w:tcPr>
            <w:tcW w:w="834" w:type="dxa"/>
            <w:noWrap/>
            <w:hideMark/>
          </w:tcPr>
          <w:p w14:paraId="6FB18B90" w14:textId="6DB779C5"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3,397</w:t>
            </w:r>
          </w:p>
        </w:tc>
        <w:tc>
          <w:tcPr>
            <w:tcW w:w="979" w:type="dxa"/>
            <w:noWrap/>
            <w:hideMark/>
          </w:tcPr>
          <w:p w14:paraId="094418FD" w14:textId="32C769B0"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(477)</w:t>
            </w:r>
          </w:p>
        </w:tc>
        <w:tc>
          <w:tcPr>
            <w:tcW w:w="781" w:type="dxa"/>
            <w:noWrap/>
            <w:hideMark/>
          </w:tcPr>
          <w:p w14:paraId="147F5730" w14:textId="355EF35A"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2,490</w:t>
            </w:r>
          </w:p>
        </w:tc>
        <w:tc>
          <w:tcPr>
            <w:tcW w:w="709" w:type="dxa"/>
            <w:noWrap/>
            <w:hideMark/>
          </w:tcPr>
          <w:p w14:paraId="74408588" w14:textId="26C14C9A"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2,690</w:t>
            </w:r>
          </w:p>
        </w:tc>
        <w:tc>
          <w:tcPr>
            <w:tcW w:w="992" w:type="dxa"/>
            <w:noWrap/>
            <w:hideMark/>
          </w:tcPr>
          <w:p w14:paraId="6A4F9BFA" w14:textId="2352352D"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200</w:t>
            </w:r>
          </w:p>
        </w:tc>
        <w:tc>
          <w:tcPr>
            <w:tcW w:w="709" w:type="dxa"/>
            <w:noWrap/>
            <w:hideMark/>
          </w:tcPr>
          <w:p w14:paraId="0B1FC37B" w14:textId="4EE53556"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1,384</w:t>
            </w:r>
          </w:p>
        </w:tc>
        <w:tc>
          <w:tcPr>
            <w:tcW w:w="709" w:type="dxa"/>
            <w:noWrap/>
            <w:hideMark/>
          </w:tcPr>
          <w:p w14:paraId="5C9AEA3F" w14:textId="7C162BB6"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707</w:t>
            </w:r>
          </w:p>
        </w:tc>
        <w:tc>
          <w:tcPr>
            <w:tcW w:w="1134" w:type="dxa"/>
            <w:noWrap/>
            <w:hideMark/>
          </w:tcPr>
          <w:p w14:paraId="3E19654D" w14:textId="7997CD7D"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(677)</w:t>
            </w:r>
          </w:p>
        </w:tc>
      </w:tr>
      <w:tr w:rsidR="00A66409" w:rsidRPr="00923467" w14:paraId="6D49A5A6" w14:textId="77777777" w:rsidTr="00A66409">
        <w:trPr>
          <w:trHeight w:val="290"/>
        </w:trPr>
        <w:tc>
          <w:tcPr>
            <w:cnfStyle w:val="001000000000" w:firstRow="0" w:lastRow="0" w:firstColumn="1" w:lastColumn="0" w:oddVBand="0" w:evenVBand="0" w:oddHBand="0" w:evenHBand="0" w:firstRowFirstColumn="0" w:firstRowLastColumn="0" w:lastRowFirstColumn="0" w:lastRowLastColumn="0"/>
            <w:tcW w:w="1142" w:type="dxa"/>
            <w:hideMark/>
          </w:tcPr>
          <w:p w14:paraId="7054C90C" w14:textId="291E7AF9" w:rsidR="00CA3476" w:rsidRPr="00A66409" w:rsidRDefault="00CA3476" w:rsidP="00923467">
            <w:pPr>
              <w:rPr>
                <w:b w:val="0"/>
                <w:bCs w:val="0"/>
                <w:sz w:val="18"/>
                <w:szCs w:val="18"/>
              </w:rPr>
            </w:pPr>
            <w:r w:rsidRPr="00A66409">
              <w:rPr>
                <w:sz w:val="18"/>
                <w:szCs w:val="18"/>
              </w:rPr>
              <w:t>November</w:t>
            </w:r>
          </w:p>
        </w:tc>
        <w:tc>
          <w:tcPr>
            <w:tcW w:w="795" w:type="dxa"/>
            <w:hideMark/>
          </w:tcPr>
          <w:p w14:paraId="7FB1CDD0" w14:textId="3BA1B766"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4,520</w:t>
            </w:r>
          </w:p>
        </w:tc>
        <w:tc>
          <w:tcPr>
            <w:tcW w:w="834" w:type="dxa"/>
            <w:noWrap/>
            <w:hideMark/>
          </w:tcPr>
          <w:p w14:paraId="63319986" w14:textId="5CD57669"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4,111</w:t>
            </w:r>
          </w:p>
        </w:tc>
        <w:tc>
          <w:tcPr>
            <w:tcW w:w="979" w:type="dxa"/>
            <w:noWrap/>
            <w:hideMark/>
          </w:tcPr>
          <w:p w14:paraId="00DB985A" w14:textId="042C80A7"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(409)</w:t>
            </w:r>
          </w:p>
        </w:tc>
        <w:tc>
          <w:tcPr>
            <w:tcW w:w="781" w:type="dxa"/>
            <w:noWrap/>
            <w:hideMark/>
          </w:tcPr>
          <w:p w14:paraId="0370730A" w14:textId="2FDC9142"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3,017</w:t>
            </w:r>
          </w:p>
        </w:tc>
        <w:tc>
          <w:tcPr>
            <w:tcW w:w="709" w:type="dxa"/>
            <w:noWrap/>
            <w:hideMark/>
          </w:tcPr>
          <w:p w14:paraId="0BF9FEE9" w14:textId="68F790CA"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3,275</w:t>
            </w:r>
          </w:p>
        </w:tc>
        <w:tc>
          <w:tcPr>
            <w:tcW w:w="992" w:type="dxa"/>
            <w:noWrap/>
            <w:hideMark/>
          </w:tcPr>
          <w:p w14:paraId="10B4D911" w14:textId="0505F5F6"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258</w:t>
            </w:r>
          </w:p>
        </w:tc>
        <w:tc>
          <w:tcPr>
            <w:tcW w:w="709" w:type="dxa"/>
            <w:noWrap/>
            <w:hideMark/>
          </w:tcPr>
          <w:p w14:paraId="04F82007" w14:textId="7BD1C97B"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1,503</w:t>
            </w:r>
          </w:p>
        </w:tc>
        <w:tc>
          <w:tcPr>
            <w:tcW w:w="709" w:type="dxa"/>
            <w:noWrap/>
            <w:hideMark/>
          </w:tcPr>
          <w:p w14:paraId="3DF150B7" w14:textId="2E1573B7"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836</w:t>
            </w:r>
          </w:p>
        </w:tc>
        <w:tc>
          <w:tcPr>
            <w:tcW w:w="1134" w:type="dxa"/>
            <w:noWrap/>
            <w:hideMark/>
          </w:tcPr>
          <w:p w14:paraId="6DB253E7" w14:textId="08050801" w:rsidR="00CA3476" w:rsidRPr="00A66409" w:rsidRDefault="00CA347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66409">
              <w:rPr>
                <w:sz w:val="18"/>
                <w:szCs w:val="18"/>
              </w:rPr>
              <w:t>(667)</w:t>
            </w:r>
          </w:p>
        </w:tc>
      </w:tr>
      <w:tr w:rsidR="00A66409" w:rsidRPr="00923467" w14:paraId="018E6A10" w14:textId="77777777" w:rsidTr="00A6640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2" w:type="dxa"/>
            <w:hideMark/>
          </w:tcPr>
          <w:p w14:paraId="3D64BE53" w14:textId="51482E05" w:rsidR="00CA3476" w:rsidRPr="00A66409" w:rsidRDefault="00CA3476" w:rsidP="00923467">
            <w:pPr>
              <w:rPr>
                <w:b w:val="0"/>
                <w:bCs w:val="0"/>
                <w:sz w:val="18"/>
                <w:szCs w:val="18"/>
              </w:rPr>
            </w:pPr>
            <w:r w:rsidRPr="00A66409">
              <w:rPr>
                <w:sz w:val="18"/>
                <w:szCs w:val="18"/>
              </w:rPr>
              <w:t>December</w:t>
            </w:r>
          </w:p>
        </w:tc>
        <w:tc>
          <w:tcPr>
            <w:tcW w:w="795" w:type="dxa"/>
            <w:hideMark/>
          </w:tcPr>
          <w:p w14:paraId="5CE65B14" w14:textId="61747171"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4,221</w:t>
            </w:r>
          </w:p>
        </w:tc>
        <w:tc>
          <w:tcPr>
            <w:tcW w:w="834" w:type="dxa"/>
            <w:noWrap/>
            <w:hideMark/>
          </w:tcPr>
          <w:p w14:paraId="0C4101CF" w14:textId="2FFCAA4A"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3,600</w:t>
            </w:r>
          </w:p>
        </w:tc>
        <w:tc>
          <w:tcPr>
            <w:tcW w:w="979" w:type="dxa"/>
            <w:noWrap/>
            <w:hideMark/>
          </w:tcPr>
          <w:p w14:paraId="34EF191F" w14:textId="0B1D9D98"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(621)</w:t>
            </w:r>
          </w:p>
        </w:tc>
        <w:tc>
          <w:tcPr>
            <w:tcW w:w="781" w:type="dxa"/>
            <w:noWrap/>
            <w:hideMark/>
          </w:tcPr>
          <w:p w14:paraId="53A39992" w14:textId="788ECFF5"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2,951</w:t>
            </w:r>
          </w:p>
        </w:tc>
        <w:tc>
          <w:tcPr>
            <w:tcW w:w="709" w:type="dxa"/>
            <w:noWrap/>
            <w:hideMark/>
          </w:tcPr>
          <w:p w14:paraId="464751AD" w14:textId="64EE68D3"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2,957</w:t>
            </w:r>
          </w:p>
        </w:tc>
        <w:tc>
          <w:tcPr>
            <w:tcW w:w="992" w:type="dxa"/>
            <w:noWrap/>
            <w:hideMark/>
          </w:tcPr>
          <w:p w14:paraId="3915394F" w14:textId="70BDF489"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6</w:t>
            </w:r>
          </w:p>
        </w:tc>
        <w:tc>
          <w:tcPr>
            <w:tcW w:w="709" w:type="dxa"/>
            <w:noWrap/>
            <w:hideMark/>
          </w:tcPr>
          <w:p w14:paraId="7E444EE8" w14:textId="3AC1CE86"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1,270</w:t>
            </w:r>
          </w:p>
        </w:tc>
        <w:tc>
          <w:tcPr>
            <w:tcW w:w="709" w:type="dxa"/>
            <w:noWrap/>
            <w:hideMark/>
          </w:tcPr>
          <w:p w14:paraId="1D9417DD" w14:textId="40E8A84B"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643</w:t>
            </w:r>
          </w:p>
        </w:tc>
        <w:tc>
          <w:tcPr>
            <w:tcW w:w="1134" w:type="dxa"/>
            <w:noWrap/>
            <w:hideMark/>
          </w:tcPr>
          <w:p w14:paraId="55643D3E" w14:textId="388D1977" w:rsidR="00CA3476" w:rsidRPr="00A66409" w:rsidRDefault="00CA3476" w:rsidP="00923467">
            <w:pPr>
              <w:cnfStyle w:val="000000100000" w:firstRow="0" w:lastRow="0" w:firstColumn="0" w:lastColumn="0" w:oddVBand="0" w:evenVBand="0" w:oddHBand="1" w:evenHBand="0" w:firstRowFirstColumn="0" w:firstRowLastColumn="0" w:lastRowFirstColumn="0" w:lastRowLastColumn="0"/>
              <w:rPr>
                <w:sz w:val="18"/>
                <w:szCs w:val="18"/>
              </w:rPr>
            </w:pPr>
            <w:r w:rsidRPr="00A66409">
              <w:rPr>
                <w:sz w:val="18"/>
                <w:szCs w:val="18"/>
              </w:rPr>
              <w:t>(627)</w:t>
            </w:r>
          </w:p>
        </w:tc>
      </w:tr>
      <w:tr w:rsidR="00A66409" w:rsidRPr="00923467" w14:paraId="3B9FD860" w14:textId="77777777" w:rsidTr="00A66409">
        <w:trPr>
          <w:trHeight w:val="290"/>
        </w:trPr>
        <w:tc>
          <w:tcPr>
            <w:cnfStyle w:val="001000000000" w:firstRow="0" w:lastRow="0" w:firstColumn="1" w:lastColumn="0" w:oddVBand="0" w:evenVBand="0" w:oddHBand="0" w:evenHBand="0" w:firstRowFirstColumn="0" w:firstRowLastColumn="0" w:lastRowFirstColumn="0" w:lastRowLastColumn="0"/>
            <w:tcW w:w="1142" w:type="dxa"/>
            <w:hideMark/>
          </w:tcPr>
          <w:p w14:paraId="4F87A8ED" w14:textId="3D5E2D59" w:rsidR="00CA3476" w:rsidRPr="00A66409" w:rsidRDefault="00CA3476" w:rsidP="00923467">
            <w:pPr>
              <w:rPr>
                <w:sz w:val="18"/>
                <w:szCs w:val="18"/>
              </w:rPr>
            </w:pPr>
            <w:r w:rsidRPr="00A66409">
              <w:rPr>
                <w:sz w:val="18"/>
                <w:szCs w:val="18"/>
              </w:rPr>
              <w:t>Total</w:t>
            </w:r>
          </w:p>
        </w:tc>
        <w:tc>
          <w:tcPr>
            <w:tcW w:w="795" w:type="dxa"/>
            <w:hideMark/>
          </w:tcPr>
          <w:p w14:paraId="22686005" w14:textId="1FAD70FD" w:rsidR="00CA3476" w:rsidRPr="00AD36D6" w:rsidRDefault="00CA347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48,988</w:t>
            </w:r>
          </w:p>
        </w:tc>
        <w:tc>
          <w:tcPr>
            <w:tcW w:w="834" w:type="dxa"/>
            <w:noWrap/>
            <w:hideMark/>
          </w:tcPr>
          <w:p w14:paraId="19386F8B" w14:textId="7A36A5CE" w:rsidR="00CA3476" w:rsidRPr="00AD36D6" w:rsidRDefault="00CA347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46,808</w:t>
            </w:r>
          </w:p>
        </w:tc>
        <w:tc>
          <w:tcPr>
            <w:tcW w:w="979" w:type="dxa"/>
            <w:noWrap/>
            <w:hideMark/>
          </w:tcPr>
          <w:p w14:paraId="251BE52A" w14:textId="1D83DAFB" w:rsidR="00CA3476" w:rsidRPr="00AD36D6" w:rsidRDefault="00CA347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(2,180)</w:t>
            </w:r>
          </w:p>
        </w:tc>
        <w:tc>
          <w:tcPr>
            <w:tcW w:w="781" w:type="dxa"/>
            <w:noWrap/>
            <w:hideMark/>
          </w:tcPr>
          <w:p w14:paraId="3A33428B" w14:textId="208B8AA3" w:rsidR="00CA3476" w:rsidRPr="00AD36D6" w:rsidRDefault="00CA347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34,332</w:t>
            </w:r>
          </w:p>
        </w:tc>
        <w:tc>
          <w:tcPr>
            <w:tcW w:w="709" w:type="dxa"/>
            <w:noWrap/>
            <w:hideMark/>
          </w:tcPr>
          <w:p w14:paraId="5B8C9082" w14:textId="02EC50F1" w:rsidR="00CA3476" w:rsidRPr="00AD36D6" w:rsidRDefault="00CA347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32,213</w:t>
            </w:r>
          </w:p>
        </w:tc>
        <w:tc>
          <w:tcPr>
            <w:tcW w:w="992" w:type="dxa"/>
            <w:noWrap/>
            <w:hideMark/>
          </w:tcPr>
          <w:p w14:paraId="3A90A60A" w14:textId="3EE9E5F9" w:rsidR="00CA3476" w:rsidRPr="00AD36D6" w:rsidRDefault="00CA347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(2,119)</w:t>
            </w:r>
          </w:p>
        </w:tc>
        <w:tc>
          <w:tcPr>
            <w:tcW w:w="709" w:type="dxa"/>
            <w:noWrap/>
            <w:hideMark/>
          </w:tcPr>
          <w:p w14:paraId="5A3EAD2A" w14:textId="5BF8CA28" w:rsidR="00CA3476" w:rsidRPr="00AD36D6" w:rsidRDefault="00CA347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14,656</w:t>
            </w:r>
          </w:p>
        </w:tc>
        <w:tc>
          <w:tcPr>
            <w:tcW w:w="709" w:type="dxa"/>
            <w:noWrap/>
            <w:hideMark/>
          </w:tcPr>
          <w:p w14:paraId="318614CD" w14:textId="57175933" w:rsidR="00CA3476" w:rsidRPr="00AD36D6" w:rsidRDefault="00CA347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14,595</w:t>
            </w:r>
          </w:p>
        </w:tc>
        <w:tc>
          <w:tcPr>
            <w:tcW w:w="1134" w:type="dxa"/>
            <w:noWrap/>
            <w:hideMark/>
          </w:tcPr>
          <w:p w14:paraId="7FD8CF91" w14:textId="35C5DA8F" w:rsidR="00CA3476" w:rsidRPr="00AD36D6" w:rsidRDefault="00CA3476"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(61)</w:t>
            </w:r>
          </w:p>
        </w:tc>
      </w:tr>
    </w:tbl>
    <w:p w14:paraId="228A32AE" w14:textId="73F70C11" w:rsidR="00B04696" w:rsidRPr="00923467" w:rsidRDefault="00B04696" w:rsidP="00923467">
      <w:pPr>
        <w:pStyle w:val="Caption"/>
      </w:pPr>
      <w:bookmarkStart w:id="91" w:name="_Toc137831152"/>
      <w:r w:rsidRPr="00923467">
        <w:t xml:space="preserve">Table </w:t>
      </w:r>
      <w:r w:rsidRPr="00923467">
        <w:fldChar w:fldCharType="begin"/>
      </w:r>
      <w:r w:rsidRPr="00923467">
        <w:instrText xml:space="preserve"> SEQ Table \* ARABIC </w:instrText>
      </w:r>
      <w:r w:rsidRPr="00923467">
        <w:fldChar w:fldCharType="separate"/>
      </w:r>
      <w:r w:rsidR="00E12E6B">
        <w:rPr>
          <w:noProof/>
        </w:rPr>
        <w:t>23</w:t>
      </w:r>
      <w:r w:rsidRPr="00923467">
        <w:fldChar w:fldCharType="end"/>
      </w:r>
      <w:r w:rsidRPr="00923467">
        <w:t>: Scanned Containers, 2021 vs 2022</w:t>
      </w:r>
      <w:bookmarkEnd w:id="91"/>
    </w:p>
    <w:p w14:paraId="024860BF" w14:textId="3935B0FE" w:rsidR="00400F19" w:rsidRPr="00A66409" w:rsidRDefault="00400F19" w:rsidP="00923467">
      <w:pPr>
        <w:rPr>
          <w:sz w:val="16"/>
          <w:szCs w:val="16"/>
        </w:rPr>
      </w:pPr>
      <w:r w:rsidRPr="00A66409">
        <w:rPr>
          <w:sz w:val="16"/>
          <w:szCs w:val="16"/>
        </w:rPr>
        <w:t xml:space="preserve">Source: CSD </w:t>
      </w:r>
    </w:p>
    <w:p w14:paraId="7CDAFEC7" w14:textId="77777777" w:rsidR="00A66409" w:rsidRDefault="00A66409" w:rsidP="00923467"/>
    <w:p w14:paraId="4A052F76" w14:textId="606AD0D9" w:rsidR="00C7481C" w:rsidRPr="00923467" w:rsidRDefault="00E27C95" w:rsidP="00923467">
      <w:r w:rsidRPr="00923467">
        <w:t xml:space="preserve">Table </w:t>
      </w:r>
      <w:r w:rsidR="00B04696" w:rsidRPr="00923467">
        <w:t xml:space="preserve">24 </w:t>
      </w:r>
      <w:r w:rsidR="00572F35" w:rsidRPr="00923467">
        <w:t>shows the number of scanned containers by container size in 2022. Of t</w:t>
      </w:r>
      <w:r w:rsidR="008D0CFE" w:rsidRPr="00923467">
        <w:t>he total number of containers scanned</w:t>
      </w:r>
      <w:r w:rsidR="00572F35" w:rsidRPr="00923467">
        <w:t xml:space="preserve">, </w:t>
      </w:r>
      <w:r w:rsidR="00714110" w:rsidRPr="00923467">
        <w:t xml:space="preserve">23,960 (i.e., </w:t>
      </w:r>
      <w:r w:rsidR="008D0CFE" w:rsidRPr="00923467">
        <w:t>51.2%</w:t>
      </w:r>
      <w:r w:rsidR="00714110" w:rsidRPr="00923467">
        <w:t>)</w:t>
      </w:r>
      <w:r w:rsidR="008D0CFE" w:rsidRPr="00923467">
        <w:t xml:space="preserve"> were 20ft containers</w:t>
      </w:r>
      <w:r w:rsidR="00714110" w:rsidRPr="00923467">
        <w:t xml:space="preserve"> while the remaining 22,848 (i.e., 48.8%) were </w:t>
      </w:r>
      <w:r w:rsidR="003C69F0" w:rsidRPr="00923467">
        <w:t>40ft</w:t>
      </w:r>
      <w:r w:rsidR="00714110" w:rsidRPr="00923467">
        <w:t xml:space="preserve"> containers</w:t>
      </w:r>
      <w:r w:rsidR="008D0CFE" w:rsidRPr="00923467">
        <w:t xml:space="preserve">. </w:t>
      </w:r>
      <w:r w:rsidR="00C7481C" w:rsidRPr="00923467">
        <w:t xml:space="preserve">The total number of </w:t>
      </w:r>
      <w:r w:rsidR="00E67054" w:rsidRPr="00923467">
        <w:t>import</w:t>
      </w:r>
      <w:r w:rsidR="00C7481C" w:rsidRPr="00923467">
        <w:t xml:space="preserve"> contain</w:t>
      </w:r>
      <w:r w:rsidR="00E67054" w:rsidRPr="00923467">
        <w:t>er</w:t>
      </w:r>
      <w:r w:rsidR="00C7481C" w:rsidRPr="00923467">
        <w:t xml:space="preserve">s (both 20ft and 40ft) accounted for 68.8% (32,213) of the total number of scanned containers, implying </w:t>
      </w:r>
      <w:r w:rsidR="000F73AA" w:rsidRPr="00923467">
        <w:t xml:space="preserve">that </w:t>
      </w:r>
      <w:r w:rsidR="00C7481C" w:rsidRPr="00923467">
        <w:t xml:space="preserve">Sierra Leone is importing more than its exporting.  </w:t>
      </w:r>
    </w:p>
    <w:p w14:paraId="58DA65DA" w14:textId="77777777" w:rsidR="00AA0852" w:rsidRPr="00923467" w:rsidRDefault="00AA0852" w:rsidP="00923467"/>
    <w:tbl>
      <w:tblPr>
        <w:tblStyle w:val="GridTable4-Accent5"/>
        <w:tblW w:w="0" w:type="auto"/>
        <w:tblLook w:val="04A0" w:firstRow="1" w:lastRow="0" w:firstColumn="1" w:lastColumn="0" w:noHBand="0" w:noVBand="1"/>
      </w:tblPr>
      <w:tblGrid>
        <w:gridCol w:w="1167"/>
        <w:gridCol w:w="834"/>
        <w:gridCol w:w="814"/>
        <w:gridCol w:w="1028"/>
        <w:gridCol w:w="940"/>
        <w:gridCol w:w="934"/>
        <w:gridCol w:w="933"/>
        <w:gridCol w:w="1992"/>
      </w:tblGrid>
      <w:tr w:rsidR="00AD36D6" w:rsidRPr="00923467" w14:paraId="1DA44048" w14:textId="77777777" w:rsidTr="00AD36D6">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167" w:type="dxa"/>
            <w:tcBorders>
              <w:bottom w:val="nil"/>
            </w:tcBorders>
          </w:tcPr>
          <w:p w14:paraId="39DD92CC" w14:textId="77777777" w:rsidR="00AD36D6" w:rsidRPr="00AD36D6" w:rsidRDefault="00AD36D6" w:rsidP="00923467">
            <w:pPr>
              <w:rPr>
                <w:sz w:val="18"/>
                <w:szCs w:val="18"/>
              </w:rPr>
            </w:pPr>
          </w:p>
        </w:tc>
        <w:tc>
          <w:tcPr>
            <w:tcW w:w="2676" w:type="dxa"/>
            <w:gridSpan w:val="3"/>
            <w:tcBorders>
              <w:bottom w:val="nil"/>
            </w:tcBorders>
          </w:tcPr>
          <w:p w14:paraId="364A2DA2" w14:textId="0BC5E15F" w:rsidR="00AD36D6" w:rsidRPr="00AD36D6" w:rsidRDefault="00AD36D6" w:rsidP="00AD36D6">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20ft</w:t>
            </w:r>
          </w:p>
        </w:tc>
        <w:tc>
          <w:tcPr>
            <w:tcW w:w="2807" w:type="dxa"/>
            <w:gridSpan w:val="3"/>
            <w:tcBorders>
              <w:bottom w:val="nil"/>
            </w:tcBorders>
          </w:tcPr>
          <w:p w14:paraId="6E84A2FE" w14:textId="006AED19" w:rsidR="00AD36D6" w:rsidRPr="00AD36D6" w:rsidRDefault="00AD36D6" w:rsidP="00AD36D6">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40ft</w:t>
            </w:r>
          </w:p>
        </w:tc>
        <w:tc>
          <w:tcPr>
            <w:tcW w:w="1992" w:type="dxa"/>
            <w:tcBorders>
              <w:bottom w:val="nil"/>
            </w:tcBorders>
          </w:tcPr>
          <w:p w14:paraId="716DD57E" w14:textId="77777777" w:rsidR="00AD36D6" w:rsidRPr="00AD36D6" w:rsidRDefault="00AD36D6" w:rsidP="00923467">
            <w:pPr>
              <w:cnfStyle w:val="100000000000" w:firstRow="1" w:lastRow="0" w:firstColumn="0" w:lastColumn="0" w:oddVBand="0" w:evenVBand="0" w:oddHBand="0" w:evenHBand="0" w:firstRowFirstColumn="0" w:firstRowLastColumn="0" w:lastRowFirstColumn="0" w:lastRowLastColumn="0"/>
              <w:rPr>
                <w:sz w:val="18"/>
                <w:szCs w:val="18"/>
              </w:rPr>
            </w:pPr>
          </w:p>
        </w:tc>
      </w:tr>
      <w:tr w:rsidR="00AD36D6" w:rsidRPr="00923467" w14:paraId="791F5F2A" w14:textId="77777777" w:rsidTr="00AD36D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167" w:type="dxa"/>
            <w:tcBorders>
              <w:top w:val="nil"/>
              <w:left w:val="nil"/>
              <w:bottom w:val="nil"/>
              <w:right w:val="nil"/>
            </w:tcBorders>
            <w:shd w:val="clear" w:color="auto" w:fill="5B9BD5" w:themeFill="accent5"/>
            <w:hideMark/>
          </w:tcPr>
          <w:p w14:paraId="1A6F1436" w14:textId="2E8ACBD9" w:rsidR="00332E45" w:rsidRPr="00AD36D6" w:rsidRDefault="00332E45" w:rsidP="00AD36D6">
            <w:pPr>
              <w:jc w:val="center"/>
              <w:rPr>
                <w:color w:val="FFFFFF" w:themeColor="background1"/>
                <w:sz w:val="18"/>
                <w:szCs w:val="18"/>
              </w:rPr>
            </w:pPr>
          </w:p>
        </w:tc>
        <w:tc>
          <w:tcPr>
            <w:tcW w:w="834" w:type="dxa"/>
            <w:tcBorders>
              <w:top w:val="nil"/>
              <w:left w:val="nil"/>
              <w:bottom w:val="nil"/>
              <w:right w:val="nil"/>
            </w:tcBorders>
            <w:shd w:val="clear" w:color="auto" w:fill="5B9BD5" w:themeFill="accent5"/>
            <w:hideMark/>
          </w:tcPr>
          <w:p w14:paraId="32670F2B" w14:textId="2116960D" w:rsidR="00332E45" w:rsidRPr="00AD36D6" w:rsidRDefault="00332E45" w:rsidP="00AD36D6">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D36D6">
              <w:rPr>
                <w:b/>
                <w:bCs/>
                <w:color w:val="FFFFFF" w:themeColor="background1"/>
                <w:sz w:val="18"/>
                <w:szCs w:val="18"/>
              </w:rPr>
              <w:t>Import</w:t>
            </w:r>
          </w:p>
        </w:tc>
        <w:tc>
          <w:tcPr>
            <w:tcW w:w="814" w:type="dxa"/>
            <w:tcBorders>
              <w:top w:val="nil"/>
              <w:left w:val="nil"/>
              <w:bottom w:val="nil"/>
              <w:right w:val="nil"/>
            </w:tcBorders>
            <w:shd w:val="clear" w:color="auto" w:fill="5B9BD5" w:themeFill="accent5"/>
            <w:hideMark/>
          </w:tcPr>
          <w:p w14:paraId="36BDBD43" w14:textId="7A872C83" w:rsidR="00332E45" w:rsidRPr="00AD36D6" w:rsidRDefault="00332E45" w:rsidP="00AD36D6">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D36D6">
              <w:rPr>
                <w:b/>
                <w:bCs/>
                <w:color w:val="FFFFFF" w:themeColor="background1"/>
                <w:sz w:val="18"/>
                <w:szCs w:val="18"/>
              </w:rPr>
              <w:t>Export</w:t>
            </w:r>
          </w:p>
        </w:tc>
        <w:tc>
          <w:tcPr>
            <w:tcW w:w="1028" w:type="dxa"/>
            <w:tcBorders>
              <w:top w:val="nil"/>
              <w:left w:val="nil"/>
              <w:bottom w:val="nil"/>
              <w:right w:val="single" w:sz="4" w:space="0" w:color="FFFFFF" w:themeColor="background1"/>
            </w:tcBorders>
            <w:shd w:val="clear" w:color="auto" w:fill="5B9BD5" w:themeFill="accent5"/>
            <w:hideMark/>
          </w:tcPr>
          <w:p w14:paraId="2812889C" w14:textId="028285D7" w:rsidR="00332E45" w:rsidRPr="00AD36D6" w:rsidRDefault="00332E45" w:rsidP="00AD36D6">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D36D6">
              <w:rPr>
                <w:b/>
                <w:bCs/>
                <w:color w:val="FFFFFF" w:themeColor="background1"/>
                <w:sz w:val="18"/>
                <w:szCs w:val="18"/>
              </w:rPr>
              <w:t>Total (A)</w:t>
            </w:r>
          </w:p>
        </w:tc>
        <w:tc>
          <w:tcPr>
            <w:tcW w:w="940" w:type="dxa"/>
            <w:tcBorders>
              <w:top w:val="nil"/>
              <w:left w:val="single" w:sz="4" w:space="0" w:color="FFFFFF" w:themeColor="background1"/>
              <w:bottom w:val="nil"/>
              <w:right w:val="nil"/>
            </w:tcBorders>
            <w:shd w:val="clear" w:color="auto" w:fill="5B9BD5" w:themeFill="accent5"/>
            <w:hideMark/>
          </w:tcPr>
          <w:p w14:paraId="6A0F9745" w14:textId="2EC3A759" w:rsidR="00332E45" w:rsidRPr="00AD36D6" w:rsidRDefault="00332E45" w:rsidP="00AD36D6">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D36D6">
              <w:rPr>
                <w:b/>
                <w:bCs/>
                <w:color w:val="FFFFFF" w:themeColor="background1"/>
                <w:sz w:val="18"/>
                <w:szCs w:val="18"/>
              </w:rPr>
              <w:t>Import</w:t>
            </w:r>
          </w:p>
        </w:tc>
        <w:tc>
          <w:tcPr>
            <w:tcW w:w="934" w:type="dxa"/>
            <w:tcBorders>
              <w:top w:val="nil"/>
              <w:left w:val="nil"/>
              <w:bottom w:val="nil"/>
              <w:right w:val="nil"/>
            </w:tcBorders>
            <w:shd w:val="clear" w:color="auto" w:fill="5B9BD5" w:themeFill="accent5"/>
            <w:hideMark/>
          </w:tcPr>
          <w:p w14:paraId="732B20A8" w14:textId="22F7C5E5" w:rsidR="00332E45" w:rsidRPr="00AD36D6" w:rsidRDefault="00332E45" w:rsidP="00AD36D6">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D36D6">
              <w:rPr>
                <w:b/>
                <w:bCs/>
                <w:color w:val="FFFFFF" w:themeColor="background1"/>
                <w:sz w:val="18"/>
                <w:szCs w:val="18"/>
              </w:rPr>
              <w:t>Export</w:t>
            </w:r>
          </w:p>
        </w:tc>
        <w:tc>
          <w:tcPr>
            <w:tcW w:w="933" w:type="dxa"/>
            <w:tcBorders>
              <w:top w:val="nil"/>
              <w:left w:val="nil"/>
              <w:bottom w:val="nil"/>
              <w:right w:val="single" w:sz="4" w:space="0" w:color="FFFFFF" w:themeColor="background1"/>
            </w:tcBorders>
            <w:shd w:val="clear" w:color="auto" w:fill="5B9BD5" w:themeFill="accent5"/>
            <w:hideMark/>
          </w:tcPr>
          <w:p w14:paraId="5890D121" w14:textId="4CD3D985" w:rsidR="00332E45" w:rsidRPr="00AD36D6" w:rsidRDefault="00332E45" w:rsidP="00AD36D6">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D36D6">
              <w:rPr>
                <w:b/>
                <w:bCs/>
                <w:color w:val="FFFFFF" w:themeColor="background1"/>
                <w:sz w:val="18"/>
                <w:szCs w:val="18"/>
              </w:rPr>
              <w:t>Total (B)</w:t>
            </w:r>
          </w:p>
        </w:tc>
        <w:tc>
          <w:tcPr>
            <w:tcW w:w="1992" w:type="dxa"/>
            <w:tcBorders>
              <w:top w:val="nil"/>
              <w:left w:val="single" w:sz="4" w:space="0" w:color="FFFFFF" w:themeColor="background1"/>
              <w:bottom w:val="nil"/>
              <w:right w:val="nil"/>
            </w:tcBorders>
            <w:shd w:val="clear" w:color="auto" w:fill="5B9BD5" w:themeFill="accent5"/>
            <w:hideMark/>
          </w:tcPr>
          <w:p w14:paraId="46B3C1D2" w14:textId="44E436C7" w:rsidR="00332E45" w:rsidRPr="00AD36D6" w:rsidRDefault="00332E45" w:rsidP="00AD36D6">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D36D6">
              <w:rPr>
                <w:b/>
                <w:bCs/>
                <w:color w:val="FFFFFF" w:themeColor="background1"/>
                <w:sz w:val="18"/>
                <w:szCs w:val="18"/>
              </w:rPr>
              <w:t>Total Scanned (A+B)</w:t>
            </w:r>
          </w:p>
        </w:tc>
      </w:tr>
      <w:tr w:rsidR="00AD36D6" w:rsidRPr="00923467" w14:paraId="69CCBB73" w14:textId="77777777" w:rsidTr="00AD36D6">
        <w:trPr>
          <w:trHeight w:val="290"/>
        </w:trPr>
        <w:tc>
          <w:tcPr>
            <w:cnfStyle w:val="001000000000" w:firstRow="0" w:lastRow="0" w:firstColumn="1" w:lastColumn="0" w:oddVBand="0" w:evenVBand="0" w:oddHBand="0" w:evenHBand="0" w:firstRowFirstColumn="0" w:firstRowLastColumn="0" w:lastRowFirstColumn="0" w:lastRowLastColumn="0"/>
            <w:tcW w:w="1167" w:type="dxa"/>
            <w:tcBorders>
              <w:top w:val="nil"/>
            </w:tcBorders>
            <w:hideMark/>
          </w:tcPr>
          <w:p w14:paraId="4392D235" w14:textId="77777777" w:rsidR="00332E45" w:rsidRPr="00AD36D6" w:rsidRDefault="00332E45" w:rsidP="00923467">
            <w:pPr>
              <w:rPr>
                <w:b w:val="0"/>
                <w:bCs w:val="0"/>
                <w:sz w:val="18"/>
                <w:szCs w:val="18"/>
              </w:rPr>
            </w:pPr>
            <w:r w:rsidRPr="00AD36D6">
              <w:rPr>
                <w:sz w:val="18"/>
                <w:szCs w:val="18"/>
              </w:rPr>
              <w:t>January</w:t>
            </w:r>
          </w:p>
        </w:tc>
        <w:tc>
          <w:tcPr>
            <w:tcW w:w="834" w:type="dxa"/>
            <w:tcBorders>
              <w:top w:val="nil"/>
            </w:tcBorders>
            <w:hideMark/>
          </w:tcPr>
          <w:p w14:paraId="72971025"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1,149</w:t>
            </w:r>
          </w:p>
        </w:tc>
        <w:tc>
          <w:tcPr>
            <w:tcW w:w="814" w:type="dxa"/>
            <w:tcBorders>
              <w:top w:val="nil"/>
            </w:tcBorders>
            <w:hideMark/>
          </w:tcPr>
          <w:p w14:paraId="285353EE"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916</w:t>
            </w:r>
          </w:p>
        </w:tc>
        <w:tc>
          <w:tcPr>
            <w:tcW w:w="1028" w:type="dxa"/>
            <w:tcBorders>
              <w:top w:val="nil"/>
            </w:tcBorders>
            <w:hideMark/>
          </w:tcPr>
          <w:p w14:paraId="1FC787F0"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2,065</w:t>
            </w:r>
          </w:p>
        </w:tc>
        <w:tc>
          <w:tcPr>
            <w:tcW w:w="940" w:type="dxa"/>
            <w:tcBorders>
              <w:top w:val="nil"/>
            </w:tcBorders>
            <w:hideMark/>
          </w:tcPr>
          <w:p w14:paraId="44B6B7B0"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1,444</w:t>
            </w:r>
          </w:p>
        </w:tc>
        <w:tc>
          <w:tcPr>
            <w:tcW w:w="934" w:type="dxa"/>
            <w:tcBorders>
              <w:top w:val="nil"/>
            </w:tcBorders>
            <w:hideMark/>
          </w:tcPr>
          <w:p w14:paraId="30B1A8F0"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3,671</w:t>
            </w:r>
          </w:p>
        </w:tc>
        <w:tc>
          <w:tcPr>
            <w:tcW w:w="933" w:type="dxa"/>
            <w:tcBorders>
              <w:top w:val="nil"/>
            </w:tcBorders>
            <w:hideMark/>
          </w:tcPr>
          <w:p w14:paraId="2AAADC66"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5,115</w:t>
            </w:r>
          </w:p>
        </w:tc>
        <w:tc>
          <w:tcPr>
            <w:tcW w:w="1992" w:type="dxa"/>
            <w:tcBorders>
              <w:top w:val="nil"/>
            </w:tcBorders>
            <w:hideMark/>
          </w:tcPr>
          <w:p w14:paraId="77D60D64"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7,180</w:t>
            </w:r>
          </w:p>
        </w:tc>
      </w:tr>
      <w:tr w:rsidR="00AD36D6" w:rsidRPr="00923467" w14:paraId="556B1DB1" w14:textId="77777777" w:rsidTr="00AD36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67" w:type="dxa"/>
            <w:hideMark/>
          </w:tcPr>
          <w:p w14:paraId="6E400A02" w14:textId="77777777" w:rsidR="00332E45" w:rsidRPr="00AD36D6" w:rsidRDefault="00332E45" w:rsidP="00923467">
            <w:pPr>
              <w:rPr>
                <w:b w:val="0"/>
                <w:bCs w:val="0"/>
                <w:sz w:val="18"/>
                <w:szCs w:val="18"/>
              </w:rPr>
            </w:pPr>
            <w:r w:rsidRPr="00AD36D6">
              <w:rPr>
                <w:sz w:val="18"/>
                <w:szCs w:val="18"/>
              </w:rPr>
              <w:t>February</w:t>
            </w:r>
          </w:p>
        </w:tc>
        <w:tc>
          <w:tcPr>
            <w:tcW w:w="834" w:type="dxa"/>
            <w:hideMark/>
          </w:tcPr>
          <w:p w14:paraId="29CCE9C3"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962</w:t>
            </w:r>
          </w:p>
        </w:tc>
        <w:tc>
          <w:tcPr>
            <w:tcW w:w="814" w:type="dxa"/>
            <w:hideMark/>
          </w:tcPr>
          <w:p w14:paraId="35309B35"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1,041</w:t>
            </w:r>
          </w:p>
        </w:tc>
        <w:tc>
          <w:tcPr>
            <w:tcW w:w="1028" w:type="dxa"/>
            <w:hideMark/>
          </w:tcPr>
          <w:p w14:paraId="24BF1107"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2,003</w:t>
            </w:r>
          </w:p>
        </w:tc>
        <w:tc>
          <w:tcPr>
            <w:tcW w:w="940" w:type="dxa"/>
            <w:hideMark/>
          </w:tcPr>
          <w:p w14:paraId="50FD0C0A"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1,408</w:t>
            </w:r>
          </w:p>
        </w:tc>
        <w:tc>
          <w:tcPr>
            <w:tcW w:w="934" w:type="dxa"/>
            <w:hideMark/>
          </w:tcPr>
          <w:p w14:paraId="16C3B4F3"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50</w:t>
            </w:r>
          </w:p>
        </w:tc>
        <w:tc>
          <w:tcPr>
            <w:tcW w:w="933" w:type="dxa"/>
            <w:hideMark/>
          </w:tcPr>
          <w:p w14:paraId="6D019588"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1,458</w:t>
            </w:r>
          </w:p>
        </w:tc>
        <w:tc>
          <w:tcPr>
            <w:tcW w:w="1992" w:type="dxa"/>
            <w:hideMark/>
          </w:tcPr>
          <w:p w14:paraId="70D278A4"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3,461</w:t>
            </w:r>
          </w:p>
        </w:tc>
      </w:tr>
      <w:tr w:rsidR="00AD36D6" w:rsidRPr="00923467" w14:paraId="07FC31C2" w14:textId="77777777" w:rsidTr="00AD36D6">
        <w:trPr>
          <w:trHeight w:val="290"/>
        </w:trPr>
        <w:tc>
          <w:tcPr>
            <w:cnfStyle w:val="001000000000" w:firstRow="0" w:lastRow="0" w:firstColumn="1" w:lastColumn="0" w:oddVBand="0" w:evenVBand="0" w:oddHBand="0" w:evenHBand="0" w:firstRowFirstColumn="0" w:firstRowLastColumn="0" w:lastRowFirstColumn="0" w:lastRowLastColumn="0"/>
            <w:tcW w:w="1167" w:type="dxa"/>
            <w:hideMark/>
          </w:tcPr>
          <w:p w14:paraId="095F01B8" w14:textId="77777777" w:rsidR="00332E45" w:rsidRPr="00AD36D6" w:rsidRDefault="00332E45" w:rsidP="00923467">
            <w:pPr>
              <w:rPr>
                <w:b w:val="0"/>
                <w:bCs w:val="0"/>
                <w:sz w:val="18"/>
                <w:szCs w:val="18"/>
              </w:rPr>
            </w:pPr>
            <w:r w:rsidRPr="00AD36D6">
              <w:rPr>
                <w:sz w:val="18"/>
                <w:szCs w:val="18"/>
              </w:rPr>
              <w:t>March</w:t>
            </w:r>
          </w:p>
        </w:tc>
        <w:tc>
          <w:tcPr>
            <w:tcW w:w="834" w:type="dxa"/>
            <w:hideMark/>
          </w:tcPr>
          <w:p w14:paraId="1CD1B155"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1,207</w:t>
            </w:r>
          </w:p>
        </w:tc>
        <w:tc>
          <w:tcPr>
            <w:tcW w:w="814" w:type="dxa"/>
            <w:hideMark/>
          </w:tcPr>
          <w:p w14:paraId="338CDA47"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1,215</w:t>
            </w:r>
          </w:p>
        </w:tc>
        <w:tc>
          <w:tcPr>
            <w:tcW w:w="1028" w:type="dxa"/>
            <w:hideMark/>
          </w:tcPr>
          <w:p w14:paraId="3D9EABD0"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2,422</w:t>
            </w:r>
          </w:p>
        </w:tc>
        <w:tc>
          <w:tcPr>
            <w:tcW w:w="940" w:type="dxa"/>
            <w:hideMark/>
          </w:tcPr>
          <w:p w14:paraId="0B32121F"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1,419</w:t>
            </w:r>
          </w:p>
        </w:tc>
        <w:tc>
          <w:tcPr>
            <w:tcW w:w="934" w:type="dxa"/>
            <w:hideMark/>
          </w:tcPr>
          <w:p w14:paraId="1AEDF4A6"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139</w:t>
            </w:r>
          </w:p>
        </w:tc>
        <w:tc>
          <w:tcPr>
            <w:tcW w:w="933" w:type="dxa"/>
            <w:hideMark/>
          </w:tcPr>
          <w:p w14:paraId="35CF3F6D"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1,558</w:t>
            </w:r>
          </w:p>
        </w:tc>
        <w:tc>
          <w:tcPr>
            <w:tcW w:w="1992" w:type="dxa"/>
            <w:hideMark/>
          </w:tcPr>
          <w:p w14:paraId="6AC0F822"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3,980</w:t>
            </w:r>
          </w:p>
        </w:tc>
      </w:tr>
      <w:tr w:rsidR="00AD36D6" w:rsidRPr="00923467" w14:paraId="0511956E" w14:textId="77777777" w:rsidTr="00AD36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67" w:type="dxa"/>
            <w:hideMark/>
          </w:tcPr>
          <w:p w14:paraId="710D8730" w14:textId="77777777" w:rsidR="00332E45" w:rsidRPr="00AD36D6" w:rsidRDefault="00332E45" w:rsidP="00923467">
            <w:pPr>
              <w:rPr>
                <w:b w:val="0"/>
                <w:bCs w:val="0"/>
                <w:sz w:val="18"/>
                <w:szCs w:val="18"/>
              </w:rPr>
            </w:pPr>
            <w:r w:rsidRPr="00AD36D6">
              <w:rPr>
                <w:sz w:val="18"/>
                <w:szCs w:val="18"/>
              </w:rPr>
              <w:t>April</w:t>
            </w:r>
          </w:p>
        </w:tc>
        <w:tc>
          <w:tcPr>
            <w:tcW w:w="834" w:type="dxa"/>
            <w:hideMark/>
          </w:tcPr>
          <w:p w14:paraId="2F08209E"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827</w:t>
            </w:r>
          </w:p>
        </w:tc>
        <w:tc>
          <w:tcPr>
            <w:tcW w:w="814" w:type="dxa"/>
            <w:hideMark/>
          </w:tcPr>
          <w:p w14:paraId="65D821B1"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1,339</w:t>
            </w:r>
          </w:p>
        </w:tc>
        <w:tc>
          <w:tcPr>
            <w:tcW w:w="1028" w:type="dxa"/>
            <w:hideMark/>
          </w:tcPr>
          <w:p w14:paraId="2F916A67"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2,166</w:t>
            </w:r>
          </w:p>
        </w:tc>
        <w:tc>
          <w:tcPr>
            <w:tcW w:w="940" w:type="dxa"/>
            <w:hideMark/>
          </w:tcPr>
          <w:p w14:paraId="78ABC8DB"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1,212</w:t>
            </w:r>
          </w:p>
        </w:tc>
        <w:tc>
          <w:tcPr>
            <w:tcW w:w="934" w:type="dxa"/>
            <w:hideMark/>
          </w:tcPr>
          <w:p w14:paraId="714578C9"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59</w:t>
            </w:r>
          </w:p>
        </w:tc>
        <w:tc>
          <w:tcPr>
            <w:tcW w:w="933" w:type="dxa"/>
            <w:hideMark/>
          </w:tcPr>
          <w:p w14:paraId="1137A159"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1,271</w:t>
            </w:r>
          </w:p>
        </w:tc>
        <w:tc>
          <w:tcPr>
            <w:tcW w:w="1992" w:type="dxa"/>
            <w:hideMark/>
          </w:tcPr>
          <w:p w14:paraId="1E357D38"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3,437</w:t>
            </w:r>
          </w:p>
        </w:tc>
      </w:tr>
      <w:tr w:rsidR="00AD36D6" w:rsidRPr="00923467" w14:paraId="79C991F3" w14:textId="77777777" w:rsidTr="00AD36D6">
        <w:trPr>
          <w:trHeight w:val="290"/>
        </w:trPr>
        <w:tc>
          <w:tcPr>
            <w:cnfStyle w:val="001000000000" w:firstRow="0" w:lastRow="0" w:firstColumn="1" w:lastColumn="0" w:oddVBand="0" w:evenVBand="0" w:oddHBand="0" w:evenHBand="0" w:firstRowFirstColumn="0" w:firstRowLastColumn="0" w:lastRowFirstColumn="0" w:lastRowLastColumn="0"/>
            <w:tcW w:w="1167" w:type="dxa"/>
            <w:hideMark/>
          </w:tcPr>
          <w:p w14:paraId="0E9E4666" w14:textId="77777777" w:rsidR="00332E45" w:rsidRPr="00AD36D6" w:rsidRDefault="00332E45" w:rsidP="00923467">
            <w:pPr>
              <w:rPr>
                <w:b w:val="0"/>
                <w:bCs w:val="0"/>
                <w:sz w:val="18"/>
                <w:szCs w:val="18"/>
              </w:rPr>
            </w:pPr>
            <w:r w:rsidRPr="00AD36D6">
              <w:rPr>
                <w:sz w:val="18"/>
                <w:szCs w:val="18"/>
              </w:rPr>
              <w:t>May</w:t>
            </w:r>
          </w:p>
        </w:tc>
        <w:tc>
          <w:tcPr>
            <w:tcW w:w="834" w:type="dxa"/>
            <w:hideMark/>
          </w:tcPr>
          <w:p w14:paraId="68FF7BB0"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1,107</w:t>
            </w:r>
          </w:p>
        </w:tc>
        <w:tc>
          <w:tcPr>
            <w:tcW w:w="814" w:type="dxa"/>
            <w:hideMark/>
          </w:tcPr>
          <w:p w14:paraId="2C38F777"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1,270</w:t>
            </w:r>
          </w:p>
        </w:tc>
        <w:tc>
          <w:tcPr>
            <w:tcW w:w="1028" w:type="dxa"/>
            <w:hideMark/>
          </w:tcPr>
          <w:p w14:paraId="207A529F"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2,377</w:t>
            </w:r>
          </w:p>
        </w:tc>
        <w:tc>
          <w:tcPr>
            <w:tcW w:w="940" w:type="dxa"/>
            <w:hideMark/>
          </w:tcPr>
          <w:p w14:paraId="0FC04EB1"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1,638</w:t>
            </w:r>
          </w:p>
        </w:tc>
        <w:tc>
          <w:tcPr>
            <w:tcW w:w="934" w:type="dxa"/>
            <w:hideMark/>
          </w:tcPr>
          <w:p w14:paraId="5F97A73A"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36</w:t>
            </w:r>
          </w:p>
        </w:tc>
        <w:tc>
          <w:tcPr>
            <w:tcW w:w="933" w:type="dxa"/>
            <w:hideMark/>
          </w:tcPr>
          <w:p w14:paraId="57F74E7C"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1,674</w:t>
            </w:r>
          </w:p>
        </w:tc>
        <w:tc>
          <w:tcPr>
            <w:tcW w:w="1992" w:type="dxa"/>
            <w:hideMark/>
          </w:tcPr>
          <w:p w14:paraId="458AD2E6"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4,051</w:t>
            </w:r>
          </w:p>
        </w:tc>
      </w:tr>
      <w:tr w:rsidR="00AD36D6" w:rsidRPr="00923467" w14:paraId="0120AF51" w14:textId="77777777" w:rsidTr="00AD36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67" w:type="dxa"/>
            <w:hideMark/>
          </w:tcPr>
          <w:p w14:paraId="44F113A9" w14:textId="77777777" w:rsidR="00332E45" w:rsidRPr="00AD36D6" w:rsidRDefault="00332E45" w:rsidP="00923467">
            <w:pPr>
              <w:rPr>
                <w:b w:val="0"/>
                <w:bCs w:val="0"/>
                <w:sz w:val="18"/>
                <w:szCs w:val="18"/>
              </w:rPr>
            </w:pPr>
            <w:r w:rsidRPr="00AD36D6">
              <w:rPr>
                <w:sz w:val="18"/>
                <w:szCs w:val="18"/>
              </w:rPr>
              <w:t>June</w:t>
            </w:r>
          </w:p>
        </w:tc>
        <w:tc>
          <w:tcPr>
            <w:tcW w:w="834" w:type="dxa"/>
            <w:hideMark/>
          </w:tcPr>
          <w:p w14:paraId="6F8C01F3"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1,019</w:t>
            </w:r>
          </w:p>
        </w:tc>
        <w:tc>
          <w:tcPr>
            <w:tcW w:w="814" w:type="dxa"/>
            <w:hideMark/>
          </w:tcPr>
          <w:p w14:paraId="6933B306"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626</w:t>
            </w:r>
          </w:p>
        </w:tc>
        <w:tc>
          <w:tcPr>
            <w:tcW w:w="1028" w:type="dxa"/>
            <w:hideMark/>
          </w:tcPr>
          <w:p w14:paraId="7F67CECF"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1,645</w:t>
            </w:r>
          </w:p>
        </w:tc>
        <w:tc>
          <w:tcPr>
            <w:tcW w:w="940" w:type="dxa"/>
            <w:hideMark/>
          </w:tcPr>
          <w:p w14:paraId="4C75CF0A"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1,470</w:t>
            </w:r>
          </w:p>
        </w:tc>
        <w:tc>
          <w:tcPr>
            <w:tcW w:w="934" w:type="dxa"/>
            <w:hideMark/>
          </w:tcPr>
          <w:p w14:paraId="5E948594"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41</w:t>
            </w:r>
          </w:p>
        </w:tc>
        <w:tc>
          <w:tcPr>
            <w:tcW w:w="933" w:type="dxa"/>
            <w:hideMark/>
          </w:tcPr>
          <w:p w14:paraId="02D55B88"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1,511</w:t>
            </w:r>
          </w:p>
        </w:tc>
        <w:tc>
          <w:tcPr>
            <w:tcW w:w="1992" w:type="dxa"/>
            <w:hideMark/>
          </w:tcPr>
          <w:p w14:paraId="4E251EF0"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3,156</w:t>
            </w:r>
          </w:p>
        </w:tc>
      </w:tr>
      <w:tr w:rsidR="00AD36D6" w:rsidRPr="00923467" w14:paraId="32B001B1" w14:textId="77777777" w:rsidTr="00AD36D6">
        <w:trPr>
          <w:trHeight w:val="290"/>
        </w:trPr>
        <w:tc>
          <w:tcPr>
            <w:cnfStyle w:val="001000000000" w:firstRow="0" w:lastRow="0" w:firstColumn="1" w:lastColumn="0" w:oddVBand="0" w:evenVBand="0" w:oddHBand="0" w:evenHBand="0" w:firstRowFirstColumn="0" w:firstRowLastColumn="0" w:lastRowFirstColumn="0" w:lastRowLastColumn="0"/>
            <w:tcW w:w="1167" w:type="dxa"/>
            <w:hideMark/>
          </w:tcPr>
          <w:p w14:paraId="5DF25D89" w14:textId="77777777" w:rsidR="00332E45" w:rsidRPr="00AD36D6" w:rsidRDefault="00332E45" w:rsidP="00923467">
            <w:pPr>
              <w:rPr>
                <w:b w:val="0"/>
                <w:bCs w:val="0"/>
                <w:sz w:val="18"/>
                <w:szCs w:val="18"/>
              </w:rPr>
            </w:pPr>
            <w:r w:rsidRPr="00AD36D6">
              <w:rPr>
                <w:sz w:val="18"/>
                <w:szCs w:val="18"/>
              </w:rPr>
              <w:t>July</w:t>
            </w:r>
          </w:p>
        </w:tc>
        <w:tc>
          <w:tcPr>
            <w:tcW w:w="834" w:type="dxa"/>
            <w:hideMark/>
          </w:tcPr>
          <w:p w14:paraId="35FB49EE"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936</w:t>
            </w:r>
          </w:p>
        </w:tc>
        <w:tc>
          <w:tcPr>
            <w:tcW w:w="814" w:type="dxa"/>
            <w:hideMark/>
          </w:tcPr>
          <w:p w14:paraId="045009C1"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567</w:t>
            </w:r>
          </w:p>
        </w:tc>
        <w:tc>
          <w:tcPr>
            <w:tcW w:w="1028" w:type="dxa"/>
            <w:hideMark/>
          </w:tcPr>
          <w:p w14:paraId="0D92DFDF"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1,503</w:t>
            </w:r>
          </w:p>
        </w:tc>
        <w:tc>
          <w:tcPr>
            <w:tcW w:w="940" w:type="dxa"/>
            <w:hideMark/>
          </w:tcPr>
          <w:p w14:paraId="56A32EAC"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1,471</w:t>
            </w:r>
          </w:p>
        </w:tc>
        <w:tc>
          <w:tcPr>
            <w:tcW w:w="934" w:type="dxa"/>
            <w:hideMark/>
          </w:tcPr>
          <w:p w14:paraId="4D427352"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41</w:t>
            </w:r>
          </w:p>
        </w:tc>
        <w:tc>
          <w:tcPr>
            <w:tcW w:w="933" w:type="dxa"/>
            <w:hideMark/>
          </w:tcPr>
          <w:p w14:paraId="094EEDC7"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1,512</w:t>
            </w:r>
          </w:p>
        </w:tc>
        <w:tc>
          <w:tcPr>
            <w:tcW w:w="1992" w:type="dxa"/>
            <w:hideMark/>
          </w:tcPr>
          <w:p w14:paraId="3404AEBB"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3,015</w:t>
            </w:r>
          </w:p>
        </w:tc>
      </w:tr>
      <w:tr w:rsidR="00AD36D6" w:rsidRPr="00923467" w14:paraId="4AEE76F2" w14:textId="77777777" w:rsidTr="00AD36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67" w:type="dxa"/>
            <w:hideMark/>
          </w:tcPr>
          <w:p w14:paraId="253DC143" w14:textId="77777777" w:rsidR="00332E45" w:rsidRPr="00AD36D6" w:rsidRDefault="00332E45" w:rsidP="00923467">
            <w:pPr>
              <w:rPr>
                <w:b w:val="0"/>
                <w:bCs w:val="0"/>
                <w:sz w:val="18"/>
                <w:szCs w:val="18"/>
              </w:rPr>
            </w:pPr>
            <w:r w:rsidRPr="00AD36D6">
              <w:rPr>
                <w:sz w:val="18"/>
                <w:szCs w:val="18"/>
              </w:rPr>
              <w:t>August</w:t>
            </w:r>
          </w:p>
        </w:tc>
        <w:tc>
          <w:tcPr>
            <w:tcW w:w="834" w:type="dxa"/>
            <w:hideMark/>
          </w:tcPr>
          <w:p w14:paraId="4D2BF8A3"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1,245</w:t>
            </w:r>
          </w:p>
        </w:tc>
        <w:tc>
          <w:tcPr>
            <w:tcW w:w="814" w:type="dxa"/>
            <w:hideMark/>
          </w:tcPr>
          <w:p w14:paraId="2AEE6221"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684</w:t>
            </w:r>
          </w:p>
        </w:tc>
        <w:tc>
          <w:tcPr>
            <w:tcW w:w="1028" w:type="dxa"/>
            <w:hideMark/>
          </w:tcPr>
          <w:p w14:paraId="16374875"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1,929</w:t>
            </w:r>
          </w:p>
        </w:tc>
        <w:tc>
          <w:tcPr>
            <w:tcW w:w="940" w:type="dxa"/>
            <w:hideMark/>
          </w:tcPr>
          <w:p w14:paraId="61E37A62"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1,501</w:t>
            </w:r>
          </w:p>
        </w:tc>
        <w:tc>
          <w:tcPr>
            <w:tcW w:w="934" w:type="dxa"/>
            <w:hideMark/>
          </w:tcPr>
          <w:p w14:paraId="6EDADF2F"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46</w:t>
            </w:r>
          </w:p>
        </w:tc>
        <w:tc>
          <w:tcPr>
            <w:tcW w:w="933" w:type="dxa"/>
            <w:hideMark/>
          </w:tcPr>
          <w:p w14:paraId="5DB10941"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1,547</w:t>
            </w:r>
          </w:p>
        </w:tc>
        <w:tc>
          <w:tcPr>
            <w:tcW w:w="1992" w:type="dxa"/>
            <w:hideMark/>
          </w:tcPr>
          <w:p w14:paraId="6BBCF421"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3,476</w:t>
            </w:r>
          </w:p>
        </w:tc>
      </w:tr>
      <w:tr w:rsidR="00AD36D6" w:rsidRPr="00923467" w14:paraId="3AA98BE5" w14:textId="77777777" w:rsidTr="00AD36D6">
        <w:trPr>
          <w:trHeight w:val="290"/>
        </w:trPr>
        <w:tc>
          <w:tcPr>
            <w:cnfStyle w:val="001000000000" w:firstRow="0" w:lastRow="0" w:firstColumn="1" w:lastColumn="0" w:oddVBand="0" w:evenVBand="0" w:oddHBand="0" w:evenHBand="0" w:firstRowFirstColumn="0" w:firstRowLastColumn="0" w:lastRowFirstColumn="0" w:lastRowLastColumn="0"/>
            <w:tcW w:w="1167" w:type="dxa"/>
            <w:hideMark/>
          </w:tcPr>
          <w:p w14:paraId="3955FD8D" w14:textId="77777777" w:rsidR="00332E45" w:rsidRPr="00AD36D6" w:rsidRDefault="00332E45" w:rsidP="00923467">
            <w:pPr>
              <w:rPr>
                <w:b w:val="0"/>
                <w:bCs w:val="0"/>
                <w:sz w:val="18"/>
                <w:szCs w:val="18"/>
              </w:rPr>
            </w:pPr>
            <w:r w:rsidRPr="00AD36D6">
              <w:rPr>
                <w:sz w:val="18"/>
                <w:szCs w:val="18"/>
              </w:rPr>
              <w:t>September</w:t>
            </w:r>
          </w:p>
        </w:tc>
        <w:tc>
          <w:tcPr>
            <w:tcW w:w="834" w:type="dxa"/>
            <w:hideMark/>
          </w:tcPr>
          <w:p w14:paraId="32ECE9AF"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1,548</w:t>
            </w:r>
          </w:p>
        </w:tc>
        <w:tc>
          <w:tcPr>
            <w:tcW w:w="814" w:type="dxa"/>
            <w:hideMark/>
          </w:tcPr>
          <w:p w14:paraId="45CDA1C9"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592</w:t>
            </w:r>
          </w:p>
        </w:tc>
        <w:tc>
          <w:tcPr>
            <w:tcW w:w="1028" w:type="dxa"/>
            <w:hideMark/>
          </w:tcPr>
          <w:p w14:paraId="7CC4733C"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2,140</w:t>
            </w:r>
          </w:p>
        </w:tc>
        <w:tc>
          <w:tcPr>
            <w:tcW w:w="940" w:type="dxa"/>
            <w:hideMark/>
          </w:tcPr>
          <w:p w14:paraId="1785AF1F"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1,728</w:t>
            </w:r>
          </w:p>
        </w:tc>
        <w:tc>
          <w:tcPr>
            <w:tcW w:w="934" w:type="dxa"/>
            <w:hideMark/>
          </w:tcPr>
          <w:p w14:paraId="7E9C0882"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76</w:t>
            </w:r>
          </w:p>
        </w:tc>
        <w:tc>
          <w:tcPr>
            <w:tcW w:w="933" w:type="dxa"/>
            <w:hideMark/>
          </w:tcPr>
          <w:p w14:paraId="42FF51AC"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1,804</w:t>
            </w:r>
          </w:p>
        </w:tc>
        <w:tc>
          <w:tcPr>
            <w:tcW w:w="1992" w:type="dxa"/>
            <w:hideMark/>
          </w:tcPr>
          <w:p w14:paraId="57ED036F"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3,944</w:t>
            </w:r>
          </w:p>
        </w:tc>
      </w:tr>
      <w:tr w:rsidR="00AD36D6" w:rsidRPr="00923467" w14:paraId="23E59421" w14:textId="77777777" w:rsidTr="00AD36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67" w:type="dxa"/>
            <w:hideMark/>
          </w:tcPr>
          <w:p w14:paraId="1568B07A" w14:textId="77777777" w:rsidR="00332E45" w:rsidRPr="00AD36D6" w:rsidRDefault="00332E45" w:rsidP="00923467">
            <w:pPr>
              <w:rPr>
                <w:b w:val="0"/>
                <w:bCs w:val="0"/>
                <w:sz w:val="18"/>
                <w:szCs w:val="18"/>
              </w:rPr>
            </w:pPr>
            <w:r w:rsidRPr="00AD36D6">
              <w:rPr>
                <w:sz w:val="18"/>
                <w:szCs w:val="18"/>
              </w:rPr>
              <w:t>October</w:t>
            </w:r>
          </w:p>
        </w:tc>
        <w:tc>
          <w:tcPr>
            <w:tcW w:w="834" w:type="dxa"/>
            <w:hideMark/>
          </w:tcPr>
          <w:p w14:paraId="6C46FB74"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1,294</w:t>
            </w:r>
          </w:p>
        </w:tc>
        <w:tc>
          <w:tcPr>
            <w:tcW w:w="814" w:type="dxa"/>
            <w:hideMark/>
          </w:tcPr>
          <w:p w14:paraId="7A2987C0"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625</w:t>
            </w:r>
          </w:p>
        </w:tc>
        <w:tc>
          <w:tcPr>
            <w:tcW w:w="1028" w:type="dxa"/>
            <w:hideMark/>
          </w:tcPr>
          <w:p w14:paraId="2649BF45"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1,919</w:t>
            </w:r>
          </w:p>
        </w:tc>
        <w:tc>
          <w:tcPr>
            <w:tcW w:w="940" w:type="dxa"/>
            <w:hideMark/>
          </w:tcPr>
          <w:p w14:paraId="763B90E8"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1,396</w:t>
            </w:r>
          </w:p>
        </w:tc>
        <w:tc>
          <w:tcPr>
            <w:tcW w:w="934" w:type="dxa"/>
            <w:hideMark/>
          </w:tcPr>
          <w:p w14:paraId="66330220"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82</w:t>
            </w:r>
          </w:p>
        </w:tc>
        <w:tc>
          <w:tcPr>
            <w:tcW w:w="933" w:type="dxa"/>
            <w:hideMark/>
          </w:tcPr>
          <w:p w14:paraId="4DE56A8E"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1,478</w:t>
            </w:r>
          </w:p>
        </w:tc>
        <w:tc>
          <w:tcPr>
            <w:tcW w:w="1992" w:type="dxa"/>
            <w:hideMark/>
          </w:tcPr>
          <w:p w14:paraId="753596C2"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3,397</w:t>
            </w:r>
          </w:p>
        </w:tc>
      </w:tr>
      <w:tr w:rsidR="00AD36D6" w:rsidRPr="00923467" w14:paraId="04F5CD2E" w14:textId="77777777" w:rsidTr="00AD36D6">
        <w:trPr>
          <w:trHeight w:val="290"/>
        </w:trPr>
        <w:tc>
          <w:tcPr>
            <w:cnfStyle w:val="001000000000" w:firstRow="0" w:lastRow="0" w:firstColumn="1" w:lastColumn="0" w:oddVBand="0" w:evenVBand="0" w:oddHBand="0" w:evenHBand="0" w:firstRowFirstColumn="0" w:firstRowLastColumn="0" w:lastRowFirstColumn="0" w:lastRowLastColumn="0"/>
            <w:tcW w:w="1167" w:type="dxa"/>
            <w:hideMark/>
          </w:tcPr>
          <w:p w14:paraId="39706F02" w14:textId="77777777" w:rsidR="00332E45" w:rsidRPr="00AD36D6" w:rsidRDefault="00332E45" w:rsidP="00923467">
            <w:pPr>
              <w:rPr>
                <w:b w:val="0"/>
                <w:bCs w:val="0"/>
                <w:sz w:val="18"/>
                <w:szCs w:val="18"/>
              </w:rPr>
            </w:pPr>
            <w:r w:rsidRPr="00AD36D6">
              <w:rPr>
                <w:sz w:val="18"/>
                <w:szCs w:val="18"/>
              </w:rPr>
              <w:t>November</w:t>
            </w:r>
          </w:p>
        </w:tc>
        <w:tc>
          <w:tcPr>
            <w:tcW w:w="834" w:type="dxa"/>
            <w:hideMark/>
          </w:tcPr>
          <w:p w14:paraId="295F8255"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1,431</w:t>
            </w:r>
          </w:p>
        </w:tc>
        <w:tc>
          <w:tcPr>
            <w:tcW w:w="814" w:type="dxa"/>
            <w:hideMark/>
          </w:tcPr>
          <w:p w14:paraId="5017D237"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608</w:t>
            </w:r>
          </w:p>
        </w:tc>
        <w:tc>
          <w:tcPr>
            <w:tcW w:w="1028" w:type="dxa"/>
            <w:hideMark/>
          </w:tcPr>
          <w:p w14:paraId="3CE871EE"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2,039</w:t>
            </w:r>
          </w:p>
        </w:tc>
        <w:tc>
          <w:tcPr>
            <w:tcW w:w="940" w:type="dxa"/>
            <w:hideMark/>
          </w:tcPr>
          <w:p w14:paraId="3C678B28"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1,844</w:t>
            </w:r>
          </w:p>
        </w:tc>
        <w:tc>
          <w:tcPr>
            <w:tcW w:w="934" w:type="dxa"/>
            <w:hideMark/>
          </w:tcPr>
          <w:p w14:paraId="6B52533F"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228</w:t>
            </w:r>
          </w:p>
        </w:tc>
        <w:tc>
          <w:tcPr>
            <w:tcW w:w="933" w:type="dxa"/>
            <w:hideMark/>
          </w:tcPr>
          <w:p w14:paraId="5050904C"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2,072</w:t>
            </w:r>
          </w:p>
        </w:tc>
        <w:tc>
          <w:tcPr>
            <w:tcW w:w="1992" w:type="dxa"/>
            <w:hideMark/>
          </w:tcPr>
          <w:p w14:paraId="3DBC898D"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4,111</w:t>
            </w:r>
          </w:p>
        </w:tc>
      </w:tr>
      <w:tr w:rsidR="00AD36D6" w:rsidRPr="00923467" w14:paraId="641A438E" w14:textId="77777777" w:rsidTr="00AD36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67" w:type="dxa"/>
            <w:hideMark/>
          </w:tcPr>
          <w:p w14:paraId="64CD00DA" w14:textId="77777777" w:rsidR="00332E45" w:rsidRPr="00AD36D6" w:rsidRDefault="00332E45" w:rsidP="00923467">
            <w:pPr>
              <w:rPr>
                <w:b w:val="0"/>
                <w:bCs w:val="0"/>
                <w:sz w:val="18"/>
                <w:szCs w:val="18"/>
              </w:rPr>
            </w:pPr>
            <w:r w:rsidRPr="00AD36D6">
              <w:rPr>
                <w:sz w:val="18"/>
                <w:szCs w:val="18"/>
              </w:rPr>
              <w:t>December</w:t>
            </w:r>
          </w:p>
        </w:tc>
        <w:tc>
          <w:tcPr>
            <w:tcW w:w="834" w:type="dxa"/>
            <w:hideMark/>
          </w:tcPr>
          <w:p w14:paraId="27A68C4E"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1,274</w:t>
            </w:r>
          </w:p>
        </w:tc>
        <w:tc>
          <w:tcPr>
            <w:tcW w:w="814" w:type="dxa"/>
            <w:hideMark/>
          </w:tcPr>
          <w:p w14:paraId="3B614F66"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478</w:t>
            </w:r>
          </w:p>
        </w:tc>
        <w:tc>
          <w:tcPr>
            <w:tcW w:w="1028" w:type="dxa"/>
            <w:hideMark/>
          </w:tcPr>
          <w:p w14:paraId="1F2FC556"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1,752</w:t>
            </w:r>
          </w:p>
        </w:tc>
        <w:tc>
          <w:tcPr>
            <w:tcW w:w="940" w:type="dxa"/>
            <w:hideMark/>
          </w:tcPr>
          <w:p w14:paraId="06B24073"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1,683</w:t>
            </w:r>
          </w:p>
        </w:tc>
        <w:tc>
          <w:tcPr>
            <w:tcW w:w="934" w:type="dxa"/>
            <w:hideMark/>
          </w:tcPr>
          <w:p w14:paraId="7F5F24D6"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165</w:t>
            </w:r>
          </w:p>
        </w:tc>
        <w:tc>
          <w:tcPr>
            <w:tcW w:w="933" w:type="dxa"/>
            <w:hideMark/>
          </w:tcPr>
          <w:p w14:paraId="00151444"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1,848</w:t>
            </w:r>
          </w:p>
        </w:tc>
        <w:tc>
          <w:tcPr>
            <w:tcW w:w="1992" w:type="dxa"/>
            <w:hideMark/>
          </w:tcPr>
          <w:p w14:paraId="43B7252F" w14:textId="77777777" w:rsidR="00332E45" w:rsidRPr="00AD36D6" w:rsidRDefault="00332E45"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3,600</w:t>
            </w:r>
          </w:p>
        </w:tc>
      </w:tr>
      <w:tr w:rsidR="00AD36D6" w:rsidRPr="00923467" w14:paraId="6D3BE6A9" w14:textId="77777777" w:rsidTr="00AD36D6">
        <w:trPr>
          <w:trHeight w:val="290"/>
        </w:trPr>
        <w:tc>
          <w:tcPr>
            <w:cnfStyle w:val="001000000000" w:firstRow="0" w:lastRow="0" w:firstColumn="1" w:lastColumn="0" w:oddVBand="0" w:evenVBand="0" w:oddHBand="0" w:evenHBand="0" w:firstRowFirstColumn="0" w:firstRowLastColumn="0" w:lastRowFirstColumn="0" w:lastRowLastColumn="0"/>
            <w:tcW w:w="1167" w:type="dxa"/>
            <w:hideMark/>
          </w:tcPr>
          <w:p w14:paraId="5E9E9100" w14:textId="77777777" w:rsidR="00332E45" w:rsidRPr="00AD36D6" w:rsidRDefault="00332E45" w:rsidP="00923467">
            <w:pPr>
              <w:rPr>
                <w:sz w:val="18"/>
                <w:szCs w:val="18"/>
              </w:rPr>
            </w:pPr>
            <w:r w:rsidRPr="00AD36D6">
              <w:rPr>
                <w:sz w:val="18"/>
                <w:szCs w:val="18"/>
              </w:rPr>
              <w:t>Total</w:t>
            </w:r>
          </w:p>
        </w:tc>
        <w:tc>
          <w:tcPr>
            <w:tcW w:w="834" w:type="dxa"/>
            <w:hideMark/>
          </w:tcPr>
          <w:p w14:paraId="042D94DB"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13,999</w:t>
            </w:r>
          </w:p>
        </w:tc>
        <w:tc>
          <w:tcPr>
            <w:tcW w:w="814" w:type="dxa"/>
            <w:hideMark/>
          </w:tcPr>
          <w:p w14:paraId="63B43F97"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9,961</w:t>
            </w:r>
          </w:p>
        </w:tc>
        <w:tc>
          <w:tcPr>
            <w:tcW w:w="1028" w:type="dxa"/>
            <w:hideMark/>
          </w:tcPr>
          <w:p w14:paraId="14F8803D"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23,960</w:t>
            </w:r>
          </w:p>
        </w:tc>
        <w:tc>
          <w:tcPr>
            <w:tcW w:w="940" w:type="dxa"/>
            <w:hideMark/>
          </w:tcPr>
          <w:p w14:paraId="1C5C6BB8"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18,214</w:t>
            </w:r>
          </w:p>
        </w:tc>
        <w:tc>
          <w:tcPr>
            <w:tcW w:w="934" w:type="dxa"/>
            <w:hideMark/>
          </w:tcPr>
          <w:p w14:paraId="209D373B"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4,634</w:t>
            </w:r>
          </w:p>
        </w:tc>
        <w:tc>
          <w:tcPr>
            <w:tcW w:w="933" w:type="dxa"/>
            <w:hideMark/>
          </w:tcPr>
          <w:p w14:paraId="4A5C8D8D"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22,848</w:t>
            </w:r>
          </w:p>
        </w:tc>
        <w:tc>
          <w:tcPr>
            <w:tcW w:w="1992" w:type="dxa"/>
            <w:hideMark/>
          </w:tcPr>
          <w:p w14:paraId="5BAF4020" w14:textId="77777777" w:rsidR="00332E45" w:rsidRPr="00AD36D6" w:rsidRDefault="00332E45"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46,808</w:t>
            </w:r>
          </w:p>
        </w:tc>
      </w:tr>
    </w:tbl>
    <w:p w14:paraId="195D68E0" w14:textId="5CF1E6EA" w:rsidR="00B04696" w:rsidRPr="00923467" w:rsidRDefault="00B04696" w:rsidP="00923467">
      <w:pPr>
        <w:pStyle w:val="Caption"/>
      </w:pPr>
      <w:bookmarkStart w:id="92" w:name="_Toc137831153"/>
      <w:r w:rsidRPr="00923467">
        <w:t xml:space="preserve">Table </w:t>
      </w:r>
      <w:r w:rsidRPr="00923467">
        <w:fldChar w:fldCharType="begin"/>
      </w:r>
      <w:r w:rsidRPr="00923467">
        <w:instrText xml:space="preserve"> SEQ Table \* ARABIC </w:instrText>
      </w:r>
      <w:r w:rsidRPr="00923467">
        <w:fldChar w:fldCharType="separate"/>
      </w:r>
      <w:r w:rsidR="00E12E6B">
        <w:rPr>
          <w:noProof/>
        </w:rPr>
        <w:t>24</w:t>
      </w:r>
      <w:r w:rsidRPr="00923467">
        <w:fldChar w:fldCharType="end"/>
      </w:r>
      <w:r w:rsidRPr="00923467">
        <w:t>: Scanned Containers by Size</w:t>
      </w:r>
      <w:bookmarkEnd w:id="92"/>
    </w:p>
    <w:p w14:paraId="0A8C25B6" w14:textId="7A61C1C2" w:rsidR="00AD36D6" w:rsidRDefault="008D0CFE" w:rsidP="00923467">
      <w:pPr>
        <w:rPr>
          <w:sz w:val="16"/>
          <w:szCs w:val="16"/>
        </w:rPr>
      </w:pPr>
      <w:r w:rsidRPr="00AD36D6">
        <w:rPr>
          <w:sz w:val="16"/>
          <w:szCs w:val="16"/>
        </w:rPr>
        <w:t>Source: CSD</w:t>
      </w:r>
    </w:p>
    <w:p w14:paraId="16F84D9A" w14:textId="77777777" w:rsidR="00AA0852" w:rsidRPr="00AA0852" w:rsidRDefault="00AA0852" w:rsidP="00923467"/>
    <w:p w14:paraId="4D37611F" w14:textId="0AE673D5" w:rsidR="001E6A8D" w:rsidRPr="00923467" w:rsidRDefault="001E6A8D" w:rsidP="00923467">
      <w:r w:rsidRPr="00923467">
        <w:t xml:space="preserve">Table </w:t>
      </w:r>
      <w:r w:rsidR="00CA1671" w:rsidRPr="00923467">
        <w:t xml:space="preserve">25 </w:t>
      </w:r>
      <w:r w:rsidRPr="00923467">
        <w:t xml:space="preserve">further shows the number of unsatisfactory reports from scanned containers and the amount raised as additional revenue by month. </w:t>
      </w:r>
      <w:r w:rsidR="000A5394" w:rsidRPr="00923467">
        <w:t xml:space="preserve">A total of 84 unsatisfactory scans were made with additional revenue amounting to </w:t>
      </w:r>
      <w:proofErr w:type="spellStart"/>
      <w:r w:rsidR="000A5394" w:rsidRPr="00923467">
        <w:t>NLe</w:t>
      </w:r>
      <w:proofErr w:type="spellEnd"/>
      <w:r w:rsidR="000A5394" w:rsidRPr="00923467">
        <w:t xml:space="preserve"> 188,972. </w:t>
      </w:r>
      <w:r w:rsidR="00E64F18" w:rsidRPr="00923467">
        <w:t>A</w:t>
      </w:r>
      <w:r w:rsidR="00F8279C" w:rsidRPr="00923467">
        <w:t>s</w:t>
      </w:r>
      <w:r w:rsidR="006E487D" w:rsidRPr="00923467">
        <w:t xml:space="preserve"> shown in the Table, a </w:t>
      </w:r>
      <w:r w:rsidR="00E64F18" w:rsidRPr="00923467">
        <w:t xml:space="preserve">total of 67 unsatisfactory scans were made on containers containing personal effects with a corresponding </w:t>
      </w:r>
      <w:proofErr w:type="spellStart"/>
      <w:r w:rsidR="00E64F18" w:rsidRPr="00923467">
        <w:t>NLe</w:t>
      </w:r>
      <w:proofErr w:type="spellEnd"/>
      <w:r w:rsidR="00E64F18" w:rsidRPr="00923467">
        <w:t xml:space="preserve"> 140,611 as additional revenue, and 17 on containers containing merchandise goods with a corresponding </w:t>
      </w:r>
      <w:proofErr w:type="spellStart"/>
      <w:r w:rsidR="00E64F18" w:rsidRPr="00923467">
        <w:t>NLe</w:t>
      </w:r>
      <w:proofErr w:type="spellEnd"/>
      <w:r w:rsidR="00E64F18" w:rsidRPr="00923467">
        <w:t xml:space="preserve"> 48,36</w:t>
      </w:r>
      <w:r w:rsidR="00452B4A" w:rsidRPr="00923467">
        <w:t>1</w:t>
      </w:r>
      <w:r w:rsidR="00E64F18" w:rsidRPr="00923467">
        <w:t xml:space="preserve"> as additional revenue. </w:t>
      </w:r>
    </w:p>
    <w:p w14:paraId="1CF739C2" w14:textId="77777777" w:rsidR="00AD36D6" w:rsidRPr="00923467" w:rsidRDefault="00AD36D6" w:rsidP="00923467"/>
    <w:tbl>
      <w:tblPr>
        <w:tblStyle w:val="GridTable4-Accent5"/>
        <w:tblW w:w="9214" w:type="dxa"/>
        <w:tblLayout w:type="fixed"/>
        <w:tblLook w:val="04A0" w:firstRow="1" w:lastRow="0" w:firstColumn="1" w:lastColumn="0" w:noHBand="0" w:noVBand="1"/>
      </w:tblPr>
      <w:tblGrid>
        <w:gridCol w:w="1555"/>
        <w:gridCol w:w="1701"/>
        <w:gridCol w:w="1417"/>
        <w:gridCol w:w="1701"/>
        <w:gridCol w:w="1418"/>
        <w:gridCol w:w="1422"/>
      </w:tblGrid>
      <w:tr w:rsidR="00767C8C" w:rsidRPr="00923467" w14:paraId="491C1970" w14:textId="77777777" w:rsidTr="00AD36D6">
        <w:trPr>
          <w:cnfStyle w:val="100000000000" w:firstRow="1" w:lastRow="0" w:firstColumn="0" w:lastColumn="0" w:oddVBand="0" w:evenVBand="0" w:oddHBand="0"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1555" w:type="dxa"/>
            <w:tcBorders>
              <w:top w:val="nil"/>
              <w:left w:val="nil"/>
              <w:bottom w:val="nil"/>
            </w:tcBorders>
            <w:hideMark/>
          </w:tcPr>
          <w:p w14:paraId="3F0E9933" w14:textId="77777777" w:rsidR="00767C8C" w:rsidRPr="00AD36D6" w:rsidRDefault="00767C8C" w:rsidP="00AD36D6">
            <w:pPr>
              <w:jc w:val="left"/>
              <w:rPr>
                <w:sz w:val="18"/>
                <w:szCs w:val="18"/>
              </w:rPr>
            </w:pPr>
          </w:p>
          <w:p w14:paraId="3BA8ED3C" w14:textId="2E8E922E" w:rsidR="00767C8C" w:rsidRPr="00AD36D6" w:rsidRDefault="00767C8C" w:rsidP="00AD36D6">
            <w:pPr>
              <w:jc w:val="left"/>
              <w:rPr>
                <w:sz w:val="18"/>
                <w:szCs w:val="18"/>
              </w:rPr>
            </w:pPr>
          </w:p>
        </w:tc>
        <w:tc>
          <w:tcPr>
            <w:tcW w:w="3118" w:type="dxa"/>
            <w:gridSpan w:val="2"/>
            <w:tcBorders>
              <w:top w:val="nil"/>
              <w:bottom w:val="nil"/>
            </w:tcBorders>
            <w:hideMark/>
          </w:tcPr>
          <w:p w14:paraId="5AA1F787" w14:textId="2D294FC6" w:rsidR="00767C8C" w:rsidRPr="00AD36D6" w:rsidRDefault="00AD36D6" w:rsidP="00AD36D6">
            <w:pPr>
              <w:jc w:val="center"/>
              <w:cnfStyle w:val="100000000000" w:firstRow="1" w:lastRow="0" w:firstColumn="0" w:lastColumn="0" w:oddVBand="0" w:evenVBand="0" w:oddHBand="0" w:evenHBand="0" w:firstRowFirstColumn="0" w:firstRowLastColumn="0" w:lastRowFirstColumn="0" w:lastRowLastColumn="0"/>
              <w:rPr>
                <w:sz w:val="18"/>
                <w:szCs w:val="18"/>
              </w:rPr>
            </w:pPr>
            <w:r w:rsidRPr="00AD36D6">
              <w:rPr>
                <w:sz w:val="18"/>
                <w:szCs w:val="18"/>
              </w:rPr>
              <w:t>Personal Effects</w:t>
            </w:r>
          </w:p>
        </w:tc>
        <w:tc>
          <w:tcPr>
            <w:tcW w:w="3119" w:type="dxa"/>
            <w:gridSpan w:val="2"/>
            <w:tcBorders>
              <w:top w:val="nil"/>
              <w:bottom w:val="nil"/>
            </w:tcBorders>
            <w:hideMark/>
          </w:tcPr>
          <w:p w14:paraId="12A1E2FE" w14:textId="2A17C90C" w:rsidR="00767C8C" w:rsidRPr="00AD36D6" w:rsidRDefault="00AD36D6" w:rsidP="00AD36D6">
            <w:pPr>
              <w:jc w:val="center"/>
              <w:cnfStyle w:val="100000000000" w:firstRow="1" w:lastRow="0" w:firstColumn="0" w:lastColumn="0" w:oddVBand="0" w:evenVBand="0" w:oddHBand="0" w:evenHBand="0" w:firstRowFirstColumn="0" w:firstRowLastColumn="0" w:lastRowFirstColumn="0" w:lastRowLastColumn="0"/>
              <w:rPr>
                <w:sz w:val="18"/>
                <w:szCs w:val="18"/>
              </w:rPr>
            </w:pPr>
            <w:r w:rsidRPr="00AD36D6">
              <w:rPr>
                <w:sz w:val="18"/>
                <w:szCs w:val="18"/>
              </w:rPr>
              <w:t>Merchandise</w:t>
            </w:r>
          </w:p>
        </w:tc>
        <w:tc>
          <w:tcPr>
            <w:tcW w:w="1422" w:type="dxa"/>
            <w:tcBorders>
              <w:top w:val="nil"/>
              <w:bottom w:val="nil"/>
              <w:right w:val="nil"/>
            </w:tcBorders>
            <w:hideMark/>
          </w:tcPr>
          <w:p w14:paraId="678DE1CB" w14:textId="3F16FC36" w:rsidR="00767C8C" w:rsidRPr="00AD36D6" w:rsidRDefault="00767C8C" w:rsidP="00AD36D6">
            <w:pPr>
              <w:jc w:val="left"/>
              <w:cnfStyle w:val="100000000000" w:firstRow="1" w:lastRow="0" w:firstColumn="0" w:lastColumn="0" w:oddVBand="0" w:evenVBand="0" w:oddHBand="0" w:evenHBand="0" w:firstRowFirstColumn="0" w:firstRowLastColumn="0" w:lastRowFirstColumn="0" w:lastRowLastColumn="0"/>
              <w:rPr>
                <w:b w:val="0"/>
                <w:bCs w:val="0"/>
                <w:sz w:val="18"/>
                <w:szCs w:val="18"/>
              </w:rPr>
            </w:pPr>
          </w:p>
        </w:tc>
      </w:tr>
      <w:tr w:rsidR="00AD36D6" w:rsidRPr="00923467" w14:paraId="3CB5B342" w14:textId="77777777" w:rsidTr="00AD36D6">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1555" w:type="dxa"/>
            <w:tcBorders>
              <w:top w:val="nil"/>
              <w:left w:val="nil"/>
              <w:bottom w:val="nil"/>
              <w:right w:val="nil"/>
            </w:tcBorders>
            <w:shd w:val="clear" w:color="auto" w:fill="5B9BD5" w:themeFill="accent5"/>
            <w:hideMark/>
          </w:tcPr>
          <w:p w14:paraId="5608BEB8" w14:textId="77777777" w:rsidR="00767C8C" w:rsidRPr="00AD36D6" w:rsidRDefault="00767C8C" w:rsidP="00AD36D6">
            <w:pPr>
              <w:jc w:val="center"/>
              <w:rPr>
                <w:b w:val="0"/>
                <w:bCs w:val="0"/>
                <w:color w:val="FFFFFF" w:themeColor="background1"/>
                <w:sz w:val="18"/>
                <w:szCs w:val="18"/>
              </w:rPr>
            </w:pPr>
          </w:p>
        </w:tc>
        <w:tc>
          <w:tcPr>
            <w:tcW w:w="1701" w:type="dxa"/>
            <w:tcBorders>
              <w:top w:val="nil"/>
              <w:left w:val="nil"/>
              <w:bottom w:val="nil"/>
              <w:right w:val="nil"/>
            </w:tcBorders>
            <w:shd w:val="clear" w:color="auto" w:fill="5B9BD5" w:themeFill="accent5"/>
            <w:hideMark/>
          </w:tcPr>
          <w:p w14:paraId="28897B4D" w14:textId="78CBEDFB" w:rsidR="00767C8C" w:rsidRPr="00AD36D6" w:rsidRDefault="00B04696" w:rsidP="00AD36D6">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D36D6">
              <w:rPr>
                <w:b/>
                <w:bCs/>
                <w:color w:val="FFFFFF" w:themeColor="background1"/>
                <w:sz w:val="18"/>
                <w:szCs w:val="18"/>
              </w:rPr>
              <w:t xml:space="preserve"># </w:t>
            </w:r>
            <w:r w:rsidR="00767C8C" w:rsidRPr="00AD36D6">
              <w:rPr>
                <w:b/>
                <w:bCs/>
                <w:color w:val="FFFFFF" w:themeColor="background1"/>
                <w:sz w:val="18"/>
                <w:szCs w:val="18"/>
              </w:rPr>
              <w:t>Unsatisfactory Report</w:t>
            </w:r>
            <w:r w:rsidRPr="00AD36D6">
              <w:rPr>
                <w:b/>
                <w:bCs/>
                <w:color w:val="FFFFFF" w:themeColor="background1"/>
                <w:sz w:val="18"/>
                <w:szCs w:val="18"/>
              </w:rPr>
              <w:t>s</w:t>
            </w:r>
          </w:p>
        </w:tc>
        <w:tc>
          <w:tcPr>
            <w:tcW w:w="1417" w:type="dxa"/>
            <w:tcBorders>
              <w:top w:val="nil"/>
              <w:left w:val="nil"/>
              <w:bottom w:val="nil"/>
              <w:right w:val="single" w:sz="4" w:space="0" w:color="FFFFFF" w:themeColor="background1"/>
            </w:tcBorders>
            <w:shd w:val="clear" w:color="auto" w:fill="5B9BD5" w:themeFill="accent5"/>
            <w:hideMark/>
          </w:tcPr>
          <w:p w14:paraId="3D4C0660" w14:textId="5D1464A3" w:rsidR="00767C8C" w:rsidRPr="00AD36D6" w:rsidRDefault="00767C8C" w:rsidP="00AD36D6">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D36D6">
              <w:rPr>
                <w:b/>
                <w:bCs/>
                <w:color w:val="FFFFFF" w:themeColor="background1"/>
                <w:sz w:val="18"/>
                <w:szCs w:val="18"/>
              </w:rPr>
              <w:t>Additional Revenue (A)</w:t>
            </w:r>
          </w:p>
        </w:tc>
        <w:tc>
          <w:tcPr>
            <w:tcW w:w="1701" w:type="dxa"/>
            <w:tcBorders>
              <w:top w:val="nil"/>
              <w:left w:val="single" w:sz="4" w:space="0" w:color="FFFFFF" w:themeColor="background1"/>
              <w:bottom w:val="nil"/>
              <w:right w:val="nil"/>
            </w:tcBorders>
            <w:shd w:val="clear" w:color="auto" w:fill="5B9BD5" w:themeFill="accent5"/>
            <w:hideMark/>
          </w:tcPr>
          <w:p w14:paraId="289D5CB4" w14:textId="4275C167" w:rsidR="00767C8C" w:rsidRPr="00AD36D6" w:rsidRDefault="00B04696" w:rsidP="00AD36D6">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D36D6">
              <w:rPr>
                <w:b/>
                <w:bCs/>
                <w:color w:val="FFFFFF" w:themeColor="background1"/>
                <w:sz w:val="18"/>
                <w:szCs w:val="18"/>
              </w:rPr>
              <w:t>#</w:t>
            </w:r>
            <w:r w:rsidR="00767C8C" w:rsidRPr="00AD36D6">
              <w:rPr>
                <w:b/>
                <w:bCs/>
                <w:color w:val="FFFFFF" w:themeColor="background1"/>
                <w:sz w:val="18"/>
                <w:szCs w:val="18"/>
              </w:rPr>
              <w:t xml:space="preserve"> Unsatisfactory Report</w:t>
            </w:r>
            <w:r w:rsidRPr="00AD36D6">
              <w:rPr>
                <w:b/>
                <w:bCs/>
                <w:color w:val="FFFFFF" w:themeColor="background1"/>
                <w:sz w:val="18"/>
                <w:szCs w:val="18"/>
              </w:rPr>
              <w:t>s</w:t>
            </w:r>
          </w:p>
        </w:tc>
        <w:tc>
          <w:tcPr>
            <w:tcW w:w="1418" w:type="dxa"/>
            <w:tcBorders>
              <w:top w:val="nil"/>
              <w:left w:val="nil"/>
              <w:bottom w:val="nil"/>
              <w:right w:val="single" w:sz="4" w:space="0" w:color="FFFFFF" w:themeColor="background1"/>
            </w:tcBorders>
            <w:shd w:val="clear" w:color="auto" w:fill="5B9BD5" w:themeFill="accent5"/>
            <w:hideMark/>
          </w:tcPr>
          <w:p w14:paraId="37FA3856" w14:textId="6E93F4E1" w:rsidR="00767C8C" w:rsidRPr="00AD36D6" w:rsidRDefault="00767C8C" w:rsidP="00AD36D6">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D36D6">
              <w:rPr>
                <w:b/>
                <w:bCs/>
                <w:color w:val="FFFFFF" w:themeColor="background1"/>
                <w:sz w:val="18"/>
                <w:szCs w:val="18"/>
              </w:rPr>
              <w:t>Additional Revenue (B)</w:t>
            </w:r>
          </w:p>
        </w:tc>
        <w:tc>
          <w:tcPr>
            <w:tcW w:w="1422" w:type="dxa"/>
            <w:tcBorders>
              <w:top w:val="nil"/>
              <w:left w:val="single" w:sz="4" w:space="0" w:color="FFFFFF" w:themeColor="background1"/>
            </w:tcBorders>
            <w:shd w:val="clear" w:color="auto" w:fill="5B9BD5" w:themeFill="accent5"/>
            <w:hideMark/>
          </w:tcPr>
          <w:p w14:paraId="15501802" w14:textId="3E3EF1F4" w:rsidR="00767C8C" w:rsidRPr="00AD36D6" w:rsidRDefault="00AD36D6" w:rsidP="00AD36D6">
            <w:pPr>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AD36D6">
              <w:rPr>
                <w:b/>
                <w:bCs/>
                <w:color w:val="FFFFFF" w:themeColor="background1"/>
                <w:sz w:val="18"/>
                <w:szCs w:val="18"/>
              </w:rPr>
              <w:t>Total (A+B)</w:t>
            </w:r>
          </w:p>
        </w:tc>
      </w:tr>
      <w:tr w:rsidR="00AD36D6" w:rsidRPr="00923467" w14:paraId="7CA5C0BE" w14:textId="77777777" w:rsidTr="00AD36D6">
        <w:trPr>
          <w:trHeight w:val="290"/>
        </w:trPr>
        <w:tc>
          <w:tcPr>
            <w:cnfStyle w:val="001000000000" w:firstRow="0" w:lastRow="0" w:firstColumn="1" w:lastColumn="0" w:oddVBand="0" w:evenVBand="0" w:oddHBand="0" w:evenHBand="0" w:firstRowFirstColumn="0" w:firstRowLastColumn="0" w:lastRowFirstColumn="0" w:lastRowLastColumn="0"/>
            <w:tcW w:w="1555" w:type="dxa"/>
            <w:tcBorders>
              <w:top w:val="nil"/>
            </w:tcBorders>
            <w:hideMark/>
          </w:tcPr>
          <w:p w14:paraId="21AABD1A" w14:textId="5EB3A768" w:rsidR="00307A36" w:rsidRPr="00AD36D6" w:rsidRDefault="00307A36" w:rsidP="00923467">
            <w:pPr>
              <w:rPr>
                <w:b w:val="0"/>
                <w:bCs w:val="0"/>
                <w:sz w:val="18"/>
                <w:szCs w:val="18"/>
              </w:rPr>
            </w:pPr>
            <w:r w:rsidRPr="00AD36D6">
              <w:rPr>
                <w:sz w:val="18"/>
                <w:szCs w:val="18"/>
              </w:rPr>
              <w:t>January</w:t>
            </w:r>
          </w:p>
        </w:tc>
        <w:tc>
          <w:tcPr>
            <w:tcW w:w="1701" w:type="dxa"/>
            <w:tcBorders>
              <w:top w:val="nil"/>
            </w:tcBorders>
            <w:hideMark/>
          </w:tcPr>
          <w:p w14:paraId="2E2544EB" w14:textId="4DFFFC36"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9</w:t>
            </w:r>
          </w:p>
        </w:tc>
        <w:tc>
          <w:tcPr>
            <w:tcW w:w="1417" w:type="dxa"/>
            <w:tcBorders>
              <w:top w:val="nil"/>
            </w:tcBorders>
            <w:hideMark/>
          </w:tcPr>
          <w:p w14:paraId="66D1C73B" w14:textId="4FD01D69"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17,576</w:t>
            </w:r>
          </w:p>
        </w:tc>
        <w:tc>
          <w:tcPr>
            <w:tcW w:w="1701" w:type="dxa"/>
            <w:tcBorders>
              <w:top w:val="nil"/>
            </w:tcBorders>
            <w:hideMark/>
          </w:tcPr>
          <w:p w14:paraId="18D516CD" w14:textId="291A51D6"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w:t>
            </w:r>
          </w:p>
        </w:tc>
        <w:tc>
          <w:tcPr>
            <w:tcW w:w="1418" w:type="dxa"/>
            <w:tcBorders>
              <w:top w:val="nil"/>
            </w:tcBorders>
            <w:hideMark/>
          </w:tcPr>
          <w:p w14:paraId="41D86D52" w14:textId="4599B726"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 xml:space="preserve"> - </w:t>
            </w:r>
          </w:p>
        </w:tc>
        <w:tc>
          <w:tcPr>
            <w:tcW w:w="1422" w:type="dxa"/>
            <w:hideMark/>
          </w:tcPr>
          <w:p w14:paraId="26E6BB22" w14:textId="5C94B682"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17,576</w:t>
            </w:r>
          </w:p>
        </w:tc>
      </w:tr>
      <w:tr w:rsidR="00AD36D6" w:rsidRPr="00923467" w14:paraId="0F0D6400" w14:textId="77777777" w:rsidTr="00AD36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hideMark/>
          </w:tcPr>
          <w:p w14:paraId="7DE03E78" w14:textId="5B876577" w:rsidR="00307A36" w:rsidRPr="00AD36D6" w:rsidRDefault="00307A36" w:rsidP="00923467">
            <w:pPr>
              <w:rPr>
                <w:b w:val="0"/>
                <w:bCs w:val="0"/>
                <w:sz w:val="18"/>
                <w:szCs w:val="18"/>
              </w:rPr>
            </w:pPr>
            <w:r w:rsidRPr="00AD36D6">
              <w:rPr>
                <w:sz w:val="18"/>
                <w:szCs w:val="18"/>
              </w:rPr>
              <w:t>February</w:t>
            </w:r>
          </w:p>
        </w:tc>
        <w:tc>
          <w:tcPr>
            <w:tcW w:w="1701" w:type="dxa"/>
            <w:hideMark/>
          </w:tcPr>
          <w:p w14:paraId="1EC96EC4" w14:textId="09E8C9B1"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c>
          <w:tcPr>
            <w:tcW w:w="1417" w:type="dxa"/>
            <w:hideMark/>
          </w:tcPr>
          <w:p w14:paraId="30AB21B5" w14:textId="5F99438F" w:rsidR="00307A36" w:rsidRPr="00AD36D6" w:rsidRDefault="009B33FD"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c>
          <w:tcPr>
            <w:tcW w:w="1701" w:type="dxa"/>
            <w:hideMark/>
          </w:tcPr>
          <w:p w14:paraId="3038E1B0" w14:textId="2B99DA19"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6</w:t>
            </w:r>
          </w:p>
        </w:tc>
        <w:tc>
          <w:tcPr>
            <w:tcW w:w="1418" w:type="dxa"/>
            <w:hideMark/>
          </w:tcPr>
          <w:p w14:paraId="1136FAFA" w14:textId="5B49B6A7"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41,336</w:t>
            </w:r>
          </w:p>
        </w:tc>
        <w:tc>
          <w:tcPr>
            <w:tcW w:w="1422" w:type="dxa"/>
            <w:hideMark/>
          </w:tcPr>
          <w:p w14:paraId="0546FABA" w14:textId="78F357CF"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41,336</w:t>
            </w:r>
          </w:p>
        </w:tc>
      </w:tr>
      <w:tr w:rsidR="00AD36D6" w:rsidRPr="00923467" w14:paraId="0F5CB678" w14:textId="77777777" w:rsidTr="00AD36D6">
        <w:trPr>
          <w:trHeight w:val="290"/>
        </w:trPr>
        <w:tc>
          <w:tcPr>
            <w:cnfStyle w:val="001000000000" w:firstRow="0" w:lastRow="0" w:firstColumn="1" w:lastColumn="0" w:oddVBand="0" w:evenVBand="0" w:oddHBand="0" w:evenHBand="0" w:firstRowFirstColumn="0" w:firstRowLastColumn="0" w:lastRowFirstColumn="0" w:lastRowLastColumn="0"/>
            <w:tcW w:w="1555" w:type="dxa"/>
            <w:hideMark/>
          </w:tcPr>
          <w:p w14:paraId="0FC210D8" w14:textId="3130E2A9" w:rsidR="00307A36" w:rsidRPr="00AD36D6" w:rsidRDefault="00307A36" w:rsidP="00923467">
            <w:pPr>
              <w:rPr>
                <w:b w:val="0"/>
                <w:bCs w:val="0"/>
                <w:sz w:val="18"/>
                <w:szCs w:val="18"/>
              </w:rPr>
            </w:pPr>
            <w:r w:rsidRPr="00AD36D6">
              <w:rPr>
                <w:sz w:val="18"/>
                <w:szCs w:val="18"/>
              </w:rPr>
              <w:t>March</w:t>
            </w:r>
          </w:p>
        </w:tc>
        <w:tc>
          <w:tcPr>
            <w:tcW w:w="1701" w:type="dxa"/>
            <w:hideMark/>
          </w:tcPr>
          <w:p w14:paraId="230CF4D4" w14:textId="0A89DC83"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13</w:t>
            </w:r>
          </w:p>
        </w:tc>
        <w:tc>
          <w:tcPr>
            <w:tcW w:w="1417" w:type="dxa"/>
            <w:hideMark/>
          </w:tcPr>
          <w:p w14:paraId="431931FF" w14:textId="75D386CD"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25,163</w:t>
            </w:r>
          </w:p>
        </w:tc>
        <w:tc>
          <w:tcPr>
            <w:tcW w:w="1701" w:type="dxa"/>
            <w:hideMark/>
          </w:tcPr>
          <w:p w14:paraId="389FDA54" w14:textId="1A8C585D"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w:t>
            </w:r>
          </w:p>
        </w:tc>
        <w:tc>
          <w:tcPr>
            <w:tcW w:w="1418" w:type="dxa"/>
            <w:hideMark/>
          </w:tcPr>
          <w:p w14:paraId="6787A86C" w14:textId="0772303F"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 xml:space="preserve"> - </w:t>
            </w:r>
          </w:p>
        </w:tc>
        <w:tc>
          <w:tcPr>
            <w:tcW w:w="1422" w:type="dxa"/>
            <w:hideMark/>
          </w:tcPr>
          <w:p w14:paraId="5A552441" w14:textId="302875E2"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25,163</w:t>
            </w:r>
          </w:p>
        </w:tc>
      </w:tr>
      <w:tr w:rsidR="00AD36D6" w:rsidRPr="00923467" w14:paraId="1D73559F" w14:textId="77777777" w:rsidTr="00AD36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hideMark/>
          </w:tcPr>
          <w:p w14:paraId="72D0DFCC" w14:textId="674C97B1" w:rsidR="00307A36" w:rsidRPr="00AD36D6" w:rsidRDefault="00307A36" w:rsidP="00923467">
            <w:pPr>
              <w:rPr>
                <w:b w:val="0"/>
                <w:bCs w:val="0"/>
                <w:sz w:val="18"/>
                <w:szCs w:val="18"/>
              </w:rPr>
            </w:pPr>
            <w:r w:rsidRPr="00AD36D6">
              <w:rPr>
                <w:sz w:val="18"/>
                <w:szCs w:val="18"/>
              </w:rPr>
              <w:t>April</w:t>
            </w:r>
          </w:p>
        </w:tc>
        <w:tc>
          <w:tcPr>
            <w:tcW w:w="1701" w:type="dxa"/>
            <w:hideMark/>
          </w:tcPr>
          <w:p w14:paraId="52269CE1" w14:textId="6158FFAA"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c>
          <w:tcPr>
            <w:tcW w:w="1417" w:type="dxa"/>
            <w:hideMark/>
          </w:tcPr>
          <w:p w14:paraId="2E5D42AD" w14:textId="0E3169FD"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c>
          <w:tcPr>
            <w:tcW w:w="1701" w:type="dxa"/>
            <w:hideMark/>
          </w:tcPr>
          <w:p w14:paraId="4AD39FA5" w14:textId="760342CC"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c>
          <w:tcPr>
            <w:tcW w:w="1418" w:type="dxa"/>
            <w:hideMark/>
          </w:tcPr>
          <w:p w14:paraId="33A04AA5" w14:textId="3F9F8DB6"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 xml:space="preserve"> - </w:t>
            </w:r>
          </w:p>
        </w:tc>
        <w:tc>
          <w:tcPr>
            <w:tcW w:w="1422" w:type="dxa"/>
            <w:hideMark/>
          </w:tcPr>
          <w:p w14:paraId="275C5D48" w14:textId="5CA4245E"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r>
      <w:tr w:rsidR="00AD36D6" w:rsidRPr="00923467" w14:paraId="4510E6D6" w14:textId="77777777" w:rsidTr="00AD36D6">
        <w:trPr>
          <w:trHeight w:val="290"/>
        </w:trPr>
        <w:tc>
          <w:tcPr>
            <w:cnfStyle w:val="001000000000" w:firstRow="0" w:lastRow="0" w:firstColumn="1" w:lastColumn="0" w:oddVBand="0" w:evenVBand="0" w:oddHBand="0" w:evenHBand="0" w:firstRowFirstColumn="0" w:firstRowLastColumn="0" w:lastRowFirstColumn="0" w:lastRowLastColumn="0"/>
            <w:tcW w:w="1555" w:type="dxa"/>
            <w:hideMark/>
          </w:tcPr>
          <w:p w14:paraId="6CA86CA8" w14:textId="26060326" w:rsidR="00307A36" w:rsidRPr="00AD36D6" w:rsidRDefault="00307A36" w:rsidP="00923467">
            <w:pPr>
              <w:rPr>
                <w:b w:val="0"/>
                <w:bCs w:val="0"/>
                <w:sz w:val="18"/>
                <w:szCs w:val="18"/>
              </w:rPr>
            </w:pPr>
            <w:r w:rsidRPr="00AD36D6">
              <w:rPr>
                <w:sz w:val="18"/>
                <w:szCs w:val="18"/>
              </w:rPr>
              <w:t>May</w:t>
            </w:r>
          </w:p>
        </w:tc>
        <w:tc>
          <w:tcPr>
            <w:tcW w:w="1701" w:type="dxa"/>
            <w:hideMark/>
          </w:tcPr>
          <w:p w14:paraId="145D5634" w14:textId="3E92E86C"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8</w:t>
            </w:r>
          </w:p>
        </w:tc>
        <w:tc>
          <w:tcPr>
            <w:tcW w:w="1417" w:type="dxa"/>
            <w:hideMark/>
          </w:tcPr>
          <w:p w14:paraId="5BC0D564" w14:textId="726419A4"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w:t>
            </w:r>
          </w:p>
        </w:tc>
        <w:tc>
          <w:tcPr>
            <w:tcW w:w="1701" w:type="dxa"/>
            <w:hideMark/>
          </w:tcPr>
          <w:p w14:paraId="0FC748A1" w14:textId="6800A5CD"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w:t>
            </w:r>
          </w:p>
        </w:tc>
        <w:tc>
          <w:tcPr>
            <w:tcW w:w="1418" w:type="dxa"/>
            <w:hideMark/>
          </w:tcPr>
          <w:p w14:paraId="6B3A0028" w14:textId="308C32FC"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 xml:space="preserve"> - </w:t>
            </w:r>
          </w:p>
        </w:tc>
        <w:tc>
          <w:tcPr>
            <w:tcW w:w="1422" w:type="dxa"/>
            <w:hideMark/>
          </w:tcPr>
          <w:p w14:paraId="2B24FD29" w14:textId="696B996F"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w:t>
            </w:r>
          </w:p>
        </w:tc>
      </w:tr>
      <w:tr w:rsidR="00AD36D6" w:rsidRPr="00923467" w14:paraId="311FD87E" w14:textId="77777777" w:rsidTr="00AD36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hideMark/>
          </w:tcPr>
          <w:p w14:paraId="34746A86" w14:textId="3787EA1D" w:rsidR="00307A36" w:rsidRPr="00AD36D6" w:rsidRDefault="00307A36" w:rsidP="00923467">
            <w:pPr>
              <w:rPr>
                <w:b w:val="0"/>
                <w:bCs w:val="0"/>
                <w:sz w:val="18"/>
                <w:szCs w:val="18"/>
              </w:rPr>
            </w:pPr>
            <w:r w:rsidRPr="00AD36D6">
              <w:rPr>
                <w:sz w:val="18"/>
                <w:szCs w:val="18"/>
              </w:rPr>
              <w:t>June</w:t>
            </w:r>
          </w:p>
        </w:tc>
        <w:tc>
          <w:tcPr>
            <w:tcW w:w="1701" w:type="dxa"/>
            <w:hideMark/>
          </w:tcPr>
          <w:p w14:paraId="712754CB" w14:textId="32DD7BB4"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c>
          <w:tcPr>
            <w:tcW w:w="1417" w:type="dxa"/>
            <w:hideMark/>
          </w:tcPr>
          <w:p w14:paraId="0CECDFD8" w14:textId="1B90D7BA"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c>
          <w:tcPr>
            <w:tcW w:w="1701" w:type="dxa"/>
            <w:hideMark/>
          </w:tcPr>
          <w:p w14:paraId="76540AC0" w14:textId="7E2B3055"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11</w:t>
            </w:r>
          </w:p>
        </w:tc>
        <w:tc>
          <w:tcPr>
            <w:tcW w:w="1418" w:type="dxa"/>
            <w:hideMark/>
          </w:tcPr>
          <w:p w14:paraId="112D6B2D" w14:textId="09C479E0"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7,024</w:t>
            </w:r>
          </w:p>
        </w:tc>
        <w:tc>
          <w:tcPr>
            <w:tcW w:w="1422" w:type="dxa"/>
            <w:hideMark/>
          </w:tcPr>
          <w:p w14:paraId="167567E7" w14:textId="5B6C722E"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7,024</w:t>
            </w:r>
          </w:p>
        </w:tc>
      </w:tr>
      <w:tr w:rsidR="00AD36D6" w:rsidRPr="00923467" w14:paraId="5CB3CE81" w14:textId="77777777" w:rsidTr="00AD36D6">
        <w:trPr>
          <w:trHeight w:val="290"/>
        </w:trPr>
        <w:tc>
          <w:tcPr>
            <w:cnfStyle w:val="001000000000" w:firstRow="0" w:lastRow="0" w:firstColumn="1" w:lastColumn="0" w:oddVBand="0" w:evenVBand="0" w:oddHBand="0" w:evenHBand="0" w:firstRowFirstColumn="0" w:firstRowLastColumn="0" w:lastRowFirstColumn="0" w:lastRowLastColumn="0"/>
            <w:tcW w:w="1555" w:type="dxa"/>
            <w:hideMark/>
          </w:tcPr>
          <w:p w14:paraId="2DC12FDE" w14:textId="06952929" w:rsidR="00307A36" w:rsidRPr="00AD36D6" w:rsidRDefault="00307A36" w:rsidP="00923467">
            <w:pPr>
              <w:rPr>
                <w:b w:val="0"/>
                <w:bCs w:val="0"/>
                <w:sz w:val="18"/>
                <w:szCs w:val="18"/>
              </w:rPr>
            </w:pPr>
            <w:r w:rsidRPr="00AD36D6">
              <w:rPr>
                <w:sz w:val="18"/>
                <w:szCs w:val="18"/>
              </w:rPr>
              <w:t>July</w:t>
            </w:r>
          </w:p>
        </w:tc>
        <w:tc>
          <w:tcPr>
            <w:tcW w:w="1701" w:type="dxa"/>
            <w:hideMark/>
          </w:tcPr>
          <w:p w14:paraId="6756262C" w14:textId="49AB6E89"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1</w:t>
            </w:r>
          </w:p>
        </w:tc>
        <w:tc>
          <w:tcPr>
            <w:tcW w:w="1417" w:type="dxa"/>
            <w:hideMark/>
          </w:tcPr>
          <w:p w14:paraId="6F034D9C" w14:textId="654BA3E7"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90,424</w:t>
            </w:r>
          </w:p>
        </w:tc>
        <w:tc>
          <w:tcPr>
            <w:tcW w:w="1701" w:type="dxa"/>
            <w:hideMark/>
          </w:tcPr>
          <w:p w14:paraId="6CC53B87" w14:textId="04A3B074"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w:t>
            </w:r>
          </w:p>
        </w:tc>
        <w:tc>
          <w:tcPr>
            <w:tcW w:w="1418" w:type="dxa"/>
            <w:hideMark/>
          </w:tcPr>
          <w:p w14:paraId="65898C92" w14:textId="3940B499"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 xml:space="preserve"> - </w:t>
            </w:r>
          </w:p>
        </w:tc>
        <w:tc>
          <w:tcPr>
            <w:tcW w:w="1422" w:type="dxa"/>
            <w:hideMark/>
          </w:tcPr>
          <w:p w14:paraId="68E2B7D8" w14:textId="49E4D097"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90,424</w:t>
            </w:r>
          </w:p>
        </w:tc>
      </w:tr>
      <w:tr w:rsidR="00AD36D6" w:rsidRPr="00923467" w14:paraId="2A0F86EB" w14:textId="77777777" w:rsidTr="00AD36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hideMark/>
          </w:tcPr>
          <w:p w14:paraId="7906206C" w14:textId="34ACE79A" w:rsidR="00307A36" w:rsidRPr="00AD36D6" w:rsidRDefault="00307A36" w:rsidP="00923467">
            <w:pPr>
              <w:rPr>
                <w:b w:val="0"/>
                <w:bCs w:val="0"/>
                <w:sz w:val="18"/>
                <w:szCs w:val="18"/>
              </w:rPr>
            </w:pPr>
            <w:r w:rsidRPr="00AD36D6">
              <w:rPr>
                <w:sz w:val="18"/>
                <w:szCs w:val="18"/>
              </w:rPr>
              <w:t>August</w:t>
            </w:r>
          </w:p>
        </w:tc>
        <w:tc>
          <w:tcPr>
            <w:tcW w:w="1701" w:type="dxa"/>
            <w:hideMark/>
          </w:tcPr>
          <w:p w14:paraId="7B16CF35" w14:textId="5C7B218E"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c>
          <w:tcPr>
            <w:tcW w:w="1417" w:type="dxa"/>
            <w:hideMark/>
          </w:tcPr>
          <w:p w14:paraId="35182DC0" w14:textId="2BD1BD7E"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c>
          <w:tcPr>
            <w:tcW w:w="1701" w:type="dxa"/>
            <w:hideMark/>
          </w:tcPr>
          <w:p w14:paraId="7B9FDE36" w14:textId="6DF73477"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c>
          <w:tcPr>
            <w:tcW w:w="1418" w:type="dxa"/>
            <w:hideMark/>
          </w:tcPr>
          <w:p w14:paraId="3F1CB80D" w14:textId="2A290E94"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 xml:space="preserve"> - </w:t>
            </w:r>
          </w:p>
        </w:tc>
        <w:tc>
          <w:tcPr>
            <w:tcW w:w="1422" w:type="dxa"/>
            <w:hideMark/>
          </w:tcPr>
          <w:p w14:paraId="4BCD9D12" w14:textId="019421DC"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r>
      <w:tr w:rsidR="00AD36D6" w:rsidRPr="00923467" w14:paraId="3EFEFF34" w14:textId="77777777" w:rsidTr="00AD36D6">
        <w:trPr>
          <w:trHeight w:val="290"/>
        </w:trPr>
        <w:tc>
          <w:tcPr>
            <w:cnfStyle w:val="001000000000" w:firstRow="0" w:lastRow="0" w:firstColumn="1" w:lastColumn="0" w:oddVBand="0" w:evenVBand="0" w:oddHBand="0" w:evenHBand="0" w:firstRowFirstColumn="0" w:firstRowLastColumn="0" w:lastRowFirstColumn="0" w:lastRowLastColumn="0"/>
            <w:tcW w:w="1555" w:type="dxa"/>
            <w:hideMark/>
          </w:tcPr>
          <w:p w14:paraId="30B7B4DF" w14:textId="4BC7B462" w:rsidR="00307A36" w:rsidRPr="00AD36D6" w:rsidRDefault="00307A36" w:rsidP="00923467">
            <w:pPr>
              <w:rPr>
                <w:b w:val="0"/>
                <w:bCs w:val="0"/>
                <w:sz w:val="18"/>
                <w:szCs w:val="18"/>
              </w:rPr>
            </w:pPr>
            <w:r w:rsidRPr="00AD36D6">
              <w:rPr>
                <w:sz w:val="18"/>
                <w:szCs w:val="18"/>
              </w:rPr>
              <w:t>September</w:t>
            </w:r>
          </w:p>
        </w:tc>
        <w:tc>
          <w:tcPr>
            <w:tcW w:w="1701" w:type="dxa"/>
            <w:hideMark/>
          </w:tcPr>
          <w:p w14:paraId="12A29E24" w14:textId="7C443144"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6</w:t>
            </w:r>
          </w:p>
        </w:tc>
        <w:tc>
          <w:tcPr>
            <w:tcW w:w="1417" w:type="dxa"/>
            <w:hideMark/>
          </w:tcPr>
          <w:p w14:paraId="0399775D" w14:textId="5B38BD27"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7,448</w:t>
            </w:r>
          </w:p>
        </w:tc>
        <w:tc>
          <w:tcPr>
            <w:tcW w:w="1701" w:type="dxa"/>
            <w:hideMark/>
          </w:tcPr>
          <w:p w14:paraId="3184EBAD" w14:textId="3C7057E0"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w:t>
            </w:r>
          </w:p>
        </w:tc>
        <w:tc>
          <w:tcPr>
            <w:tcW w:w="1418" w:type="dxa"/>
            <w:hideMark/>
          </w:tcPr>
          <w:p w14:paraId="53520ADD" w14:textId="2A7A3237"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 xml:space="preserve"> - </w:t>
            </w:r>
          </w:p>
        </w:tc>
        <w:tc>
          <w:tcPr>
            <w:tcW w:w="1422" w:type="dxa"/>
            <w:hideMark/>
          </w:tcPr>
          <w:p w14:paraId="0D7790E9" w14:textId="727F826F"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7,448</w:t>
            </w:r>
          </w:p>
        </w:tc>
      </w:tr>
      <w:tr w:rsidR="00AD36D6" w:rsidRPr="00923467" w14:paraId="10CB496B" w14:textId="77777777" w:rsidTr="00AD36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hideMark/>
          </w:tcPr>
          <w:p w14:paraId="57914F72" w14:textId="58A57098" w:rsidR="00307A36" w:rsidRPr="00AD36D6" w:rsidRDefault="00307A36" w:rsidP="00923467">
            <w:pPr>
              <w:rPr>
                <w:b w:val="0"/>
                <w:bCs w:val="0"/>
                <w:sz w:val="18"/>
                <w:szCs w:val="18"/>
              </w:rPr>
            </w:pPr>
            <w:r w:rsidRPr="00AD36D6">
              <w:rPr>
                <w:sz w:val="18"/>
                <w:szCs w:val="18"/>
              </w:rPr>
              <w:t>October</w:t>
            </w:r>
          </w:p>
        </w:tc>
        <w:tc>
          <w:tcPr>
            <w:tcW w:w="1701" w:type="dxa"/>
            <w:hideMark/>
          </w:tcPr>
          <w:p w14:paraId="7CA1B548" w14:textId="5D988BCC"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8</w:t>
            </w:r>
          </w:p>
        </w:tc>
        <w:tc>
          <w:tcPr>
            <w:tcW w:w="1417" w:type="dxa"/>
            <w:hideMark/>
          </w:tcPr>
          <w:p w14:paraId="62B4886F" w14:textId="3EA74225"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c>
          <w:tcPr>
            <w:tcW w:w="1701" w:type="dxa"/>
            <w:hideMark/>
          </w:tcPr>
          <w:p w14:paraId="42E2FF23" w14:textId="163305F2"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c>
          <w:tcPr>
            <w:tcW w:w="1418" w:type="dxa"/>
            <w:hideMark/>
          </w:tcPr>
          <w:p w14:paraId="1962C260" w14:textId="13B71CDB"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 xml:space="preserve"> - </w:t>
            </w:r>
          </w:p>
        </w:tc>
        <w:tc>
          <w:tcPr>
            <w:tcW w:w="1422" w:type="dxa"/>
            <w:hideMark/>
          </w:tcPr>
          <w:p w14:paraId="7CC79C7C" w14:textId="4EB1AACE"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r>
      <w:tr w:rsidR="00AD36D6" w:rsidRPr="00923467" w14:paraId="4CB8387A" w14:textId="77777777" w:rsidTr="00AD36D6">
        <w:trPr>
          <w:trHeight w:val="290"/>
        </w:trPr>
        <w:tc>
          <w:tcPr>
            <w:cnfStyle w:val="001000000000" w:firstRow="0" w:lastRow="0" w:firstColumn="1" w:lastColumn="0" w:oddVBand="0" w:evenVBand="0" w:oddHBand="0" w:evenHBand="0" w:firstRowFirstColumn="0" w:firstRowLastColumn="0" w:lastRowFirstColumn="0" w:lastRowLastColumn="0"/>
            <w:tcW w:w="1555" w:type="dxa"/>
            <w:hideMark/>
          </w:tcPr>
          <w:p w14:paraId="61CC57D3" w14:textId="310809C3" w:rsidR="00307A36" w:rsidRPr="00AD36D6" w:rsidRDefault="00307A36" w:rsidP="00923467">
            <w:pPr>
              <w:rPr>
                <w:b w:val="0"/>
                <w:bCs w:val="0"/>
                <w:sz w:val="18"/>
                <w:szCs w:val="18"/>
              </w:rPr>
            </w:pPr>
            <w:r w:rsidRPr="00AD36D6">
              <w:rPr>
                <w:sz w:val="18"/>
                <w:szCs w:val="18"/>
              </w:rPr>
              <w:t>November</w:t>
            </w:r>
          </w:p>
        </w:tc>
        <w:tc>
          <w:tcPr>
            <w:tcW w:w="1701" w:type="dxa"/>
            <w:hideMark/>
          </w:tcPr>
          <w:p w14:paraId="77521E34" w14:textId="4438EF6A"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8</w:t>
            </w:r>
          </w:p>
        </w:tc>
        <w:tc>
          <w:tcPr>
            <w:tcW w:w="1417" w:type="dxa"/>
            <w:hideMark/>
          </w:tcPr>
          <w:p w14:paraId="245DA7F4" w14:textId="1FA7FCE4"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w:t>
            </w:r>
          </w:p>
        </w:tc>
        <w:tc>
          <w:tcPr>
            <w:tcW w:w="1701" w:type="dxa"/>
            <w:hideMark/>
          </w:tcPr>
          <w:p w14:paraId="3801073E" w14:textId="54C77B36"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w:t>
            </w:r>
          </w:p>
        </w:tc>
        <w:tc>
          <w:tcPr>
            <w:tcW w:w="1418" w:type="dxa"/>
            <w:hideMark/>
          </w:tcPr>
          <w:p w14:paraId="1A7FB9EE" w14:textId="2CDC8CEA"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 xml:space="preserve"> - </w:t>
            </w:r>
          </w:p>
        </w:tc>
        <w:tc>
          <w:tcPr>
            <w:tcW w:w="1422" w:type="dxa"/>
            <w:hideMark/>
          </w:tcPr>
          <w:p w14:paraId="310CA239" w14:textId="15566CDB"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w:t>
            </w:r>
          </w:p>
        </w:tc>
      </w:tr>
      <w:tr w:rsidR="00AD36D6" w:rsidRPr="00923467" w14:paraId="7264E31E" w14:textId="77777777" w:rsidTr="00AD36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hideMark/>
          </w:tcPr>
          <w:p w14:paraId="525B7D01" w14:textId="1B12803C" w:rsidR="00307A36" w:rsidRPr="00AD36D6" w:rsidRDefault="00307A36" w:rsidP="00923467">
            <w:pPr>
              <w:rPr>
                <w:b w:val="0"/>
                <w:bCs w:val="0"/>
                <w:sz w:val="18"/>
                <w:szCs w:val="18"/>
              </w:rPr>
            </w:pPr>
            <w:r w:rsidRPr="00AD36D6">
              <w:rPr>
                <w:sz w:val="18"/>
                <w:szCs w:val="18"/>
              </w:rPr>
              <w:t>December</w:t>
            </w:r>
          </w:p>
        </w:tc>
        <w:tc>
          <w:tcPr>
            <w:tcW w:w="1701" w:type="dxa"/>
            <w:hideMark/>
          </w:tcPr>
          <w:p w14:paraId="1AD783A8" w14:textId="61D1E693"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14</w:t>
            </w:r>
          </w:p>
        </w:tc>
        <w:tc>
          <w:tcPr>
            <w:tcW w:w="1417" w:type="dxa"/>
            <w:hideMark/>
          </w:tcPr>
          <w:p w14:paraId="58E273E9" w14:textId="0455DD18"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c>
          <w:tcPr>
            <w:tcW w:w="1701" w:type="dxa"/>
            <w:hideMark/>
          </w:tcPr>
          <w:p w14:paraId="02858E1C" w14:textId="0990B434"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w:t>
            </w:r>
          </w:p>
        </w:tc>
        <w:tc>
          <w:tcPr>
            <w:tcW w:w="1418" w:type="dxa"/>
            <w:hideMark/>
          </w:tcPr>
          <w:p w14:paraId="58A98131" w14:textId="1E80104F"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 xml:space="preserve"> - </w:t>
            </w:r>
          </w:p>
        </w:tc>
        <w:tc>
          <w:tcPr>
            <w:tcW w:w="1422" w:type="dxa"/>
            <w:hideMark/>
          </w:tcPr>
          <w:p w14:paraId="79CE1768" w14:textId="05F300BB" w:rsidR="00307A36" w:rsidRPr="00AD36D6" w:rsidRDefault="00307A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 xml:space="preserve">            -</w:t>
            </w:r>
          </w:p>
        </w:tc>
      </w:tr>
      <w:tr w:rsidR="00AD36D6" w:rsidRPr="00923467" w14:paraId="3CD18298" w14:textId="77777777" w:rsidTr="00AD36D6">
        <w:trPr>
          <w:trHeight w:val="422"/>
        </w:trPr>
        <w:tc>
          <w:tcPr>
            <w:cnfStyle w:val="001000000000" w:firstRow="0" w:lastRow="0" w:firstColumn="1" w:lastColumn="0" w:oddVBand="0" w:evenVBand="0" w:oddHBand="0" w:evenHBand="0" w:firstRowFirstColumn="0" w:firstRowLastColumn="0" w:lastRowFirstColumn="0" w:lastRowLastColumn="0"/>
            <w:tcW w:w="1555" w:type="dxa"/>
            <w:hideMark/>
          </w:tcPr>
          <w:p w14:paraId="2369FD4C" w14:textId="4054326E" w:rsidR="00307A36" w:rsidRPr="00AD36D6" w:rsidRDefault="00542064" w:rsidP="00923467">
            <w:pPr>
              <w:rPr>
                <w:sz w:val="18"/>
                <w:szCs w:val="18"/>
              </w:rPr>
            </w:pPr>
            <w:r w:rsidRPr="00AD36D6">
              <w:rPr>
                <w:sz w:val="18"/>
                <w:szCs w:val="18"/>
              </w:rPr>
              <w:t>Total</w:t>
            </w:r>
          </w:p>
        </w:tc>
        <w:tc>
          <w:tcPr>
            <w:tcW w:w="1701" w:type="dxa"/>
            <w:hideMark/>
          </w:tcPr>
          <w:p w14:paraId="342708C7" w14:textId="77777777"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67</w:t>
            </w:r>
          </w:p>
        </w:tc>
        <w:tc>
          <w:tcPr>
            <w:tcW w:w="1417" w:type="dxa"/>
            <w:hideMark/>
          </w:tcPr>
          <w:p w14:paraId="58888EA9" w14:textId="2F8EF245"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140,611</w:t>
            </w:r>
          </w:p>
        </w:tc>
        <w:tc>
          <w:tcPr>
            <w:tcW w:w="1701" w:type="dxa"/>
            <w:hideMark/>
          </w:tcPr>
          <w:p w14:paraId="09D5D778" w14:textId="77777777"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17</w:t>
            </w:r>
          </w:p>
        </w:tc>
        <w:tc>
          <w:tcPr>
            <w:tcW w:w="1418" w:type="dxa"/>
            <w:hideMark/>
          </w:tcPr>
          <w:p w14:paraId="6BB7C38C" w14:textId="4D68EE61"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48,361</w:t>
            </w:r>
          </w:p>
        </w:tc>
        <w:tc>
          <w:tcPr>
            <w:tcW w:w="1422" w:type="dxa"/>
            <w:hideMark/>
          </w:tcPr>
          <w:p w14:paraId="03D5D177" w14:textId="71562EB8" w:rsidR="00307A36" w:rsidRPr="00AD36D6" w:rsidRDefault="00307A36"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188,972</w:t>
            </w:r>
          </w:p>
        </w:tc>
      </w:tr>
    </w:tbl>
    <w:p w14:paraId="559AD7EF" w14:textId="2E6197F2" w:rsidR="00B04696" w:rsidRPr="00923467" w:rsidRDefault="00B04696" w:rsidP="00923467">
      <w:pPr>
        <w:pStyle w:val="Caption"/>
      </w:pPr>
      <w:bookmarkStart w:id="93" w:name="_Toc137831154"/>
      <w:r w:rsidRPr="00923467">
        <w:t xml:space="preserve">Table </w:t>
      </w:r>
      <w:r w:rsidRPr="00923467">
        <w:fldChar w:fldCharType="begin"/>
      </w:r>
      <w:r w:rsidRPr="00923467">
        <w:instrText xml:space="preserve"> SEQ Table \* ARABIC </w:instrText>
      </w:r>
      <w:r w:rsidRPr="00923467">
        <w:fldChar w:fldCharType="separate"/>
      </w:r>
      <w:r w:rsidR="00E12E6B">
        <w:rPr>
          <w:noProof/>
        </w:rPr>
        <w:t>25</w:t>
      </w:r>
      <w:r w:rsidRPr="00923467">
        <w:fldChar w:fldCharType="end"/>
      </w:r>
      <w:r w:rsidRPr="00923467">
        <w:t>: Additional Revenue Generated from Unsatisfactory Scanned Reports by Month, 2022</w:t>
      </w:r>
      <w:bookmarkEnd w:id="93"/>
    </w:p>
    <w:p w14:paraId="20E7B131" w14:textId="1FE5817A" w:rsidR="0056790D" w:rsidRPr="00AD36D6" w:rsidRDefault="00B26E63" w:rsidP="00923467">
      <w:pPr>
        <w:rPr>
          <w:sz w:val="16"/>
          <w:szCs w:val="16"/>
        </w:rPr>
      </w:pPr>
      <w:r w:rsidRPr="00AD36D6">
        <w:rPr>
          <w:sz w:val="16"/>
          <w:szCs w:val="16"/>
        </w:rPr>
        <w:t>Source: CSD</w:t>
      </w:r>
    </w:p>
    <w:p w14:paraId="2066318D" w14:textId="77777777" w:rsidR="00B04696" w:rsidRPr="00923467" w:rsidRDefault="00B04696" w:rsidP="00923467"/>
    <w:p w14:paraId="03EB1262" w14:textId="77777777" w:rsidR="00CA1671" w:rsidRDefault="00CA1671" w:rsidP="00923467"/>
    <w:p w14:paraId="629812DD" w14:textId="77777777" w:rsidR="0063149A" w:rsidRDefault="0063149A" w:rsidP="00923467"/>
    <w:p w14:paraId="6E442941" w14:textId="77777777" w:rsidR="0063149A" w:rsidRDefault="0063149A" w:rsidP="00923467"/>
    <w:p w14:paraId="52FAF34C" w14:textId="77777777" w:rsidR="0063149A" w:rsidRDefault="0063149A" w:rsidP="00923467"/>
    <w:p w14:paraId="68267CD7" w14:textId="77777777" w:rsidR="0063149A" w:rsidRDefault="0063149A" w:rsidP="00923467"/>
    <w:p w14:paraId="4249CEBF" w14:textId="77777777" w:rsidR="0063149A" w:rsidRDefault="0063149A" w:rsidP="00923467"/>
    <w:p w14:paraId="732832A4" w14:textId="77777777" w:rsidR="0063149A" w:rsidRDefault="0063149A" w:rsidP="00923467"/>
    <w:p w14:paraId="4F7EF82C" w14:textId="77777777" w:rsidR="0063149A" w:rsidRDefault="0063149A" w:rsidP="00923467"/>
    <w:p w14:paraId="63EE1F27" w14:textId="77777777" w:rsidR="0063149A" w:rsidRPr="00923467" w:rsidRDefault="0063149A" w:rsidP="00923467"/>
    <w:p w14:paraId="6D925127" w14:textId="209C7E1C" w:rsidR="00CA1671" w:rsidRPr="00923467" w:rsidRDefault="00287E97" w:rsidP="00AD36D6">
      <w:pPr>
        <w:pStyle w:val="Heading2"/>
      </w:pPr>
      <w:bookmarkStart w:id="94" w:name="_Toc137831112"/>
      <w:r w:rsidRPr="00923467">
        <w:t xml:space="preserve">DOMESTIC TAX </w:t>
      </w:r>
      <w:r w:rsidR="009C1515" w:rsidRPr="00923467">
        <w:t>COMPLIANCE</w:t>
      </w:r>
      <w:bookmarkEnd w:id="94"/>
      <w:r w:rsidR="009C1515" w:rsidRPr="00923467">
        <w:t xml:space="preserve"> </w:t>
      </w:r>
    </w:p>
    <w:p w14:paraId="3D557755" w14:textId="43361898" w:rsidR="00E16EDE" w:rsidRPr="00923467" w:rsidRDefault="00B04696" w:rsidP="00EF2D32">
      <w:pPr>
        <w:pStyle w:val="Heading3"/>
      </w:pPr>
      <w:bookmarkStart w:id="95" w:name="_Toc137831113"/>
      <w:r w:rsidRPr="00923467">
        <w:t>Taxpayer Registration</w:t>
      </w:r>
      <w:bookmarkEnd w:id="95"/>
      <w:r w:rsidRPr="00923467">
        <w:t xml:space="preserve"> </w:t>
      </w:r>
    </w:p>
    <w:p w14:paraId="18B9284F" w14:textId="7D48FF54" w:rsidR="002F5155" w:rsidRDefault="006D030D" w:rsidP="00923467">
      <w:r w:rsidRPr="00923467">
        <w:t xml:space="preserve">It is a prerequisite for taxpayers to register with the </w:t>
      </w:r>
      <w:r w:rsidR="005806A6" w:rsidRPr="00923467">
        <w:t>NRA</w:t>
      </w:r>
      <w:r w:rsidRPr="00923467">
        <w:t xml:space="preserve"> for tax purposes. Each taxpayer is given a unique number known as a Taxpayer Identification Number (TIN). </w:t>
      </w:r>
      <w:r w:rsidR="00272BA5" w:rsidRPr="00923467">
        <w:t>However, not all TIN</w:t>
      </w:r>
      <w:r w:rsidR="00CA1671" w:rsidRPr="00923467">
        <w:t>s</w:t>
      </w:r>
      <w:r w:rsidR="00272BA5" w:rsidRPr="00923467">
        <w:t xml:space="preserve"> issued </w:t>
      </w:r>
      <w:r w:rsidR="00CA1671" w:rsidRPr="00923467">
        <w:t>are</w:t>
      </w:r>
      <w:r w:rsidR="00272BA5" w:rsidRPr="00923467">
        <w:t xml:space="preserve"> for business registration. </w:t>
      </w:r>
      <w:r w:rsidRPr="00923467">
        <w:t>After the introduction of the ITAS</w:t>
      </w:r>
      <w:r w:rsidR="005864F2" w:rsidRPr="00923467">
        <w:t xml:space="preserve"> in March 2021</w:t>
      </w:r>
      <w:r w:rsidRPr="00923467">
        <w:t xml:space="preserve">, the previous </w:t>
      </w:r>
      <w:r w:rsidR="0063149A" w:rsidRPr="00923467">
        <w:t>9-digit</w:t>
      </w:r>
      <w:r w:rsidRPr="00923467">
        <w:t xml:space="preserve"> TIN</w:t>
      </w:r>
      <w:r w:rsidR="00CA1671" w:rsidRPr="00923467">
        <w:t>s</w:t>
      </w:r>
      <w:r w:rsidRPr="00923467">
        <w:t xml:space="preserve"> </w:t>
      </w:r>
      <w:r w:rsidR="00CA1671" w:rsidRPr="00923467">
        <w:t xml:space="preserve">were </w:t>
      </w:r>
      <w:r w:rsidRPr="00923467">
        <w:t xml:space="preserve">replaced by a </w:t>
      </w:r>
      <w:proofErr w:type="gramStart"/>
      <w:r w:rsidRPr="00923467">
        <w:t>10 digit</w:t>
      </w:r>
      <w:proofErr w:type="gramEnd"/>
      <w:r w:rsidRPr="00923467">
        <w:t xml:space="preserve"> number</w:t>
      </w:r>
      <w:r w:rsidR="0002409B" w:rsidRPr="00923467">
        <w:t xml:space="preserve">. </w:t>
      </w:r>
      <w:r w:rsidR="00BE2672" w:rsidRPr="00923467">
        <w:t>The total number of TIN</w:t>
      </w:r>
      <w:r w:rsidR="008330AA" w:rsidRPr="00923467">
        <w:t>s</w:t>
      </w:r>
      <w:r w:rsidR="00BE2672" w:rsidRPr="00923467">
        <w:t xml:space="preserve"> issued in the year under review was 21,410</w:t>
      </w:r>
      <w:r w:rsidR="005864F2" w:rsidRPr="00923467">
        <w:t xml:space="preserve">. </w:t>
      </w:r>
    </w:p>
    <w:p w14:paraId="4BC6EAE8" w14:textId="77777777" w:rsidR="00C37B58" w:rsidRPr="00923467" w:rsidRDefault="00C37B58" w:rsidP="00923467"/>
    <w:p w14:paraId="02C244C1" w14:textId="77777777" w:rsidR="0005120F" w:rsidRDefault="005864F2" w:rsidP="00923467">
      <w:r w:rsidRPr="00923467">
        <w:t>Table</w:t>
      </w:r>
      <w:r w:rsidR="00BE2672" w:rsidRPr="00923467">
        <w:t xml:space="preserve"> </w:t>
      </w:r>
      <w:r w:rsidR="00CA1671" w:rsidRPr="00923467">
        <w:t xml:space="preserve">26 </w:t>
      </w:r>
      <w:r w:rsidR="00BE2672" w:rsidRPr="00923467">
        <w:t>shows the number of TIN</w:t>
      </w:r>
      <w:r w:rsidR="008330AA" w:rsidRPr="00923467">
        <w:t>s</w:t>
      </w:r>
      <w:r w:rsidR="00BE2672" w:rsidRPr="00923467">
        <w:t xml:space="preserve"> issued </w:t>
      </w:r>
      <w:r w:rsidRPr="00923467">
        <w:t>by</w:t>
      </w:r>
      <w:r w:rsidR="00BE2672" w:rsidRPr="00923467">
        <w:t xml:space="preserve"> </w:t>
      </w:r>
      <w:r w:rsidRPr="00923467">
        <w:t xml:space="preserve">tax office. The Medium Taxpayers Office (MTO) in Freetown </w:t>
      </w:r>
      <w:r w:rsidR="00587D8E" w:rsidRPr="00923467">
        <w:t>issued</w:t>
      </w:r>
      <w:r w:rsidRPr="00923467">
        <w:t xml:space="preserve"> the highest number of TIN</w:t>
      </w:r>
      <w:r w:rsidR="008330AA" w:rsidRPr="00923467">
        <w:t>s</w:t>
      </w:r>
      <w:r w:rsidRPr="00923467">
        <w:t xml:space="preserve"> </w:t>
      </w:r>
      <w:r w:rsidR="00A93977" w:rsidRPr="00923467">
        <w:t xml:space="preserve">(with 7,087) </w:t>
      </w:r>
      <w:r w:rsidR="00587D8E" w:rsidRPr="00923467">
        <w:t>followed by DTD head office at WAMA building</w:t>
      </w:r>
      <w:r w:rsidR="00A93977" w:rsidRPr="00923467">
        <w:t xml:space="preserve"> (with 3,217)</w:t>
      </w:r>
      <w:r w:rsidR="00587D8E" w:rsidRPr="00923467">
        <w:t xml:space="preserve">, Freetown Central Office </w:t>
      </w:r>
      <w:r w:rsidR="00A93977" w:rsidRPr="00923467">
        <w:t xml:space="preserve">(with 2,366), </w:t>
      </w:r>
      <w:r w:rsidR="00587D8E" w:rsidRPr="00923467">
        <w:t>and then the CSD head office</w:t>
      </w:r>
      <w:r w:rsidR="00A93977" w:rsidRPr="00923467">
        <w:t xml:space="preserve"> (with 2,203)</w:t>
      </w:r>
      <w:r w:rsidR="00587D8E" w:rsidRPr="00923467">
        <w:t xml:space="preserve">. </w:t>
      </w:r>
      <w:r w:rsidR="005A6163" w:rsidRPr="00923467">
        <w:t>Most of the TIN</w:t>
      </w:r>
      <w:r w:rsidR="008330AA" w:rsidRPr="00923467">
        <w:t>s</w:t>
      </w:r>
      <w:r w:rsidR="005A6163" w:rsidRPr="00923467">
        <w:t xml:space="preserve"> issued by the CSD office </w:t>
      </w:r>
      <w:r w:rsidR="008330AA" w:rsidRPr="00923467">
        <w:t>are</w:t>
      </w:r>
      <w:r w:rsidR="005A6163" w:rsidRPr="00923467">
        <w:t xml:space="preserve"> for import and export purposes.</w:t>
      </w:r>
    </w:p>
    <w:p w14:paraId="60B6D74C" w14:textId="7B8A4692" w:rsidR="00245832" w:rsidRPr="00923467" w:rsidRDefault="005A6163" w:rsidP="00923467">
      <w:r w:rsidRPr="00923467">
        <w:t xml:space="preserve"> </w:t>
      </w:r>
      <w:r w:rsidR="005864F2" w:rsidRPr="00923467">
        <w:t xml:space="preserve"> </w:t>
      </w:r>
    </w:p>
    <w:tbl>
      <w:tblPr>
        <w:tblStyle w:val="GridTable4-Accent5"/>
        <w:tblW w:w="3823" w:type="dxa"/>
        <w:tblLook w:val="04A0" w:firstRow="1" w:lastRow="0" w:firstColumn="1" w:lastColumn="0" w:noHBand="0" w:noVBand="1"/>
      </w:tblPr>
      <w:tblGrid>
        <w:gridCol w:w="2689"/>
        <w:gridCol w:w="1134"/>
      </w:tblGrid>
      <w:tr w:rsidR="00E65D3F" w:rsidRPr="00923467" w14:paraId="274047B1" w14:textId="77777777" w:rsidTr="00AD36D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03342B63" w14:textId="77777777" w:rsidR="00E65D3F" w:rsidRPr="00AD36D6" w:rsidRDefault="00E65D3F" w:rsidP="00923467">
            <w:pPr>
              <w:rPr>
                <w:sz w:val="18"/>
                <w:szCs w:val="18"/>
              </w:rPr>
            </w:pPr>
            <w:r w:rsidRPr="00AD36D6">
              <w:rPr>
                <w:sz w:val="18"/>
                <w:szCs w:val="18"/>
              </w:rPr>
              <w:t>Tax Office</w:t>
            </w:r>
          </w:p>
        </w:tc>
        <w:tc>
          <w:tcPr>
            <w:tcW w:w="1134" w:type="dxa"/>
            <w:noWrap/>
            <w:hideMark/>
          </w:tcPr>
          <w:p w14:paraId="0371290B" w14:textId="0AA12FCC" w:rsidR="00E65D3F" w:rsidRPr="00AD36D6" w:rsidRDefault="00CA1671"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D36D6">
              <w:rPr>
                <w:sz w:val="18"/>
                <w:szCs w:val="18"/>
              </w:rPr>
              <w:t xml:space="preserve"># </w:t>
            </w:r>
            <w:r w:rsidR="00E65D3F" w:rsidRPr="00AD36D6">
              <w:rPr>
                <w:sz w:val="18"/>
                <w:szCs w:val="18"/>
              </w:rPr>
              <w:t>Issued</w:t>
            </w:r>
          </w:p>
        </w:tc>
      </w:tr>
      <w:tr w:rsidR="00E65D3F" w:rsidRPr="00923467" w14:paraId="00742BCC" w14:textId="77777777" w:rsidTr="00AD36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9B37A65" w14:textId="77777777" w:rsidR="00E65D3F" w:rsidRPr="00AD36D6" w:rsidRDefault="00E65D3F" w:rsidP="00923467">
            <w:pPr>
              <w:rPr>
                <w:b w:val="0"/>
                <w:bCs w:val="0"/>
                <w:sz w:val="18"/>
                <w:szCs w:val="18"/>
              </w:rPr>
            </w:pPr>
            <w:r w:rsidRPr="00AD36D6">
              <w:rPr>
                <w:b w:val="0"/>
                <w:bCs w:val="0"/>
                <w:sz w:val="18"/>
                <w:szCs w:val="18"/>
              </w:rPr>
              <w:t>Medium Taxpayers Office</w:t>
            </w:r>
          </w:p>
        </w:tc>
        <w:tc>
          <w:tcPr>
            <w:tcW w:w="1134" w:type="dxa"/>
            <w:noWrap/>
            <w:hideMark/>
          </w:tcPr>
          <w:p w14:paraId="056B4CF6" w14:textId="33854987" w:rsidR="00E65D3F" w:rsidRPr="00AD36D6" w:rsidRDefault="00E65D3F"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 xml:space="preserve">7,087 </w:t>
            </w:r>
          </w:p>
        </w:tc>
      </w:tr>
      <w:tr w:rsidR="00E65D3F" w:rsidRPr="00923467" w14:paraId="0356847B" w14:textId="77777777" w:rsidTr="00AD36D6">
        <w:trPr>
          <w:trHeight w:val="25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03C0EDF5" w14:textId="77777777" w:rsidR="00E65D3F" w:rsidRPr="00AD36D6" w:rsidRDefault="00E65D3F" w:rsidP="00923467">
            <w:pPr>
              <w:rPr>
                <w:b w:val="0"/>
                <w:bCs w:val="0"/>
                <w:sz w:val="18"/>
                <w:szCs w:val="18"/>
              </w:rPr>
            </w:pPr>
            <w:r w:rsidRPr="00AD36D6">
              <w:rPr>
                <w:b w:val="0"/>
                <w:bCs w:val="0"/>
                <w:sz w:val="18"/>
                <w:szCs w:val="18"/>
              </w:rPr>
              <w:t xml:space="preserve">WAMA Individual Taxpayer </w:t>
            </w:r>
          </w:p>
        </w:tc>
        <w:tc>
          <w:tcPr>
            <w:tcW w:w="1134" w:type="dxa"/>
            <w:noWrap/>
            <w:hideMark/>
          </w:tcPr>
          <w:p w14:paraId="1B757001" w14:textId="6C02690F" w:rsidR="00E65D3F" w:rsidRPr="00AD36D6" w:rsidRDefault="00E65D3F"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 xml:space="preserve">3,217 </w:t>
            </w:r>
          </w:p>
        </w:tc>
      </w:tr>
      <w:tr w:rsidR="00E65D3F" w:rsidRPr="00923467" w14:paraId="0A108570" w14:textId="77777777" w:rsidTr="00AD36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9251A05" w14:textId="77777777" w:rsidR="00E65D3F" w:rsidRPr="00AD36D6" w:rsidRDefault="00E65D3F" w:rsidP="00923467">
            <w:pPr>
              <w:rPr>
                <w:b w:val="0"/>
                <w:bCs w:val="0"/>
                <w:sz w:val="18"/>
                <w:szCs w:val="18"/>
              </w:rPr>
            </w:pPr>
            <w:r w:rsidRPr="00AD36D6">
              <w:rPr>
                <w:b w:val="0"/>
                <w:bCs w:val="0"/>
                <w:sz w:val="18"/>
                <w:szCs w:val="18"/>
              </w:rPr>
              <w:t>Freetown Central</w:t>
            </w:r>
          </w:p>
        </w:tc>
        <w:tc>
          <w:tcPr>
            <w:tcW w:w="1134" w:type="dxa"/>
            <w:noWrap/>
            <w:hideMark/>
          </w:tcPr>
          <w:p w14:paraId="0F63FDE9" w14:textId="70223970" w:rsidR="00E65D3F" w:rsidRPr="00AD36D6" w:rsidRDefault="00E65D3F"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 xml:space="preserve">2,366 </w:t>
            </w:r>
          </w:p>
        </w:tc>
      </w:tr>
      <w:tr w:rsidR="00E65D3F" w:rsidRPr="00923467" w14:paraId="3A680AAE" w14:textId="77777777" w:rsidTr="00AD36D6">
        <w:trPr>
          <w:trHeight w:val="25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36DBD4D8" w14:textId="77777777" w:rsidR="00E65D3F" w:rsidRPr="00AD36D6" w:rsidRDefault="00E65D3F" w:rsidP="00923467">
            <w:pPr>
              <w:rPr>
                <w:b w:val="0"/>
                <w:bCs w:val="0"/>
                <w:sz w:val="18"/>
                <w:szCs w:val="18"/>
              </w:rPr>
            </w:pPr>
            <w:r w:rsidRPr="00AD36D6">
              <w:rPr>
                <w:b w:val="0"/>
                <w:bCs w:val="0"/>
                <w:sz w:val="18"/>
                <w:szCs w:val="18"/>
              </w:rPr>
              <w:t>CSD Importers and Brokers</w:t>
            </w:r>
          </w:p>
        </w:tc>
        <w:tc>
          <w:tcPr>
            <w:tcW w:w="1134" w:type="dxa"/>
            <w:noWrap/>
            <w:hideMark/>
          </w:tcPr>
          <w:p w14:paraId="2A8138AD" w14:textId="7B7C71AF" w:rsidR="00E65D3F" w:rsidRPr="00AD36D6" w:rsidRDefault="00E65D3F"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 xml:space="preserve">2,203 </w:t>
            </w:r>
          </w:p>
        </w:tc>
      </w:tr>
      <w:tr w:rsidR="00E65D3F" w:rsidRPr="00923467" w14:paraId="6CA7AEE6" w14:textId="77777777" w:rsidTr="00AD36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46E9A24" w14:textId="77777777" w:rsidR="00E65D3F" w:rsidRPr="00AD36D6" w:rsidRDefault="00E65D3F" w:rsidP="00923467">
            <w:pPr>
              <w:rPr>
                <w:b w:val="0"/>
                <w:bCs w:val="0"/>
                <w:sz w:val="18"/>
                <w:szCs w:val="18"/>
              </w:rPr>
            </w:pPr>
            <w:r w:rsidRPr="00AD36D6">
              <w:rPr>
                <w:b w:val="0"/>
                <w:bCs w:val="0"/>
                <w:sz w:val="18"/>
                <w:szCs w:val="18"/>
              </w:rPr>
              <w:t>Freetown West</w:t>
            </w:r>
          </w:p>
        </w:tc>
        <w:tc>
          <w:tcPr>
            <w:tcW w:w="1134" w:type="dxa"/>
            <w:noWrap/>
            <w:hideMark/>
          </w:tcPr>
          <w:p w14:paraId="621C2441" w14:textId="774DB743" w:rsidR="00E65D3F" w:rsidRPr="00AD36D6" w:rsidRDefault="00E65D3F"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 xml:space="preserve">1,579 </w:t>
            </w:r>
          </w:p>
        </w:tc>
      </w:tr>
      <w:tr w:rsidR="00E65D3F" w:rsidRPr="00923467" w14:paraId="4BB89E44" w14:textId="77777777" w:rsidTr="00AD36D6">
        <w:trPr>
          <w:trHeight w:val="25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77ED8CDC" w14:textId="77777777" w:rsidR="00E65D3F" w:rsidRPr="00AD36D6" w:rsidRDefault="00E65D3F" w:rsidP="00923467">
            <w:pPr>
              <w:rPr>
                <w:b w:val="0"/>
                <w:bCs w:val="0"/>
                <w:sz w:val="18"/>
                <w:szCs w:val="18"/>
              </w:rPr>
            </w:pPr>
            <w:r w:rsidRPr="00AD36D6">
              <w:rPr>
                <w:b w:val="0"/>
                <w:bCs w:val="0"/>
                <w:sz w:val="18"/>
                <w:szCs w:val="18"/>
              </w:rPr>
              <w:t>Makeni Taxpayers Office</w:t>
            </w:r>
          </w:p>
        </w:tc>
        <w:tc>
          <w:tcPr>
            <w:tcW w:w="1134" w:type="dxa"/>
            <w:noWrap/>
            <w:hideMark/>
          </w:tcPr>
          <w:p w14:paraId="6F41D5EB" w14:textId="4B6831DD" w:rsidR="00E65D3F" w:rsidRPr="00AD36D6" w:rsidRDefault="00E65D3F"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 xml:space="preserve">1,364 </w:t>
            </w:r>
          </w:p>
        </w:tc>
      </w:tr>
      <w:tr w:rsidR="00E65D3F" w:rsidRPr="00923467" w14:paraId="161247C6" w14:textId="77777777" w:rsidTr="00AD36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049C8753" w14:textId="77777777" w:rsidR="00E65D3F" w:rsidRPr="00AD36D6" w:rsidRDefault="00E65D3F" w:rsidP="00923467">
            <w:pPr>
              <w:rPr>
                <w:b w:val="0"/>
                <w:bCs w:val="0"/>
                <w:sz w:val="18"/>
                <w:szCs w:val="18"/>
              </w:rPr>
            </w:pPr>
            <w:r w:rsidRPr="00AD36D6">
              <w:rPr>
                <w:b w:val="0"/>
                <w:bCs w:val="0"/>
                <w:sz w:val="18"/>
                <w:szCs w:val="18"/>
              </w:rPr>
              <w:t>Freetown East</w:t>
            </w:r>
          </w:p>
        </w:tc>
        <w:tc>
          <w:tcPr>
            <w:tcW w:w="1134" w:type="dxa"/>
            <w:noWrap/>
            <w:hideMark/>
          </w:tcPr>
          <w:p w14:paraId="04002EDB" w14:textId="770A608D" w:rsidR="00E65D3F" w:rsidRPr="00AD36D6" w:rsidRDefault="00E65D3F"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 xml:space="preserve">1,232 </w:t>
            </w:r>
          </w:p>
        </w:tc>
      </w:tr>
      <w:tr w:rsidR="00E65D3F" w:rsidRPr="00923467" w14:paraId="47BFAD3F" w14:textId="77777777" w:rsidTr="00AD36D6">
        <w:trPr>
          <w:trHeight w:val="25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565843F4" w14:textId="77777777" w:rsidR="00E65D3F" w:rsidRPr="00AD36D6" w:rsidRDefault="00E65D3F" w:rsidP="00923467">
            <w:pPr>
              <w:rPr>
                <w:b w:val="0"/>
                <w:bCs w:val="0"/>
                <w:sz w:val="18"/>
                <w:szCs w:val="18"/>
              </w:rPr>
            </w:pPr>
            <w:r w:rsidRPr="00AD36D6">
              <w:rPr>
                <w:b w:val="0"/>
                <w:bCs w:val="0"/>
                <w:sz w:val="18"/>
                <w:szCs w:val="18"/>
              </w:rPr>
              <w:t>Bo Taxpayers Office</w:t>
            </w:r>
          </w:p>
        </w:tc>
        <w:tc>
          <w:tcPr>
            <w:tcW w:w="1134" w:type="dxa"/>
            <w:noWrap/>
            <w:hideMark/>
          </w:tcPr>
          <w:p w14:paraId="1333DD5B" w14:textId="623A70E8" w:rsidR="00E65D3F" w:rsidRPr="00AD36D6" w:rsidRDefault="00E65D3F"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 xml:space="preserve">974 </w:t>
            </w:r>
          </w:p>
        </w:tc>
      </w:tr>
      <w:tr w:rsidR="00E65D3F" w:rsidRPr="00923467" w14:paraId="3706B662" w14:textId="77777777" w:rsidTr="00AD36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F6624C7" w14:textId="77777777" w:rsidR="00E65D3F" w:rsidRPr="00AD36D6" w:rsidRDefault="00E65D3F" w:rsidP="00923467">
            <w:pPr>
              <w:rPr>
                <w:b w:val="0"/>
                <w:bCs w:val="0"/>
                <w:sz w:val="18"/>
                <w:szCs w:val="18"/>
              </w:rPr>
            </w:pPr>
            <w:r w:rsidRPr="00AD36D6">
              <w:rPr>
                <w:b w:val="0"/>
                <w:bCs w:val="0"/>
                <w:sz w:val="18"/>
                <w:szCs w:val="18"/>
              </w:rPr>
              <w:t>Kenema Taxpayers Office</w:t>
            </w:r>
          </w:p>
        </w:tc>
        <w:tc>
          <w:tcPr>
            <w:tcW w:w="1134" w:type="dxa"/>
            <w:noWrap/>
            <w:hideMark/>
          </w:tcPr>
          <w:p w14:paraId="2C9DA66F" w14:textId="06255BAB" w:rsidR="00E65D3F" w:rsidRPr="00AD36D6" w:rsidRDefault="00E65D3F"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 xml:space="preserve">901 </w:t>
            </w:r>
          </w:p>
        </w:tc>
      </w:tr>
      <w:tr w:rsidR="00E65D3F" w:rsidRPr="00923467" w14:paraId="692B48E3" w14:textId="77777777" w:rsidTr="00AD36D6">
        <w:trPr>
          <w:trHeight w:val="25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78FA113" w14:textId="77777777" w:rsidR="00E65D3F" w:rsidRPr="00AD36D6" w:rsidRDefault="00E65D3F" w:rsidP="00923467">
            <w:pPr>
              <w:rPr>
                <w:b w:val="0"/>
                <w:bCs w:val="0"/>
                <w:sz w:val="18"/>
                <w:szCs w:val="18"/>
              </w:rPr>
            </w:pPr>
            <w:r w:rsidRPr="00AD36D6">
              <w:rPr>
                <w:b w:val="0"/>
                <w:bCs w:val="0"/>
                <w:sz w:val="18"/>
                <w:szCs w:val="18"/>
              </w:rPr>
              <w:t>Kono Taxpayers Office</w:t>
            </w:r>
          </w:p>
        </w:tc>
        <w:tc>
          <w:tcPr>
            <w:tcW w:w="1134" w:type="dxa"/>
            <w:noWrap/>
            <w:hideMark/>
          </w:tcPr>
          <w:p w14:paraId="7C2316B6" w14:textId="5F20BDFC" w:rsidR="00E65D3F" w:rsidRPr="00AD36D6" w:rsidRDefault="00E65D3F"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 xml:space="preserve">404 </w:t>
            </w:r>
          </w:p>
        </w:tc>
      </w:tr>
      <w:tr w:rsidR="00E65D3F" w:rsidRPr="00923467" w14:paraId="222ABD93" w14:textId="77777777" w:rsidTr="00AD36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3C982793" w14:textId="77777777" w:rsidR="00E65D3F" w:rsidRPr="00AD36D6" w:rsidRDefault="00E65D3F" w:rsidP="00923467">
            <w:pPr>
              <w:rPr>
                <w:b w:val="0"/>
                <w:bCs w:val="0"/>
                <w:sz w:val="18"/>
                <w:szCs w:val="18"/>
              </w:rPr>
            </w:pPr>
            <w:r w:rsidRPr="00AD36D6">
              <w:rPr>
                <w:b w:val="0"/>
                <w:bCs w:val="0"/>
                <w:sz w:val="18"/>
                <w:szCs w:val="18"/>
              </w:rPr>
              <w:t>Extractive Industry Revenue Unit</w:t>
            </w:r>
          </w:p>
        </w:tc>
        <w:tc>
          <w:tcPr>
            <w:tcW w:w="1134" w:type="dxa"/>
            <w:noWrap/>
            <w:hideMark/>
          </w:tcPr>
          <w:p w14:paraId="3432F697" w14:textId="51E52747" w:rsidR="00E65D3F" w:rsidRPr="00AD36D6" w:rsidRDefault="00E65D3F"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 xml:space="preserve">60 </w:t>
            </w:r>
          </w:p>
        </w:tc>
      </w:tr>
      <w:tr w:rsidR="00E65D3F" w:rsidRPr="00923467" w14:paraId="431B1DAD" w14:textId="77777777" w:rsidTr="00AD36D6">
        <w:trPr>
          <w:trHeight w:val="25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5CB76527" w14:textId="77777777" w:rsidR="00E65D3F" w:rsidRPr="00AD36D6" w:rsidRDefault="00E65D3F" w:rsidP="00923467">
            <w:pPr>
              <w:rPr>
                <w:b w:val="0"/>
                <w:bCs w:val="0"/>
                <w:sz w:val="18"/>
                <w:szCs w:val="18"/>
              </w:rPr>
            </w:pPr>
            <w:r w:rsidRPr="00AD36D6">
              <w:rPr>
                <w:b w:val="0"/>
                <w:bCs w:val="0"/>
                <w:sz w:val="18"/>
                <w:szCs w:val="18"/>
              </w:rPr>
              <w:t>Large Taxpayers Office</w:t>
            </w:r>
          </w:p>
        </w:tc>
        <w:tc>
          <w:tcPr>
            <w:tcW w:w="1134" w:type="dxa"/>
            <w:noWrap/>
            <w:hideMark/>
          </w:tcPr>
          <w:p w14:paraId="02B05E37" w14:textId="1CC111E7" w:rsidR="00E65D3F" w:rsidRPr="00AD36D6" w:rsidRDefault="00E65D3F"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 xml:space="preserve">23 </w:t>
            </w:r>
          </w:p>
        </w:tc>
      </w:tr>
      <w:tr w:rsidR="00E65D3F" w:rsidRPr="00923467" w14:paraId="1DD01E6B" w14:textId="77777777" w:rsidTr="00AD36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89" w:type="dxa"/>
            <w:noWrap/>
          </w:tcPr>
          <w:p w14:paraId="08F8C531" w14:textId="129FEFD9" w:rsidR="00E65D3F" w:rsidRPr="00AD36D6" w:rsidRDefault="00E65D3F" w:rsidP="00923467">
            <w:pPr>
              <w:rPr>
                <w:sz w:val="18"/>
                <w:szCs w:val="18"/>
              </w:rPr>
            </w:pPr>
            <w:r w:rsidRPr="00AD36D6">
              <w:rPr>
                <w:sz w:val="18"/>
                <w:szCs w:val="18"/>
              </w:rPr>
              <w:t>Total</w:t>
            </w:r>
          </w:p>
        </w:tc>
        <w:tc>
          <w:tcPr>
            <w:tcW w:w="1134" w:type="dxa"/>
            <w:noWrap/>
          </w:tcPr>
          <w:p w14:paraId="4AB1B095" w14:textId="35D89BFE" w:rsidR="00E65D3F" w:rsidRPr="00AD36D6" w:rsidRDefault="00E65D3F"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AD36D6">
              <w:rPr>
                <w:b/>
                <w:bCs/>
                <w:sz w:val="18"/>
                <w:szCs w:val="18"/>
              </w:rPr>
              <w:t xml:space="preserve">21,410   </w:t>
            </w:r>
          </w:p>
        </w:tc>
      </w:tr>
    </w:tbl>
    <w:p w14:paraId="36991994" w14:textId="2344112E" w:rsidR="00CA1671" w:rsidRPr="00923467" w:rsidRDefault="00CA1671" w:rsidP="00923467">
      <w:pPr>
        <w:pStyle w:val="Caption"/>
      </w:pPr>
      <w:bookmarkStart w:id="96" w:name="_Toc137831155"/>
      <w:r w:rsidRPr="00923467">
        <w:t xml:space="preserve">Table </w:t>
      </w:r>
      <w:r w:rsidRPr="00923467">
        <w:fldChar w:fldCharType="begin"/>
      </w:r>
      <w:r w:rsidRPr="00923467">
        <w:instrText xml:space="preserve"> SEQ Table \* ARABIC </w:instrText>
      </w:r>
      <w:r w:rsidRPr="00923467">
        <w:fldChar w:fldCharType="separate"/>
      </w:r>
      <w:r w:rsidR="00E12E6B">
        <w:rPr>
          <w:noProof/>
        </w:rPr>
        <w:t>26</w:t>
      </w:r>
      <w:r w:rsidRPr="00923467">
        <w:fldChar w:fldCharType="end"/>
      </w:r>
      <w:r w:rsidRPr="00923467">
        <w:t>: TINs Issued by Tax Office in 2022</w:t>
      </w:r>
      <w:bookmarkEnd w:id="96"/>
    </w:p>
    <w:p w14:paraId="08C9F8AE" w14:textId="5A78E940" w:rsidR="00A53C61" w:rsidRPr="00AD36D6" w:rsidRDefault="00A53C61" w:rsidP="00923467">
      <w:pPr>
        <w:rPr>
          <w:sz w:val="16"/>
          <w:szCs w:val="16"/>
        </w:rPr>
      </w:pPr>
      <w:r w:rsidRPr="00AD36D6">
        <w:rPr>
          <w:sz w:val="16"/>
          <w:szCs w:val="16"/>
        </w:rPr>
        <w:t>Source: ITAS</w:t>
      </w:r>
    </w:p>
    <w:p w14:paraId="6C46D3B8" w14:textId="77777777" w:rsidR="00CA1671" w:rsidRPr="00923467" w:rsidRDefault="00CA1671" w:rsidP="00923467"/>
    <w:p w14:paraId="098988CA" w14:textId="110939BB" w:rsidR="0074307F" w:rsidRPr="00923467" w:rsidRDefault="00103002" w:rsidP="00923467">
      <w:pPr>
        <w:rPr>
          <w:highlight w:val="yellow"/>
        </w:rPr>
      </w:pPr>
      <w:r w:rsidRPr="00923467">
        <w:t>The proportion of TIN</w:t>
      </w:r>
      <w:r w:rsidR="008330AA" w:rsidRPr="00923467">
        <w:t>s</w:t>
      </w:r>
      <w:r w:rsidRPr="00923467">
        <w:t xml:space="preserve"> issued to taxpayers by tax type is shown in Figure </w:t>
      </w:r>
      <w:r w:rsidR="00CA1671" w:rsidRPr="00923467">
        <w:t>10</w:t>
      </w:r>
      <w:r w:rsidRPr="00923467">
        <w:t>. Over half of the number of TIN</w:t>
      </w:r>
      <w:r w:rsidR="008330AA" w:rsidRPr="00923467">
        <w:t>s</w:t>
      </w:r>
      <w:r w:rsidRPr="00923467">
        <w:t xml:space="preserve"> was issued for the purpose of paying Personal Income Tax (PIT)</w:t>
      </w:r>
      <w:r w:rsidR="00372CBD" w:rsidRPr="00923467">
        <w:t>, while all the rest of the other tax types recorded less than 10% respectively of the TIN issued</w:t>
      </w:r>
      <w:r w:rsidR="001C1741" w:rsidRPr="00923467">
        <w:t xml:space="preserve">. </w:t>
      </w:r>
      <w:r w:rsidRPr="00923467">
        <w:t xml:space="preserve"> </w:t>
      </w:r>
    </w:p>
    <w:p w14:paraId="5A95D73A" w14:textId="77777777" w:rsidR="0074307F" w:rsidRPr="00923467" w:rsidRDefault="0074307F" w:rsidP="00923467">
      <w:pPr>
        <w:rPr>
          <w:highlight w:val="yellow"/>
        </w:rPr>
      </w:pPr>
    </w:p>
    <w:p w14:paraId="7F8D41FD" w14:textId="77777777" w:rsidR="00CA1671" w:rsidRPr="00923467" w:rsidRDefault="00FF6BC9" w:rsidP="00923467">
      <w:r w:rsidRPr="00923467">
        <w:rPr>
          <w:noProof/>
        </w:rPr>
        <w:drawing>
          <wp:inline distT="0" distB="0" distL="0" distR="0" wp14:anchorId="24939709" wp14:editId="71D46160">
            <wp:extent cx="4988459" cy="2847975"/>
            <wp:effectExtent l="0" t="0" r="15875" b="9525"/>
            <wp:docPr id="25" name="Chart 25">
              <a:extLst xmlns:a="http://schemas.openxmlformats.org/drawingml/2006/main">
                <a:ext uri="{FF2B5EF4-FFF2-40B4-BE49-F238E27FC236}">
                  <a16:creationId xmlns:a16="http://schemas.microsoft.com/office/drawing/2014/main" id="{3E3B6985-58FE-F619-ADD2-AAE56A72ED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B11C33" w14:textId="6E74121E" w:rsidR="00FF6BC9" w:rsidRPr="00923467" w:rsidRDefault="00CA1671" w:rsidP="00923467">
      <w:pPr>
        <w:pStyle w:val="Caption"/>
        <w:rPr>
          <w:b/>
          <w:bCs/>
          <w:sz w:val="24"/>
          <w:szCs w:val="24"/>
        </w:rPr>
      </w:pPr>
      <w:bookmarkStart w:id="97" w:name="_Toc137831173"/>
      <w:r w:rsidRPr="00923467">
        <w:t xml:space="preserve">Figure </w:t>
      </w:r>
      <w:r w:rsidRPr="00923467">
        <w:fldChar w:fldCharType="begin"/>
      </w:r>
      <w:r w:rsidRPr="00923467">
        <w:instrText xml:space="preserve"> SEQ Figure \* ARABIC </w:instrText>
      </w:r>
      <w:r w:rsidRPr="00923467">
        <w:fldChar w:fldCharType="separate"/>
      </w:r>
      <w:r w:rsidR="00E12E6B">
        <w:rPr>
          <w:noProof/>
        </w:rPr>
        <w:t>10</w:t>
      </w:r>
      <w:r w:rsidRPr="00923467">
        <w:fldChar w:fldCharType="end"/>
      </w:r>
      <w:r w:rsidRPr="00923467">
        <w:t>: TINs Issued by Tax Type</w:t>
      </w:r>
      <w:bookmarkEnd w:id="97"/>
    </w:p>
    <w:p w14:paraId="1A6B8763" w14:textId="7CC83EDF" w:rsidR="00757E42" w:rsidRPr="00AD36D6" w:rsidRDefault="00757E42" w:rsidP="00923467">
      <w:pPr>
        <w:rPr>
          <w:sz w:val="16"/>
          <w:szCs w:val="16"/>
        </w:rPr>
      </w:pPr>
      <w:r w:rsidRPr="00AD36D6">
        <w:rPr>
          <w:sz w:val="16"/>
          <w:szCs w:val="16"/>
        </w:rPr>
        <w:t>Source: ITAS</w:t>
      </w:r>
    </w:p>
    <w:p w14:paraId="046BF614" w14:textId="77777777" w:rsidR="00CA1671" w:rsidRPr="00923467" w:rsidRDefault="00CA1671" w:rsidP="00923467"/>
    <w:p w14:paraId="643B88D6" w14:textId="7600BFA4" w:rsidR="00675746" w:rsidRDefault="00021EF0" w:rsidP="00923467">
      <w:r w:rsidRPr="00923467">
        <w:t xml:space="preserve">Figure </w:t>
      </w:r>
      <w:r w:rsidR="00CA1671" w:rsidRPr="00923467">
        <w:t xml:space="preserve">11 </w:t>
      </w:r>
      <w:r w:rsidRPr="00923467">
        <w:t>displays the share of TIN</w:t>
      </w:r>
      <w:r w:rsidR="008330AA" w:rsidRPr="00923467">
        <w:t>s</w:t>
      </w:r>
      <w:r w:rsidRPr="00923467">
        <w:t xml:space="preserve"> issued </w:t>
      </w:r>
      <w:r w:rsidR="00633903" w:rsidRPr="00923467">
        <w:t>by</w:t>
      </w:r>
      <w:r w:rsidRPr="00923467">
        <w:t xml:space="preserve"> TIN application</w:t>
      </w:r>
      <w:r w:rsidR="00633903" w:rsidRPr="00923467">
        <w:t xml:space="preserve"> purpose</w:t>
      </w:r>
      <w:r w:rsidRPr="00923467">
        <w:t xml:space="preserve">. </w:t>
      </w:r>
      <w:r w:rsidR="006A2AD8" w:rsidRPr="00923467">
        <w:t>As could be seen, more than half of the TIN</w:t>
      </w:r>
      <w:r w:rsidR="008330AA" w:rsidRPr="00923467">
        <w:t>s</w:t>
      </w:r>
      <w:r w:rsidR="006A2AD8" w:rsidRPr="00923467">
        <w:t xml:space="preserve"> </w:t>
      </w:r>
      <w:r w:rsidR="008330AA" w:rsidRPr="00923467">
        <w:t xml:space="preserve">were </w:t>
      </w:r>
      <w:r w:rsidR="006A2AD8" w:rsidRPr="00923467">
        <w:t xml:space="preserve">issued for the purpose of business/trading. </w:t>
      </w:r>
    </w:p>
    <w:p w14:paraId="29D55A1C" w14:textId="77777777" w:rsidR="00AD36D6" w:rsidRPr="00923467" w:rsidRDefault="00AD36D6" w:rsidP="00923467"/>
    <w:p w14:paraId="1A436E8D" w14:textId="77777777" w:rsidR="00CA1671" w:rsidRPr="00923467" w:rsidRDefault="00C4472B" w:rsidP="00923467">
      <w:r w:rsidRPr="00923467">
        <w:rPr>
          <w:noProof/>
        </w:rPr>
        <w:drawing>
          <wp:inline distT="0" distB="0" distL="0" distR="0" wp14:anchorId="6E7C3BA6" wp14:editId="0A85DC3F">
            <wp:extent cx="4916032" cy="2797175"/>
            <wp:effectExtent l="0" t="0" r="12065" b="9525"/>
            <wp:docPr id="26" name="Chart 26">
              <a:extLst xmlns:a="http://schemas.openxmlformats.org/drawingml/2006/main">
                <a:ext uri="{FF2B5EF4-FFF2-40B4-BE49-F238E27FC236}">
                  <a16:creationId xmlns:a16="http://schemas.microsoft.com/office/drawing/2014/main" id="{5CD2A03C-BA23-3B89-7920-8D6F67DCE8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E751680" w14:textId="0B1F8CCE" w:rsidR="009A3529" w:rsidRPr="00923467" w:rsidRDefault="00CA1671" w:rsidP="00923467">
      <w:pPr>
        <w:pStyle w:val="Caption"/>
        <w:rPr>
          <w:b/>
          <w:bCs/>
          <w:sz w:val="24"/>
          <w:szCs w:val="24"/>
        </w:rPr>
      </w:pPr>
      <w:bookmarkStart w:id="98" w:name="_Toc137831174"/>
      <w:r w:rsidRPr="00923467">
        <w:t xml:space="preserve">Figure </w:t>
      </w:r>
      <w:r w:rsidRPr="00923467">
        <w:fldChar w:fldCharType="begin"/>
      </w:r>
      <w:r w:rsidRPr="00923467">
        <w:instrText xml:space="preserve"> SEQ Figure \* ARABIC </w:instrText>
      </w:r>
      <w:r w:rsidRPr="00923467">
        <w:fldChar w:fldCharType="separate"/>
      </w:r>
      <w:r w:rsidR="00E12E6B">
        <w:rPr>
          <w:noProof/>
        </w:rPr>
        <w:t>11</w:t>
      </w:r>
      <w:r w:rsidRPr="00923467">
        <w:fldChar w:fldCharType="end"/>
      </w:r>
      <w:r w:rsidRPr="00923467">
        <w:t>: TINs Issued by Purpose</w:t>
      </w:r>
      <w:bookmarkEnd w:id="98"/>
    </w:p>
    <w:p w14:paraId="6B991B55" w14:textId="7B2FE182" w:rsidR="00A53C61" w:rsidRPr="00AD36D6" w:rsidRDefault="00A53C61" w:rsidP="00923467">
      <w:pPr>
        <w:rPr>
          <w:sz w:val="16"/>
          <w:szCs w:val="16"/>
        </w:rPr>
      </w:pPr>
      <w:r w:rsidRPr="00AD36D6">
        <w:rPr>
          <w:sz w:val="16"/>
          <w:szCs w:val="16"/>
        </w:rPr>
        <w:t>Source: ITAS</w:t>
      </w:r>
    </w:p>
    <w:p w14:paraId="19E774F3" w14:textId="77777777" w:rsidR="00CA1671" w:rsidRPr="00923467" w:rsidRDefault="00CA1671" w:rsidP="00923467"/>
    <w:p w14:paraId="4270A36B" w14:textId="77777777" w:rsidR="0063149A" w:rsidRDefault="0063149A" w:rsidP="00EF2D32">
      <w:pPr>
        <w:pStyle w:val="Heading3"/>
      </w:pPr>
      <w:bookmarkStart w:id="99" w:name="_Toc137831114"/>
    </w:p>
    <w:p w14:paraId="2FE7968C" w14:textId="77777777" w:rsidR="0063149A" w:rsidRDefault="0063149A" w:rsidP="00EF2D32">
      <w:pPr>
        <w:pStyle w:val="Heading3"/>
      </w:pPr>
    </w:p>
    <w:p w14:paraId="152F8C91" w14:textId="763A2698" w:rsidR="00E16EDE" w:rsidRPr="00923467" w:rsidRDefault="000E1F61" w:rsidP="00EF2D32">
      <w:pPr>
        <w:pStyle w:val="Heading3"/>
      </w:pPr>
      <w:r w:rsidRPr="00923467">
        <w:t>On-time Filing Compliance</w:t>
      </w:r>
      <w:bookmarkEnd w:id="99"/>
    </w:p>
    <w:p w14:paraId="41BE6DC0" w14:textId="26E7D0FA" w:rsidR="00D45094" w:rsidRPr="00923467" w:rsidRDefault="00D45094" w:rsidP="00923467">
      <w:r w:rsidRPr="00923467">
        <w:t xml:space="preserve">Table </w:t>
      </w:r>
      <w:r w:rsidR="009C1515" w:rsidRPr="00923467">
        <w:t xml:space="preserve">27 </w:t>
      </w:r>
      <w:r w:rsidR="00B66F3F" w:rsidRPr="00923467">
        <w:t xml:space="preserve">shows the average </w:t>
      </w:r>
      <w:r w:rsidR="004F39BC" w:rsidRPr="00923467">
        <w:t xml:space="preserve">filing </w:t>
      </w:r>
      <w:r w:rsidR="00B66F3F" w:rsidRPr="00923467">
        <w:t xml:space="preserve">compliance rate by tax office. </w:t>
      </w:r>
      <w:r w:rsidR="00C466FA" w:rsidRPr="00923467">
        <w:t xml:space="preserve">The average </w:t>
      </w:r>
      <w:r w:rsidR="004F39BC" w:rsidRPr="00923467">
        <w:t xml:space="preserve">filing </w:t>
      </w:r>
      <w:r w:rsidR="00C466FA" w:rsidRPr="00923467">
        <w:t xml:space="preserve">compliance rate </w:t>
      </w:r>
      <w:r w:rsidR="00E85085" w:rsidRPr="00923467">
        <w:t xml:space="preserve">is defined as the percentage of taxpayers </w:t>
      </w:r>
      <w:r w:rsidR="008330AA" w:rsidRPr="00923467">
        <w:t xml:space="preserve">among </w:t>
      </w:r>
      <w:r w:rsidR="00E85085" w:rsidRPr="00923467">
        <w:t xml:space="preserve">the total active taxpayers who file on time. </w:t>
      </w:r>
      <w:r w:rsidR="00AE6336" w:rsidRPr="00923467">
        <w:t xml:space="preserve">Large taxpayers have the highest </w:t>
      </w:r>
      <w:r w:rsidR="003B3768" w:rsidRPr="00923467">
        <w:t xml:space="preserve">filing </w:t>
      </w:r>
      <w:r w:rsidR="00AE6336" w:rsidRPr="00923467">
        <w:t xml:space="preserve">compliance rate of 69.9% followed by taxpayers in the extractive industry (with 67.3%) and then medium </w:t>
      </w:r>
      <w:r w:rsidR="00924F2F" w:rsidRPr="00923467">
        <w:t>taxpayers’ office</w:t>
      </w:r>
      <w:r w:rsidR="00AE6336" w:rsidRPr="00923467">
        <w:t xml:space="preserve"> (with 66.7%). Of the three tax districts in Freetown, the Freetown West tax </w:t>
      </w:r>
      <w:r w:rsidR="00E218FE" w:rsidRPr="00923467">
        <w:t>d</w:t>
      </w:r>
      <w:r w:rsidR="00AE6336" w:rsidRPr="00923467">
        <w:t>istrict has the highest compliance rate (with 56.6%). Furthermore, of the provincial tax districts, Bo taxpayers recorded the highest compliance filing rate with 49.9%</w:t>
      </w:r>
      <w:r w:rsidR="009F26BE" w:rsidRPr="00923467">
        <w:t xml:space="preserve"> </w:t>
      </w:r>
      <w:r w:rsidR="00427266" w:rsidRPr="00923467">
        <w:t xml:space="preserve">(although the compliance rate falls short of expectation) </w:t>
      </w:r>
      <w:r w:rsidR="009F26BE" w:rsidRPr="00923467">
        <w:t xml:space="preserve">while Kono taxpayers </w:t>
      </w:r>
      <w:r w:rsidR="004F39BC" w:rsidRPr="00923467">
        <w:t xml:space="preserve">filing </w:t>
      </w:r>
      <w:r w:rsidR="009F26BE" w:rsidRPr="00923467">
        <w:t xml:space="preserve">compliance rate </w:t>
      </w:r>
      <w:r w:rsidR="009C1515" w:rsidRPr="00923467">
        <w:t xml:space="preserve">are </w:t>
      </w:r>
      <w:r w:rsidR="009F26BE" w:rsidRPr="00923467">
        <w:t xml:space="preserve">the lowest with </w:t>
      </w:r>
      <w:r w:rsidR="00BE04AB" w:rsidRPr="00923467">
        <w:t xml:space="preserve">only </w:t>
      </w:r>
      <w:r w:rsidR="009F26BE" w:rsidRPr="00923467">
        <w:t xml:space="preserve">5.0%. </w:t>
      </w:r>
      <w:r w:rsidR="00AE6336" w:rsidRPr="00923467">
        <w:t xml:space="preserve"> </w:t>
      </w:r>
    </w:p>
    <w:p w14:paraId="58685E07" w14:textId="602104C3" w:rsidR="00B84EC1" w:rsidRPr="00923467" w:rsidRDefault="00B84EC1" w:rsidP="00923467"/>
    <w:tbl>
      <w:tblPr>
        <w:tblStyle w:val="GridTable4-Accent5"/>
        <w:tblW w:w="5040" w:type="dxa"/>
        <w:tblLook w:val="04A0" w:firstRow="1" w:lastRow="0" w:firstColumn="1" w:lastColumn="0" w:noHBand="0" w:noVBand="1"/>
      </w:tblPr>
      <w:tblGrid>
        <w:gridCol w:w="2520"/>
        <w:gridCol w:w="2520"/>
      </w:tblGrid>
      <w:tr w:rsidR="00AE6336" w:rsidRPr="00923467" w14:paraId="121A2381" w14:textId="77777777" w:rsidTr="00AD36D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20" w:type="dxa"/>
            <w:noWrap/>
            <w:hideMark/>
          </w:tcPr>
          <w:p w14:paraId="44B83DBD" w14:textId="77777777" w:rsidR="00AE6336" w:rsidRPr="00AD36D6" w:rsidRDefault="00AE6336" w:rsidP="00923467">
            <w:pPr>
              <w:rPr>
                <w:sz w:val="18"/>
                <w:szCs w:val="18"/>
              </w:rPr>
            </w:pPr>
            <w:r w:rsidRPr="00AD36D6">
              <w:rPr>
                <w:sz w:val="18"/>
                <w:szCs w:val="18"/>
              </w:rPr>
              <w:t>Tax Office</w:t>
            </w:r>
          </w:p>
        </w:tc>
        <w:tc>
          <w:tcPr>
            <w:tcW w:w="2520" w:type="dxa"/>
            <w:noWrap/>
            <w:hideMark/>
          </w:tcPr>
          <w:p w14:paraId="6B255426" w14:textId="6A21C92E" w:rsidR="00AE6336" w:rsidRPr="00AD36D6" w:rsidRDefault="00AE6336" w:rsidP="00923467">
            <w:pPr>
              <w:cnfStyle w:val="100000000000" w:firstRow="1"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Compliance Rate</w:t>
            </w:r>
            <w:r w:rsidR="00E218FE" w:rsidRPr="00AD36D6">
              <w:rPr>
                <w:sz w:val="18"/>
                <w:szCs w:val="18"/>
              </w:rPr>
              <w:t xml:space="preserve"> (%)</w:t>
            </w:r>
          </w:p>
        </w:tc>
      </w:tr>
      <w:tr w:rsidR="00AE6336" w:rsidRPr="00923467" w14:paraId="17E6778F" w14:textId="77777777" w:rsidTr="00AD36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FD0BC58" w14:textId="77777777" w:rsidR="00AE6336" w:rsidRPr="00AD36D6" w:rsidRDefault="00AE6336" w:rsidP="00923467">
            <w:pPr>
              <w:rPr>
                <w:b w:val="0"/>
                <w:bCs w:val="0"/>
                <w:sz w:val="18"/>
                <w:szCs w:val="18"/>
              </w:rPr>
            </w:pPr>
            <w:r w:rsidRPr="00AD36D6">
              <w:rPr>
                <w:b w:val="0"/>
                <w:bCs w:val="0"/>
                <w:sz w:val="18"/>
                <w:szCs w:val="18"/>
              </w:rPr>
              <w:t xml:space="preserve">Large Taxpayers </w:t>
            </w:r>
          </w:p>
        </w:tc>
        <w:tc>
          <w:tcPr>
            <w:tcW w:w="2520" w:type="dxa"/>
            <w:noWrap/>
            <w:hideMark/>
          </w:tcPr>
          <w:p w14:paraId="55D64373" w14:textId="4DB0F924" w:rsidR="00AE6336" w:rsidRPr="00AD36D6" w:rsidRDefault="00AE63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 xml:space="preserve"> 69.9 </w:t>
            </w:r>
          </w:p>
        </w:tc>
      </w:tr>
      <w:tr w:rsidR="00AE6336" w:rsidRPr="00923467" w14:paraId="2248885E" w14:textId="77777777" w:rsidTr="00AD36D6">
        <w:trPr>
          <w:trHeight w:val="255"/>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F85682F" w14:textId="77777777" w:rsidR="00AE6336" w:rsidRPr="00AD36D6" w:rsidRDefault="00AE6336" w:rsidP="00923467">
            <w:pPr>
              <w:rPr>
                <w:b w:val="0"/>
                <w:bCs w:val="0"/>
                <w:sz w:val="18"/>
                <w:szCs w:val="18"/>
              </w:rPr>
            </w:pPr>
            <w:r w:rsidRPr="00AD36D6">
              <w:rPr>
                <w:b w:val="0"/>
                <w:bCs w:val="0"/>
                <w:sz w:val="18"/>
                <w:szCs w:val="18"/>
              </w:rPr>
              <w:t xml:space="preserve">Extractive Industry </w:t>
            </w:r>
          </w:p>
        </w:tc>
        <w:tc>
          <w:tcPr>
            <w:tcW w:w="2520" w:type="dxa"/>
            <w:noWrap/>
            <w:hideMark/>
          </w:tcPr>
          <w:p w14:paraId="3BFADEF7" w14:textId="177EF102" w:rsidR="00AE6336" w:rsidRPr="00AD36D6" w:rsidRDefault="00AE63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 xml:space="preserve"> 67.3 </w:t>
            </w:r>
          </w:p>
        </w:tc>
      </w:tr>
      <w:tr w:rsidR="00AE6336" w:rsidRPr="00923467" w14:paraId="44CBEA6E" w14:textId="77777777" w:rsidTr="00AD36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3A4416F" w14:textId="77777777" w:rsidR="00AE6336" w:rsidRPr="00AD36D6" w:rsidRDefault="00AE6336" w:rsidP="00923467">
            <w:pPr>
              <w:rPr>
                <w:b w:val="0"/>
                <w:bCs w:val="0"/>
                <w:sz w:val="18"/>
                <w:szCs w:val="18"/>
              </w:rPr>
            </w:pPr>
            <w:r w:rsidRPr="00AD36D6">
              <w:rPr>
                <w:b w:val="0"/>
                <w:bCs w:val="0"/>
                <w:sz w:val="18"/>
                <w:szCs w:val="18"/>
              </w:rPr>
              <w:t xml:space="preserve">Medium Taxpayers </w:t>
            </w:r>
          </w:p>
        </w:tc>
        <w:tc>
          <w:tcPr>
            <w:tcW w:w="2520" w:type="dxa"/>
            <w:noWrap/>
            <w:hideMark/>
          </w:tcPr>
          <w:p w14:paraId="5F6F1D82" w14:textId="579687DA" w:rsidR="00AE6336" w:rsidRPr="00AD36D6" w:rsidRDefault="00AE63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 xml:space="preserve"> 66.7 </w:t>
            </w:r>
          </w:p>
        </w:tc>
      </w:tr>
      <w:tr w:rsidR="00AE6336" w:rsidRPr="00923467" w14:paraId="67D88B63" w14:textId="77777777" w:rsidTr="00AD36D6">
        <w:trPr>
          <w:trHeight w:val="255"/>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DED4E82" w14:textId="77777777" w:rsidR="00AE6336" w:rsidRPr="00AD36D6" w:rsidRDefault="00AE6336" w:rsidP="00923467">
            <w:pPr>
              <w:rPr>
                <w:b w:val="0"/>
                <w:bCs w:val="0"/>
                <w:sz w:val="18"/>
                <w:szCs w:val="18"/>
              </w:rPr>
            </w:pPr>
            <w:r w:rsidRPr="00AD36D6">
              <w:rPr>
                <w:b w:val="0"/>
                <w:bCs w:val="0"/>
                <w:sz w:val="18"/>
                <w:szCs w:val="18"/>
              </w:rPr>
              <w:t>Freetown West</w:t>
            </w:r>
          </w:p>
        </w:tc>
        <w:tc>
          <w:tcPr>
            <w:tcW w:w="2520" w:type="dxa"/>
            <w:noWrap/>
            <w:hideMark/>
          </w:tcPr>
          <w:p w14:paraId="73E9B52E" w14:textId="5FA5D31B" w:rsidR="00AE6336" w:rsidRPr="00AD36D6" w:rsidRDefault="00AE63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 xml:space="preserve"> 56.6 </w:t>
            </w:r>
          </w:p>
        </w:tc>
      </w:tr>
      <w:tr w:rsidR="00AE6336" w:rsidRPr="00923467" w14:paraId="35A4CB48" w14:textId="77777777" w:rsidTr="00AD36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9684188" w14:textId="77777777" w:rsidR="00AE6336" w:rsidRPr="00AD36D6" w:rsidRDefault="00AE6336" w:rsidP="00923467">
            <w:pPr>
              <w:rPr>
                <w:b w:val="0"/>
                <w:bCs w:val="0"/>
                <w:sz w:val="18"/>
                <w:szCs w:val="18"/>
              </w:rPr>
            </w:pPr>
            <w:r w:rsidRPr="00AD36D6">
              <w:rPr>
                <w:b w:val="0"/>
                <w:bCs w:val="0"/>
                <w:sz w:val="18"/>
                <w:szCs w:val="18"/>
              </w:rPr>
              <w:t>Bo Taxpayers Office</w:t>
            </w:r>
          </w:p>
        </w:tc>
        <w:tc>
          <w:tcPr>
            <w:tcW w:w="2520" w:type="dxa"/>
            <w:noWrap/>
            <w:hideMark/>
          </w:tcPr>
          <w:p w14:paraId="2FA7062D" w14:textId="6A70923A" w:rsidR="00AE6336" w:rsidRPr="00AD36D6" w:rsidRDefault="00AE63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 xml:space="preserve"> 49.9 </w:t>
            </w:r>
          </w:p>
        </w:tc>
      </w:tr>
      <w:tr w:rsidR="00AE6336" w:rsidRPr="00923467" w14:paraId="170FE854" w14:textId="77777777" w:rsidTr="00AD36D6">
        <w:trPr>
          <w:trHeight w:val="255"/>
        </w:trPr>
        <w:tc>
          <w:tcPr>
            <w:cnfStyle w:val="001000000000" w:firstRow="0" w:lastRow="0" w:firstColumn="1" w:lastColumn="0" w:oddVBand="0" w:evenVBand="0" w:oddHBand="0" w:evenHBand="0" w:firstRowFirstColumn="0" w:firstRowLastColumn="0" w:lastRowFirstColumn="0" w:lastRowLastColumn="0"/>
            <w:tcW w:w="2520" w:type="dxa"/>
            <w:noWrap/>
            <w:hideMark/>
          </w:tcPr>
          <w:p w14:paraId="0E176852" w14:textId="77777777" w:rsidR="00AE6336" w:rsidRPr="00AD36D6" w:rsidRDefault="00AE6336" w:rsidP="00923467">
            <w:pPr>
              <w:rPr>
                <w:b w:val="0"/>
                <w:bCs w:val="0"/>
                <w:sz w:val="18"/>
                <w:szCs w:val="18"/>
              </w:rPr>
            </w:pPr>
            <w:r w:rsidRPr="00AD36D6">
              <w:rPr>
                <w:b w:val="0"/>
                <w:bCs w:val="0"/>
                <w:sz w:val="18"/>
                <w:szCs w:val="18"/>
              </w:rPr>
              <w:t>Freetown Central</w:t>
            </w:r>
          </w:p>
        </w:tc>
        <w:tc>
          <w:tcPr>
            <w:tcW w:w="2520" w:type="dxa"/>
            <w:noWrap/>
            <w:hideMark/>
          </w:tcPr>
          <w:p w14:paraId="3309B921" w14:textId="42BC6885" w:rsidR="00AE6336" w:rsidRPr="00AD36D6" w:rsidRDefault="00AE63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 xml:space="preserve"> 48.7 </w:t>
            </w:r>
          </w:p>
        </w:tc>
      </w:tr>
      <w:tr w:rsidR="00AE6336" w:rsidRPr="00923467" w14:paraId="32646D70" w14:textId="77777777" w:rsidTr="00AD36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850A0FA" w14:textId="77777777" w:rsidR="00AE6336" w:rsidRPr="00AD36D6" w:rsidRDefault="00AE6336" w:rsidP="00923467">
            <w:pPr>
              <w:rPr>
                <w:b w:val="0"/>
                <w:bCs w:val="0"/>
                <w:sz w:val="18"/>
                <w:szCs w:val="18"/>
              </w:rPr>
            </w:pPr>
            <w:r w:rsidRPr="00AD36D6">
              <w:rPr>
                <w:b w:val="0"/>
                <w:bCs w:val="0"/>
                <w:sz w:val="18"/>
                <w:szCs w:val="18"/>
              </w:rPr>
              <w:t xml:space="preserve">Makeni Taxpayers </w:t>
            </w:r>
          </w:p>
        </w:tc>
        <w:tc>
          <w:tcPr>
            <w:tcW w:w="2520" w:type="dxa"/>
            <w:noWrap/>
            <w:hideMark/>
          </w:tcPr>
          <w:p w14:paraId="283C7515" w14:textId="6BAE9133" w:rsidR="00AE6336" w:rsidRPr="00AD36D6" w:rsidRDefault="00AE63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 xml:space="preserve"> 48.1 </w:t>
            </w:r>
          </w:p>
        </w:tc>
      </w:tr>
      <w:tr w:rsidR="00AE6336" w:rsidRPr="00923467" w14:paraId="13B1EA72" w14:textId="77777777" w:rsidTr="00AD36D6">
        <w:trPr>
          <w:trHeight w:val="255"/>
        </w:trPr>
        <w:tc>
          <w:tcPr>
            <w:cnfStyle w:val="001000000000" w:firstRow="0" w:lastRow="0" w:firstColumn="1" w:lastColumn="0" w:oddVBand="0" w:evenVBand="0" w:oddHBand="0" w:evenHBand="0" w:firstRowFirstColumn="0" w:firstRowLastColumn="0" w:lastRowFirstColumn="0" w:lastRowLastColumn="0"/>
            <w:tcW w:w="2520" w:type="dxa"/>
            <w:noWrap/>
            <w:hideMark/>
          </w:tcPr>
          <w:p w14:paraId="51C72E1D" w14:textId="77777777" w:rsidR="00AE6336" w:rsidRPr="00AD36D6" w:rsidRDefault="00AE6336" w:rsidP="00923467">
            <w:pPr>
              <w:rPr>
                <w:b w:val="0"/>
                <w:bCs w:val="0"/>
                <w:sz w:val="18"/>
                <w:szCs w:val="18"/>
              </w:rPr>
            </w:pPr>
            <w:r w:rsidRPr="00AD36D6">
              <w:rPr>
                <w:b w:val="0"/>
                <w:bCs w:val="0"/>
                <w:sz w:val="18"/>
                <w:szCs w:val="18"/>
              </w:rPr>
              <w:t>Freetown East</w:t>
            </w:r>
          </w:p>
        </w:tc>
        <w:tc>
          <w:tcPr>
            <w:tcW w:w="2520" w:type="dxa"/>
            <w:noWrap/>
            <w:hideMark/>
          </w:tcPr>
          <w:p w14:paraId="6140F2DD" w14:textId="1B65A3FB" w:rsidR="00AE6336" w:rsidRPr="00AD36D6" w:rsidRDefault="00AE63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 xml:space="preserve"> 40.5 </w:t>
            </w:r>
          </w:p>
        </w:tc>
      </w:tr>
      <w:tr w:rsidR="00AE6336" w:rsidRPr="00923467" w14:paraId="7FC66CBB" w14:textId="77777777" w:rsidTr="00AD36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20" w:type="dxa"/>
            <w:noWrap/>
            <w:hideMark/>
          </w:tcPr>
          <w:p w14:paraId="2B7BC8F1" w14:textId="77777777" w:rsidR="00AE6336" w:rsidRPr="00AD36D6" w:rsidRDefault="00AE6336" w:rsidP="00923467">
            <w:pPr>
              <w:rPr>
                <w:b w:val="0"/>
                <w:bCs w:val="0"/>
                <w:sz w:val="18"/>
                <w:szCs w:val="18"/>
              </w:rPr>
            </w:pPr>
            <w:r w:rsidRPr="00AD36D6">
              <w:rPr>
                <w:b w:val="0"/>
                <w:bCs w:val="0"/>
                <w:sz w:val="18"/>
                <w:szCs w:val="18"/>
              </w:rPr>
              <w:t xml:space="preserve">Kenema Taxpayers </w:t>
            </w:r>
          </w:p>
        </w:tc>
        <w:tc>
          <w:tcPr>
            <w:tcW w:w="2520" w:type="dxa"/>
            <w:noWrap/>
            <w:hideMark/>
          </w:tcPr>
          <w:p w14:paraId="46D8A1DD" w14:textId="1E658513" w:rsidR="00AE6336" w:rsidRPr="00AD36D6" w:rsidRDefault="00AE63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 xml:space="preserve"> 34.3 </w:t>
            </w:r>
          </w:p>
        </w:tc>
      </w:tr>
      <w:tr w:rsidR="00AE6336" w:rsidRPr="00923467" w14:paraId="78912E54" w14:textId="77777777" w:rsidTr="00AD36D6">
        <w:trPr>
          <w:trHeight w:val="255"/>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A462CC7" w14:textId="77777777" w:rsidR="00AE6336" w:rsidRPr="00AD36D6" w:rsidRDefault="00AE6336" w:rsidP="00923467">
            <w:pPr>
              <w:rPr>
                <w:b w:val="0"/>
                <w:bCs w:val="0"/>
                <w:sz w:val="18"/>
                <w:szCs w:val="18"/>
              </w:rPr>
            </w:pPr>
            <w:r w:rsidRPr="00AD36D6">
              <w:rPr>
                <w:b w:val="0"/>
                <w:bCs w:val="0"/>
                <w:sz w:val="18"/>
                <w:szCs w:val="18"/>
              </w:rPr>
              <w:t xml:space="preserve">WAMA Individual </w:t>
            </w:r>
          </w:p>
        </w:tc>
        <w:tc>
          <w:tcPr>
            <w:tcW w:w="2520" w:type="dxa"/>
            <w:noWrap/>
            <w:hideMark/>
          </w:tcPr>
          <w:p w14:paraId="7130CF64" w14:textId="4F5D8B23" w:rsidR="00AE6336" w:rsidRPr="00AD36D6" w:rsidRDefault="00AE6336" w:rsidP="00923467">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D36D6">
              <w:rPr>
                <w:sz w:val="18"/>
                <w:szCs w:val="18"/>
              </w:rPr>
              <w:t xml:space="preserve"> 22.2 </w:t>
            </w:r>
          </w:p>
        </w:tc>
      </w:tr>
      <w:tr w:rsidR="00AE6336" w:rsidRPr="00923467" w14:paraId="64C1AFD9" w14:textId="77777777" w:rsidTr="00AD36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20" w:type="dxa"/>
            <w:noWrap/>
            <w:hideMark/>
          </w:tcPr>
          <w:p w14:paraId="74AB4838" w14:textId="77777777" w:rsidR="00AE6336" w:rsidRPr="00AD36D6" w:rsidRDefault="00AE6336" w:rsidP="00923467">
            <w:pPr>
              <w:rPr>
                <w:b w:val="0"/>
                <w:bCs w:val="0"/>
                <w:sz w:val="18"/>
                <w:szCs w:val="18"/>
              </w:rPr>
            </w:pPr>
            <w:r w:rsidRPr="00AD36D6">
              <w:rPr>
                <w:b w:val="0"/>
                <w:bCs w:val="0"/>
                <w:sz w:val="18"/>
                <w:szCs w:val="18"/>
              </w:rPr>
              <w:t>Kono Taxpayers Office</w:t>
            </w:r>
          </w:p>
        </w:tc>
        <w:tc>
          <w:tcPr>
            <w:tcW w:w="2520" w:type="dxa"/>
            <w:noWrap/>
            <w:hideMark/>
          </w:tcPr>
          <w:p w14:paraId="69FE8859" w14:textId="11F594DB" w:rsidR="00AE6336" w:rsidRPr="00AD36D6" w:rsidRDefault="00AE6336" w:rsidP="00923467">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D36D6">
              <w:rPr>
                <w:sz w:val="18"/>
                <w:szCs w:val="18"/>
              </w:rPr>
              <w:t xml:space="preserve"> </w:t>
            </w:r>
            <w:r w:rsidR="00A637F6" w:rsidRPr="00AD36D6">
              <w:rPr>
                <w:sz w:val="18"/>
                <w:szCs w:val="18"/>
              </w:rPr>
              <w:t xml:space="preserve">  </w:t>
            </w:r>
            <w:r w:rsidRPr="00AD36D6">
              <w:rPr>
                <w:sz w:val="18"/>
                <w:szCs w:val="18"/>
              </w:rPr>
              <w:t xml:space="preserve">5.0 </w:t>
            </w:r>
          </w:p>
        </w:tc>
      </w:tr>
    </w:tbl>
    <w:p w14:paraId="46F74DB2" w14:textId="3A491DA5" w:rsidR="009C1515" w:rsidRPr="00923467" w:rsidRDefault="009C1515" w:rsidP="00923467">
      <w:pPr>
        <w:pStyle w:val="Caption"/>
      </w:pPr>
      <w:bookmarkStart w:id="100" w:name="_Toc137831156"/>
      <w:r w:rsidRPr="00923467">
        <w:t xml:space="preserve">Table </w:t>
      </w:r>
      <w:r w:rsidRPr="00923467">
        <w:fldChar w:fldCharType="begin"/>
      </w:r>
      <w:r w:rsidRPr="00923467">
        <w:instrText xml:space="preserve"> SEQ Table \* ARABIC </w:instrText>
      </w:r>
      <w:r w:rsidRPr="00923467">
        <w:fldChar w:fldCharType="separate"/>
      </w:r>
      <w:r w:rsidR="00E12E6B">
        <w:rPr>
          <w:noProof/>
        </w:rPr>
        <w:t>27</w:t>
      </w:r>
      <w:r w:rsidRPr="00923467">
        <w:fldChar w:fldCharType="end"/>
      </w:r>
      <w:r w:rsidRPr="00923467">
        <w:t>: Average Compliance Rate by Tax Office</w:t>
      </w:r>
      <w:bookmarkEnd w:id="100"/>
    </w:p>
    <w:p w14:paraId="7F6A7EFF" w14:textId="21269BA2" w:rsidR="00AE6336" w:rsidRPr="00AD36D6" w:rsidRDefault="00BA2F7E" w:rsidP="00923467">
      <w:pPr>
        <w:rPr>
          <w:sz w:val="16"/>
          <w:szCs w:val="16"/>
        </w:rPr>
      </w:pPr>
      <w:r w:rsidRPr="00AD36D6">
        <w:rPr>
          <w:sz w:val="16"/>
          <w:szCs w:val="16"/>
        </w:rPr>
        <w:t>Source: ITAS</w:t>
      </w:r>
    </w:p>
    <w:p w14:paraId="0AE01EEB" w14:textId="77777777" w:rsidR="00AD36D6" w:rsidRDefault="00AD36D6" w:rsidP="00923467"/>
    <w:p w14:paraId="56052162" w14:textId="77777777" w:rsidR="0019531F" w:rsidRDefault="0019531F" w:rsidP="00923467"/>
    <w:p w14:paraId="7C42F572" w14:textId="77777777" w:rsidR="0019531F" w:rsidRDefault="0019531F" w:rsidP="00923467"/>
    <w:p w14:paraId="3430D957" w14:textId="77777777" w:rsidR="0019531F" w:rsidRDefault="0019531F" w:rsidP="00923467"/>
    <w:p w14:paraId="3A683A60" w14:textId="77777777" w:rsidR="0019531F" w:rsidRDefault="0019531F" w:rsidP="00923467"/>
    <w:p w14:paraId="119FCB0C" w14:textId="77777777" w:rsidR="0019531F" w:rsidRDefault="0019531F" w:rsidP="00923467"/>
    <w:p w14:paraId="5AA34949" w14:textId="77777777" w:rsidR="0019531F" w:rsidRDefault="0019531F" w:rsidP="00923467"/>
    <w:p w14:paraId="2824F5FC" w14:textId="77777777" w:rsidR="0019531F" w:rsidRDefault="0019531F" w:rsidP="00923467"/>
    <w:p w14:paraId="160E8C08" w14:textId="77777777" w:rsidR="0019531F" w:rsidRDefault="0019531F" w:rsidP="00923467"/>
    <w:p w14:paraId="036A0BE3" w14:textId="77777777" w:rsidR="0019531F" w:rsidRDefault="0019531F" w:rsidP="00923467"/>
    <w:p w14:paraId="18E2DFA5" w14:textId="77777777" w:rsidR="0019531F" w:rsidRDefault="0019531F" w:rsidP="00923467"/>
    <w:p w14:paraId="73BAFB98" w14:textId="77777777" w:rsidR="0019531F" w:rsidRDefault="0019531F" w:rsidP="00923467"/>
    <w:p w14:paraId="29DAA3D6" w14:textId="52AA8B9E" w:rsidR="00D14334" w:rsidRPr="00923467" w:rsidRDefault="004F39BC" w:rsidP="00923467">
      <w:r w:rsidRPr="00923467">
        <w:t xml:space="preserve">Figure </w:t>
      </w:r>
      <w:r w:rsidR="009C1515" w:rsidRPr="00923467">
        <w:t xml:space="preserve">12 </w:t>
      </w:r>
      <w:r w:rsidR="00F21500" w:rsidRPr="00923467">
        <w:t>displays</w:t>
      </w:r>
      <w:r w:rsidRPr="00923467">
        <w:t xml:space="preserve"> the average filing compliance rate by three major tax types. </w:t>
      </w:r>
      <w:r w:rsidR="001F6290" w:rsidRPr="00923467">
        <w:t xml:space="preserve">Goods and Services Tax (GST) recorded the highest filing compliance rate </w:t>
      </w:r>
      <w:r w:rsidR="00822886" w:rsidRPr="00923467">
        <w:t>(63.7</w:t>
      </w:r>
      <w:r w:rsidR="0049226B" w:rsidRPr="00923467">
        <w:t xml:space="preserve">%) </w:t>
      </w:r>
      <w:r w:rsidR="001F6290" w:rsidRPr="00923467">
        <w:t xml:space="preserve">of the three tax types. </w:t>
      </w:r>
    </w:p>
    <w:p w14:paraId="5037A6E7" w14:textId="77777777" w:rsidR="009C1515" w:rsidRPr="00923467" w:rsidRDefault="009C1515" w:rsidP="00923467"/>
    <w:p w14:paraId="58A0EEF6" w14:textId="77777777" w:rsidR="009C1515" w:rsidRPr="00923467" w:rsidRDefault="00C46E3B" w:rsidP="00923467">
      <w:r w:rsidRPr="00923467">
        <w:rPr>
          <w:noProof/>
        </w:rPr>
        <w:drawing>
          <wp:inline distT="0" distB="0" distL="0" distR="0" wp14:anchorId="4F2C7152" wp14:editId="4C5F135C">
            <wp:extent cx="4327556" cy="2009775"/>
            <wp:effectExtent l="0" t="0" r="15875" b="9525"/>
            <wp:docPr id="22" name="Chart 22">
              <a:extLst xmlns:a="http://schemas.openxmlformats.org/drawingml/2006/main">
                <a:ext uri="{FF2B5EF4-FFF2-40B4-BE49-F238E27FC236}">
                  <a16:creationId xmlns:a16="http://schemas.microsoft.com/office/drawing/2014/main" id="{8D94CEE8-860C-FF63-54BE-4E968AA2DC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4B8CFA3" w14:textId="3B0E9873" w:rsidR="00C46E3B" w:rsidRPr="00923467" w:rsidRDefault="009C1515" w:rsidP="00923467">
      <w:pPr>
        <w:pStyle w:val="Caption"/>
        <w:rPr>
          <w:b/>
          <w:bCs/>
          <w:sz w:val="24"/>
          <w:szCs w:val="24"/>
        </w:rPr>
      </w:pPr>
      <w:bookmarkStart w:id="101" w:name="_Toc137831175"/>
      <w:r w:rsidRPr="00923467">
        <w:t xml:space="preserve">Figure </w:t>
      </w:r>
      <w:r w:rsidRPr="00923467">
        <w:fldChar w:fldCharType="begin"/>
      </w:r>
      <w:r w:rsidRPr="00923467">
        <w:instrText xml:space="preserve"> SEQ Figure \* ARABIC </w:instrText>
      </w:r>
      <w:r w:rsidRPr="00923467">
        <w:fldChar w:fldCharType="separate"/>
      </w:r>
      <w:r w:rsidR="00E12E6B">
        <w:rPr>
          <w:noProof/>
        </w:rPr>
        <w:t>12</w:t>
      </w:r>
      <w:r w:rsidRPr="00923467">
        <w:fldChar w:fldCharType="end"/>
      </w:r>
      <w:r w:rsidRPr="00923467">
        <w:t>: Average Compliance Rate by Tax Type</w:t>
      </w:r>
      <w:bookmarkEnd w:id="101"/>
    </w:p>
    <w:p w14:paraId="25248CE5" w14:textId="77777777" w:rsidR="00D34865" w:rsidRPr="00AD36D6" w:rsidRDefault="00D34865" w:rsidP="00923467">
      <w:pPr>
        <w:rPr>
          <w:sz w:val="16"/>
          <w:szCs w:val="16"/>
        </w:rPr>
      </w:pPr>
      <w:r w:rsidRPr="00AD36D6">
        <w:rPr>
          <w:sz w:val="16"/>
          <w:szCs w:val="16"/>
        </w:rPr>
        <w:t>Source: ITAS</w:t>
      </w:r>
    </w:p>
    <w:p w14:paraId="1FC6B2D0" w14:textId="77777777" w:rsidR="009C1515" w:rsidRPr="00923467" w:rsidRDefault="009C1515" w:rsidP="00923467"/>
    <w:p w14:paraId="7A26E276" w14:textId="24CE0756" w:rsidR="005B372A" w:rsidRPr="00923467" w:rsidRDefault="009C1515" w:rsidP="00EF2D32">
      <w:pPr>
        <w:pStyle w:val="Heading3"/>
      </w:pPr>
      <w:bookmarkStart w:id="102" w:name="_Toc137831115"/>
      <w:r w:rsidRPr="00923467">
        <w:t>DTD Arrears</w:t>
      </w:r>
      <w:bookmarkEnd w:id="102"/>
    </w:p>
    <w:p w14:paraId="54929D63" w14:textId="3ECDBCC6" w:rsidR="00BC63CB" w:rsidRDefault="00D97678" w:rsidP="00923467">
      <w:r w:rsidRPr="00923467">
        <w:t xml:space="preserve">Table </w:t>
      </w:r>
      <w:r w:rsidR="009C1515" w:rsidRPr="00923467">
        <w:t xml:space="preserve">28 </w:t>
      </w:r>
      <w:r w:rsidRPr="00923467">
        <w:t xml:space="preserve">shows the total amount of DTD arrears by tax type for the period under review. </w:t>
      </w:r>
      <w:r w:rsidR="006F2FBF" w:rsidRPr="00923467">
        <w:t>Arrears owed by State Owned Enterprises</w:t>
      </w:r>
      <w:r w:rsidR="002B6109" w:rsidRPr="00923467">
        <w:t xml:space="preserve"> accounted for 97.6% of the total arrears reported. </w:t>
      </w:r>
      <w:r w:rsidR="00CB598A" w:rsidRPr="00923467">
        <w:t>Arrears f</w:t>
      </w:r>
      <w:r w:rsidR="008330AA" w:rsidRPr="00923467">
        <w:t>ro</w:t>
      </w:r>
      <w:r w:rsidR="00CB598A" w:rsidRPr="00923467">
        <w:t xml:space="preserve">m personal income tax owed by medium taxpayers recorded the least with a share of only 0.5%. </w:t>
      </w:r>
    </w:p>
    <w:p w14:paraId="7B661B61" w14:textId="77777777" w:rsidR="00AD36D6" w:rsidRPr="00923467" w:rsidRDefault="00AD36D6" w:rsidP="00923467"/>
    <w:tbl>
      <w:tblPr>
        <w:tblStyle w:val="GridTable4-Accent5"/>
        <w:tblW w:w="6232" w:type="dxa"/>
        <w:tblLook w:val="04A0" w:firstRow="1" w:lastRow="0" w:firstColumn="1" w:lastColumn="0" w:noHBand="0" w:noVBand="1"/>
      </w:tblPr>
      <w:tblGrid>
        <w:gridCol w:w="2689"/>
        <w:gridCol w:w="1984"/>
        <w:gridCol w:w="1559"/>
      </w:tblGrid>
      <w:tr w:rsidR="005B372A" w:rsidRPr="00923467" w14:paraId="1F57846F" w14:textId="77777777" w:rsidTr="00AD36D6">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56C5461" w14:textId="6849EA58" w:rsidR="005B372A" w:rsidRPr="00AD36D6" w:rsidRDefault="009C1515" w:rsidP="00923467">
            <w:pPr>
              <w:rPr>
                <w:sz w:val="18"/>
                <w:szCs w:val="18"/>
              </w:rPr>
            </w:pPr>
            <w:r w:rsidRPr="00AD36D6">
              <w:rPr>
                <w:sz w:val="18"/>
                <w:szCs w:val="18"/>
              </w:rPr>
              <w:t>Tax Type</w:t>
            </w:r>
          </w:p>
        </w:tc>
        <w:tc>
          <w:tcPr>
            <w:tcW w:w="1984" w:type="dxa"/>
            <w:noWrap/>
            <w:hideMark/>
          </w:tcPr>
          <w:p w14:paraId="77EDC189" w14:textId="5F7B3071" w:rsidR="005B372A" w:rsidRPr="00AD36D6" w:rsidRDefault="009C1515"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D36D6">
              <w:rPr>
                <w:sz w:val="18"/>
                <w:szCs w:val="18"/>
              </w:rPr>
              <w:t>Arrears Amount (</w:t>
            </w:r>
            <w:proofErr w:type="spellStart"/>
            <w:r w:rsidRPr="00AD36D6">
              <w:rPr>
                <w:sz w:val="18"/>
                <w:szCs w:val="18"/>
              </w:rPr>
              <w:t>N</w:t>
            </w:r>
            <w:r w:rsidR="00AD36D6">
              <w:rPr>
                <w:sz w:val="18"/>
                <w:szCs w:val="18"/>
              </w:rPr>
              <w:t>L</w:t>
            </w:r>
            <w:r w:rsidRPr="00AD36D6">
              <w:rPr>
                <w:sz w:val="18"/>
                <w:szCs w:val="18"/>
              </w:rPr>
              <w:t>e</w:t>
            </w:r>
            <w:proofErr w:type="spellEnd"/>
            <w:r w:rsidRPr="00AD36D6">
              <w:rPr>
                <w:sz w:val="18"/>
                <w:szCs w:val="18"/>
              </w:rPr>
              <w:t>)</w:t>
            </w:r>
          </w:p>
        </w:tc>
        <w:tc>
          <w:tcPr>
            <w:tcW w:w="1559" w:type="dxa"/>
            <w:noWrap/>
            <w:hideMark/>
          </w:tcPr>
          <w:p w14:paraId="77269CBA" w14:textId="5CE70972" w:rsidR="005B372A" w:rsidRPr="00AD36D6" w:rsidRDefault="009C1515"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D36D6">
              <w:rPr>
                <w:sz w:val="18"/>
                <w:szCs w:val="18"/>
              </w:rPr>
              <w:t>% Share Of Total</w:t>
            </w:r>
          </w:p>
        </w:tc>
      </w:tr>
      <w:tr w:rsidR="005B372A" w:rsidRPr="00923467" w14:paraId="5583F363" w14:textId="77777777" w:rsidTr="00AD36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7B804959" w14:textId="77777777" w:rsidR="005B372A" w:rsidRPr="00AD36D6" w:rsidRDefault="005B372A" w:rsidP="00923467">
            <w:pPr>
              <w:rPr>
                <w:b w:val="0"/>
                <w:bCs w:val="0"/>
                <w:sz w:val="18"/>
                <w:szCs w:val="18"/>
              </w:rPr>
            </w:pPr>
            <w:r w:rsidRPr="00AD36D6">
              <w:rPr>
                <w:b w:val="0"/>
                <w:bCs w:val="0"/>
                <w:sz w:val="18"/>
                <w:szCs w:val="18"/>
              </w:rPr>
              <w:t>State Owned Enterprises (SOEs)</w:t>
            </w:r>
          </w:p>
        </w:tc>
        <w:tc>
          <w:tcPr>
            <w:tcW w:w="1984" w:type="dxa"/>
            <w:noWrap/>
            <w:hideMark/>
          </w:tcPr>
          <w:p w14:paraId="038ACFED" w14:textId="77777777" w:rsidR="005B372A" w:rsidRPr="00AD36D6" w:rsidRDefault="005B372A"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426,548,646</w:t>
            </w:r>
          </w:p>
        </w:tc>
        <w:tc>
          <w:tcPr>
            <w:tcW w:w="1559" w:type="dxa"/>
            <w:noWrap/>
            <w:hideMark/>
          </w:tcPr>
          <w:p w14:paraId="7F575C7C" w14:textId="77777777" w:rsidR="005B372A" w:rsidRPr="00AD36D6" w:rsidRDefault="005B372A"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97.6%</w:t>
            </w:r>
          </w:p>
        </w:tc>
      </w:tr>
      <w:tr w:rsidR="005B372A" w:rsidRPr="00923467" w14:paraId="11F7112B" w14:textId="77777777" w:rsidTr="00AD36D6">
        <w:trPr>
          <w:trHeight w:val="37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21CFDFF" w14:textId="77777777" w:rsidR="005B372A" w:rsidRPr="00AD36D6" w:rsidRDefault="005B372A" w:rsidP="00923467">
            <w:pPr>
              <w:rPr>
                <w:b w:val="0"/>
                <w:bCs w:val="0"/>
                <w:sz w:val="18"/>
                <w:szCs w:val="18"/>
              </w:rPr>
            </w:pPr>
            <w:r w:rsidRPr="00AD36D6">
              <w:rPr>
                <w:b w:val="0"/>
                <w:bCs w:val="0"/>
                <w:sz w:val="18"/>
                <w:szCs w:val="18"/>
              </w:rPr>
              <w:t>Corporation Tax (LTO)</w:t>
            </w:r>
          </w:p>
        </w:tc>
        <w:tc>
          <w:tcPr>
            <w:tcW w:w="1984" w:type="dxa"/>
            <w:noWrap/>
            <w:hideMark/>
          </w:tcPr>
          <w:p w14:paraId="6D490217" w14:textId="77777777" w:rsidR="005B372A" w:rsidRPr="00AD36D6" w:rsidRDefault="005B372A"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5,685,396</w:t>
            </w:r>
          </w:p>
        </w:tc>
        <w:tc>
          <w:tcPr>
            <w:tcW w:w="1559" w:type="dxa"/>
            <w:noWrap/>
            <w:hideMark/>
          </w:tcPr>
          <w:p w14:paraId="24E2201F" w14:textId="77777777" w:rsidR="005B372A" w:rsidRPr="00AD36D6" w:rsidRDefault="005B372A"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1.3%</w:t>
            </w:r>
          </w:p>
        </w:tc>
      </w:tr>
      <w:tr w:rsidR="005B372A" w:rsidRPr="00923467" w14:paraId="47FBAE71" w14:textId="77777777" w:rsidTr="00AD36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E5A522C" w14:textId="77777777" w:rsidR="005B372A" w:rsidRPr="00AD36D6" w:rsidRDefault="005B372A" w:rsidP="00923467">
            <w:pPr>
              <w:rPr>
                <w:b w:val="0"/>
                <w:bCs w:val="0"/>
                <w:sz w:val="18"/>
                <w:szCs w:val="18"/>
              </w:rPr>
            </w:pPr>
            <w:r w:rsidRPr="00AD36D6">
              <w:rPr>
                <w:b w:val="0"/>
                <w:bCs w:val="0"/>
                <w:sz w:val="18"/>
                <w:szCs w:val="18"/>
              </w:rPr>
              <w:t>Corporation Tax (MTO)</w:t>
            </w:r>
          </w:p>
        </w:tc>
        <w:tc>
          <w:tcPr>
            <w:tcW w:w="1984" w:type="dxa"/>
            <w:noWrap/>
            <w:hideMark/>
          </w:tcPr>
          <w:p w14:paraId="7A0F3A9F" w14:textId="77777777" w:rsidR="005B372A" w:rsidRPr="00AD36D6" w:rsidRDefault="005B372A"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2,249,743</w:t>
            </w:r>
          </w:p>
        </w:tc>
        <w:tc>
          <w:tcPr>
            <w:tcW w:w="1559" w:type="dxa"/>
            <w:noWrap/>
            <w:hideMark/>
          </w:tcPr>
          <w:p w14:paraId="3548E165" w14:textId="77777777" w:rsidR="005B372A" w:rsidRPr="00AD36D6" w:rsidRDefault="005B372A"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0.5%</w:t>
            </w:r>
          </w:p>
        </w:tc>
      </w:tr>
      <w:tr w:rsidR="005B372A" w:rsidRPr="00923467" w14:paraId="0C7FFC1F" w14:textId="77777777" w:rsidTr="00AD36D6">
        <w:trPr>
          <w:trHeight w:val="375"/>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D5FFB39" w14:textId="77777777" w:rsidR="005B372A" w:rsidRPr="00AD36D6" w:rsidRDefault="005B372A" w:rsidP="00923467">
            <w:pPr>
              <w:rPr>
                <w:b w:val="0"/>
                <w:bCs w:val="0"/>
                <w:sz w:val="18"/>
                <w:szCs w:val="18"/>
              </w:rPr>
            </w:pPr>
            <w:r w:rsidRPr="00AD36D6">
              <w:rPr>
                <w:b w:val="0"/>
                <w:bCs w:val="0"/>
                <w:sz w:val="18"/>
                <w:szCs w:val="18"/>
              </w:rPr>
              <w:t>Personal Income Tax (MTO)</w:t>
            </w:r>
          </w:p>
        </w:tc>
        <w:tc>
          <w:tcPr>
            <w:tcW w:w="1984" w:type="dxa"/>
            <w:noWrap/>
            <w:hideMark/>
          </w:tcPr>
          <w:p w14:paraId="063568D7" w14:textId="77777777" w:rsidR="005B372A" w:rsidRPr="00AD36D6" w:rsidRDefault="005B372A"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2,398,823</w:t>
            </w:r>
          </w:p>
        </w:tc>
        <w:tc>
          <w:tcPr>
            <w:tcW w:w="1559" w:type="dxa"/>
            <w:noWrap/>
            <w:hideMark/>
          </w:tcPr>
          <w:p w14:paraId="4A03BD3F" w14:textId="77777777" w:rsidR="005B372A" w:rsidRPr="00AD36D6" w:rsidRDefault="005B372A"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0.5%</w:t>
            </w:r>
          </w:p>
        </w:tc>
      </w:tr>
      <w:tr w:rsidR="005B372A" w:rsidRPr="00923467" w14:paraId="7A7858E0" w14:textId="77777777" w:rsidTr="00AD36D6">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4F7E9C2" w14:textId="49232562" w:rsidR="005B372A" w:rsidRPr="00AD36D6" w:rsidRDefault="00542064" w:rsidP="00923467">
            <w:pPr>
              <w:rPr>
                <w:sz w:val="18"/>
                <w:szCs w:val="18"/>
              </w:rPr>
            </w:pPr>
            <w:r w:rsidRPr="00AD36D6">
              <w:rPr>
                <w:sz w:val="18"/>
                <w:szCs w:val="18"/>
              </w:rPr>
              <w:t>Total</w:t>
            </w:r>
          </w:p>
        </w:tc>
        <w:tc>
          <w:tcPr>
            <w:tcW w:w="1984" w:type="dxa"/>
            <w:noWrap/>
            <w:hideMark/>
          </w:tcPr>
          <w:p w14:paraId="55CF8FAB" w14:textId="37933835" w:rsidR="005B372A" w:rsidRPr="00AD36D6" w:rsidRDefault="005B372A"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AD36D6">
              <w:rPr>
                <w:b/>
                <w:bCs/>
                <w:sz w:val="18"/>
                <w:szCs w:val="18"/>
              </w:rPr>
              <w:t>436,882,608</w:t>
            </w:r>
          </w:p>
        </w:tc>
        <w:tc>
          <w:tcPr>
            <w:tcW w:w="1559" w:type="dxa"/>
            <w:noWrap/>
            <w:hideMark/>
          </w:tcPr>
          <w:p w14:paraId="16C764F2" w14:textId="77777777" w:rsidR="005B372A" w:rsidRPr="00AD36D6" w:rsidRDefault="005B372A"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 </w:t>
            </w:r>
          </w:p>
        </w:tc>
      </w:tr>
    </w:tbl>
    <w:p w14:paraId="50708DB1" w14:textId="7CC422DD" w:rsidR="009C1515" w:rsidRPr="00923467" w:rsidRDefault="009C1515" w:rsidP="00923467">
      <w:pPr>
        <w:pStyle w:val="Caption"/>
      </w:pPr>
      <w:bookmarkStart w:id="103" w:name="_Toc137831157"/>
      <w:r w:rsidRPr="00923467">
        <w:t xml:space="preserve">Table </w:t>
      </w:r>
      <w:r w:rsidRPr="00923467">
        <w:fldChar w:fldCharType="begin"/>
      </w:r>
      <w:r w:rsidRPr="00923467">
        <w:instrText xml:space="preserve"> SEQ Table \* ARABIC </w:instrText>
      </w:r>
      <w:r w:rsidRPr="00923467">
        <w:fldChar w:fldCharType="separate"/>
      </w:r>
      <w:r w:rsidR="00E12E6B">
        <w:rPr>
          <w:noProof/>
        </w:rPr>
        <w:t>28</w:t>
      </w:r>
      <w:r w:rsidRPr="00923467">
        <w:fldChar w:fldCharType="end"/>
      </w:r>
      <w:r w:rsidRPr="00923467">
        <w:t>: DTD Arrears by Tax Type and Office</w:t>
      </w:r>
      <w:bookmarkEnd w:id="103"/>
    </w:p>
    <w:p w14:paraId="0E574198" w14:textId="12A546FE" w:rsidR="00A42DB0" w:rsidRPr="00AD36D6" w:rsidRDefault="009B6704" w:rsidP="00923467">
      <w:pPr>
        <w:rPr>
          <w:sz w:val="16"/>
          <w:szCs w:val="16"/>
        </w:rPr>
      </w:pPr>
      <w:r w:rsidRPr="00AD36D6">
        <w:rPr>
          <w:sz w:val="16"/>
          <w:szCs w:val="16"/>
        </w:rPr>
        <w:t>Source: DTD</w:t>
      </w:r>
    </w:p>
    <w:p w14:paraId="74BBBF4B" w14:textId="77777777" w:rsidR="0019531F" w:rsidRDefault="0019531F" w:rsidP="00923467">
      <w:pPr>
        <w:pStyle w:val="Heading2"/>
      </w:pPr>
      <w:bookmarkStart w:id="104" w:name="_Toc137831116"/>
    </w:p>
    <w:p w14:paraId="4C6F7B40" w14:textId="77777777" w:rsidR="0019531F" w:rsidRDefault="0019531F" w:rsidP="00923467">
      <w:pPr>
        <w:pStyle w:val="Heading2"/>
      </w:pPr>
    </w:p>
    <w:p w14:paraId="5EE3720D" w14:textId="77777777" w:rsidR="0019531F" w:rsidRDefault="0019531F" w:rsidP="00923467">
      <w:pPr>
        <w:pStyle w:val="Heading2"/>
      </w:pPr>
    </w:p>
    <w:p w14:paraId="1BDF401B" w14:textId="77777777" w:rsidR="0019531F" w:rsidRDefault="0019531F" w:rsidP="00923467">
      <w:pPr>
        <w:pStyle w:val="Heading2"/>
      </w:pPr>
    </w:p>
    <w:p w14:paraId="298AB41C" w14:textId="569B38CF" w:rsidR="00AC3174" w:rsidRPr="00923467" w:rsidRDefault="000E1F61" w:rsidP="00923467">
      <w:pPr>
        <w:pStyle w:val="Heading2"/>
      </w:pPr>
      <w:r w:rsidRPr="00923467">
        <w:t>DOMESTIC TAX DEPARTMENT AUDITS</w:t>
      </w:r>
      <w:bookmarkEnd w:id="104"/>
      <w:r w:rsidRPr="00923467">
        <w:t xml:space="preserve"> </w:t>
      </w:r>
    </w:p>
    <w:p w14:paraId="6AC0E6B9" w14:textId="49696C85" w:rsidR="009C1515" w:rsidRPr="00923467" w:rsidRDefault="00FE7121" w:rsidP="00923467">
      <w:r w:rsidRPr="00923467">
        <w:t xml:space="preserve">There are three sets of audits </w:t>
      </w:r>
      <w:r w:rsidR="00107C61" w:rsidRPr="00923467">
        <w:t>conducted</w:t>
      </w:r>
      <w:r w:rsidRPr="00923467">
        <w:t xml:space="preserve"> by </w:t>
      </w:r>
      <w:r w:rsidR="00107C61" w:rsidRPr="00923467">
        <w:t>the DTD</w:t>
      </w:r>
      <w:r w:rsidR="008E2E52" w:rsidRPr="00923467">
        <w:t xml:space="preserve"> which include audit of large taxpayers, medium </w:t>
      </w:r>
      <w:r w:rsidR="00FB732D" w:rsidRPr="00923467">
        <w:t>taxpayers,</w:t>
      </w:r>
      <w:r w:rsidR="008E2E52" w:rsidRPr="00923467">
        <w:t xml:space="preserve"> and </w:t>
      </w:r>
      <w:r w:rsidR="001A56AB" w:rsidRPr="00923467">
        <w:t xml:space="preserve">the </w:t>
      </w:r>
      <w:r w:rsidR="008E2E52" w:rsidRPr="00923467">
        <w:t xml:space="preserve">extractives. These audits can be either field audit, desk audit or a combination of both. The Design and Monitoring (D&amp;M) Unit </w:t>
      </w:r>
      <w:r w:rsidR="00126A8D" w:rsidRPr="00923467">
        <w:t xml:space="preserve">of the DTD </w:t>
      </w:r>
      <w:r w:rsidR="008E2E52" w:rsidRPr="00923467">
        <w:t xml:space="preserve">is responsible for </w:t>
      </w:r>
      <w:r w:rsidR="004E5A6C" w:rsidRPr="00923467">
        <w:t xml:space="preserve">risk profiling and the preparation of audit plan. </w:t>
      </w:r>
      <w:r w:rsidR="00EC3E0A" w:rsidRPr="00923467">
        <w:t xml:space="preserve">The audit plan identifies taxpayers that should be audited by the </w:t>
      </w:r>
      <w:r w:rsidR="00F9367B" w:rsidRPr="00923467">
        <w:t>A</w:t>
      </w:r>
      <w:r w:rsidR="00EC3E0A" w:rsidRPr="00923467">
        <w:t xml:space="preserve">udit </w:t>
      </w:r>
      <w:r w:rsidR="00F9367B" w:rsidRPr="00923467">
        <w:t>U</w:t>
      </w:r>
      <w:r w:rsidR="00EC3E0A" w:rsidRPr="00923467">
        <w:t xml:space="preserve">nit of the DTD. </w:t>
      </w:r>
    </w:p>
    <w:p w14:paraId="01DA4A19" w14:textId="3425131D" w:rsidR="000E1F61" w:rsidRPr="00923467" w:rsidRDefault="000E1F61" w:rsidP="00923467"/>
    <w:p w14:paraId="796DACDD" w14:textId="6BEBD8DF" w:rsidR="000E1F61" w:rsidRPr="00923467" w:rsidRDefault="000E1F61" w:rsidP="00EF2D32">
      <w:pPr>
        <w:pStyle w:val="Heading3"/>
      </w:pPr>
      <w:bookmarkStart w:id="105" w:name="_Toc137831117"/>
      <w:r w:rsidRPr="00923467">
        <w:t>Large Taxpayers Office</w:t>
      </w:r>
      <w:bookmarkEnd w:id="105"/>
    </w:p>
    <w:p w14:paraId="7EB22C02" w14:textId="4EC82FCD" w:rsidR="00C01BCF" w:rsidRPr="00923467" w:rsidRDefault="006A1344" w:rsidP="00923467">
      <w:pPr>
        <w:rPr>
          <w:highlight w:val="yellow"/>
        </w:rPr>
      </w:pPr>
      <w:r w:rsidRPr="00923467">
        <w:t xml:space="preserve">Table </w:t>
      </w:r>
      <w:r w:rsidR="009C1515" w:rsidRPr="00923467">
        <w:t xml:space="preserve">29 </w:t>
      </w:r>
      <w:r w:rsidRPr="00923467">
        <w:t xml:space="preserve">shows the tax audit liability </w:t>
      </w:r>
      <w:r w:rsidR="00BD22E5" w:rsidRPr="00923467">
        <w:t xml:space="preserve">by tax type for large taxpayers </w:t>
      </w:r>
      <w:r w:rsidR="009660C6" w:rsidRPr="00923467">
        <w:t xml:space="preserve">by tax type and the number of </w:t>
      </w:r>
      <w:r w:rsidR="00194C87" w:rsidRPr="00923467">
        <w:t>planned</w:t>
      </w:r>
      <w:r w:rsidR="009660C6" w:rsidRPr="00923467">
        <w:t xml:space="preserve"> and completed audit</w:t>
      </w:r>
      <w:r w:rsidR="007D132E" w:rsidRPr="00923467">
        <w:t>s</w:t>
      </w:r>
      <w:r w:rsidR="009660C6" w:rsidRPr="00923467">
        <w:t xml:space="preserve"> in 202</w:t>
      </w:r>
      <w:r w:rsidR="007B635A" w:rsidRPr="00923467">
        <w:t>1</w:t>
      </w:r>
      <w:r w:rsidR="009660C6" w:rsidRPr="00923467">
        <w:t xml:space="preserve"> and 2022. </w:t>
      </w:r>
      <w:r w:rsidR="00580EEF" w:rsidRPr="00923467">
        <w:t xml:space="preserve">The total number of audits </w:t>
      </w:r>
      <w:r w:rsidR="00AA00BC" w:rsidRPr="00923467">
        <w:t xml:space="preserve">to be completed </w:t>
      </w:r>
      <w:r w:rsidR="00580EEF" w:rsidRPr="00923467">
        <w:t xml:space="preserve">in 2022 was </w:t>
      </w:r>
      <w:r w:rsidR="00AA00BC" w:rsidRPr="00923467">
        <w:t>1</w:t>
      </w:r>
      <w:r w:rsidR="00580EEF" w:rsidRPr="00923467">
        <w:t>5</w:t>
      </w:r>
      <w:r w:rsidR="00AA00BC" w:rsidRPr="00923467">
        <w:t>0</w:t>
      </w:r>
      <w:r w:rsidR="00580EEF" w:rsidRPr="00923467">
        <w:t xml:space="preserve"> compared to </w:t>
      </w:r>
      <w:r w:rsidR="00AA00BC" w:rsidRPr="00923467">
        <w:t>95</w:t>
      </w:r>
      <w:r w:rsidR="00580EEF" w:rsidRPr="00923467">
        <w:t xml:space="preserve"> </w:t>
      </w:r>
      <w:r w:rsidR="00A0207E" w:rsidRPr="00923467">
        <w:t>of</w:t>
      </w:r>
      <w:r w:rsidR="00580EEF" w:rsidRPr="00923467">
        <w:t xml:space="preserve"> the previous year. </w:t>
      </w:r>
      <w:r w:rsidR="00E87574" w:rsidRPr="00923467">
        <w:t xml:space="preserve">A total of 99 audits were completed in 2022 which </w:t>
      </w:r>
      <w:r w:rsidR="00646742" w:rsidRPr="00923467">
        <w:t xml:space="preserve">fell short of </w:t>
      </w:r>
      <w:r w:rsidR="00BF3CDF" w:rsidRPr="00923467">
        <w:t>the target</w:t>
      </w:r>
      <w:r w:rsidR="00646742" w:rsidRPr="00923467">
        <w:t xml:space="preserve"> by 51</w:t>
      </w:r>
      <w:r w:rsidR="00E87574" w:rsidRPr="00923467">
        <w:t xml:space="preserve">. </w:t>
      </w:r>
      <w:r w:rsidR="005E357E" w:rsidRPr="00923467">
        <w:t xml:space="preserve">The number of audits completed in 2021 was </w:t>
      </w:r>
      <w:r w:rsidR="003044E7" w:rsidRPr="00923467">
        <w:t xml:space="preserve">also </w:t>
      </w:r>
      <w:r w:rsidR="005E357E" w:rsidRPr="00923467">
        <w:t xml:space="preserve">less than the </w:t>
      </w:r>
      <w:r w:rsidR="00A65F2B" w:rsidRPr="00923467">
        <w:t>target</w:t>
      </w:r>
      <w:r w:rsidR="005E357E" w:rsidRPr="00923467">
        <w:t xml:space="preserve"> by </w:t>
      </w:r>
      <w:r w:rsidR="00BB0F14" w:rsidRPr="00923467">
        <w:t>20</w:t>
      </w:r>
      <w:r w:rsidR="005E357E" w:rsidRPr="00923467">
        <w:t xml:space="preserve">. </w:t>
      </w:r>
      <w:r w:rsidR="00F76110" w:rsidRPr="00923467">
        <w:t xml:space="preserve">Even though the total number of completed audits in 2022 was greater than that of 2021, the </w:t>
      </w:r>
      <w:r w:rsidR="00A433F4" w:rsidRPr="00923467">
        <w:t xml:space="preserve">total tax </w:t>
      </w:r>
      <w:r w:rsidR="00607B06" w:rsidRPr="00923467">
        <w:t xml:space="preserve">audit </w:t>
      </w:r>
      <w:r w:rsidR="00A433F4" w:rsidRPr="00923467">
        <w:t xml:space="preserve">liability established in 2022 </w:t>
      </w:r>
      <w:r w:rsidR="00130011" w:rsidRPr="00923467">
        <w:t xml:space="preserve">for large taxpayers </w:t>
      </w:r>
      <w:r w:rsidR="00A433F4" w:rsidRPr="00923467">
        <w:t xml:space="preserve">was less than </w:t>
      </w:r>
      <w:r w:rsidR="00BB0F14" w:rsidRPr="00923467">
        <w:t xml:space="preserve">that </w:t>
      </w:r>
      <w:r w:rsidR="00A433F4" w:rsidRPr="00923467">
        <w:t xml:space="preserve">of 2021 by </w:t>
      </w:r>
      <w:proofErr w:type="spellStart"/>
      <w:r w:rsidR="00DB586C" w:rsidRPr="00923467">
        <w:t>N</w:t>
      </w:r>
      <w:r w:rsidR="00A433F4" w:rsidRPr="00923467">
        <w:t>Le</w:t>
      </w:r>
      <w:proofErr w:type="spellEnd"/>
      <w:r w:rsidR="00A433F4" w:rsidRPr="00923467">
        <w:t xml:space="preserve"> </w:t>
      </w:r>
      <w:r w:rsidR="00DB586C" w:rsidRPr="00923467">
        <w:t>51,194,678</w:t>
      </w:r>
      <w:r w:rsidR="00A433F4" w:rsidRPr="00923467">
        <w:t>.</w:t>
      </w:r>
    </w:p>
    <w:p w14:paraId="5A3F0742" w14:textId="053D9744" w:rsidR="00CD2AFD" w:rsidRPr="00923467" w:rsidRDefault="00CD2AFD" w:rsidP="00923467"/>
    <w:tbl>
      <w:tblPr>
        <w:tblStyle w:val="GridTable4-Accent5"/>
        <w:tblW w:w="6658" w:type="dxa"/>
        <w:tblLook w:val="04A0" w:firstRow="1" w:lastRow="0" w:firstColumn="1" w:lastColumn="0" w:noHBand="0" w:noVBand="1"/>
      </w:tblPr>
      <w:tblGrid>
        <w:gridCol w:w="2830"/>
        <w:gridCol w:w="1276"/>
        <w:gridCol w:w="1276"/>
        <w:gridCol w:w="1276"/>
      </w:tblGrid>
      <w:tr w:rsidR="00CD2AFD" w:rsidRPr="00923467" w14:paraId="53DB9F59" w14:textId="77777777" w:rsidTr="00AD36D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C255CD3" w14:textId="77777777" w:rsidR="00CD2AFD" w:rsidRPr="00AD36D6" w:rsidRDefault="00CD2AFD" w:rsidP="00923467">
            <w:pPr>
              <w:rPr>
                <w:sz w:val="18"/>
                <w:szCs w:val="18"/>
              </w:rPr>
            </w:pPr>
            <w:r w:rsidRPr="00AD36D6">
              <w:rPr>
                <w:sz w:val="18"/>
                <w:szCs w:val="18"/>
              </w:rPr>
              <w:t>Tax Type</w:t>
            </w:r>
          </w:p>
        </w:tc>
        <w:tc>
          <w:tcPr>
            <w:tcW w:w="1276" w:type="dxa"/>
            <w:noWrap/>
            <w:hideMark/>
          </w:tcPr>
          <w:p w14:paraId="0066CC72" w14:textId="77777777" w:rsidR="00CD2AFD" w:rsidRPr="00AD36D6" w:rsidRDefault="00CD2AFD"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D36D6">
              <w:rPr>
                <w:sz w:val="18"/>
                <w:szCs w:val="18"/>
              </w:rPr>
              <w:t>2021</w:t>
            </w:r>
          </w:p>
        </w:tc>
        <w:tc>
          <w:tcPr>
            <w:tcW w:w="1276" w:type="dxa"/>
            <w:noWrap/>
            <w:hideMark/>
          </w:tcPr>
          <w:p w14:paraId="02BDD0F7" w14:textId="77777777" w:rsidR="00CD2AFD" w:rsidRPr="00AD36D6" w:rsidRDefault="00CD2AFD"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D36D6">
              <w:rPr>
                <w:sz w:val="18"/>
                <w:szCs w:val="18"/>
              </w:rPr>
              <w:t>2022</w:t>
            </w:r>
          </w:p>
        </w:tc>
        <w:tc>
          <w:tcPr>
            <w:tcW w:w="1276" w:type="dxa"/>
            <w:noWrap/>
            <w:hideMark/>
          </w:tcPr>
          <w:p w14:paraId="470632E7" w14:textId="3EC9EC5A" w:rsidR="00CD2AFD" w:rsidRPr="00AD36D6" w:rsidRDefault="00F24073"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AD36D6">
              <w:rPr>
                <w:sz w:val="18"/>
                <w:szCs w:val="18"/>
              </w:rPr>
              <w:t>Difference</w:t>
            </w:r>
          </w:p>
        </w:tc>
      </w:tr>
      <w:tr w:rsidR="00CD2AFD" w:rsidRPr="00923467" w14:paraId="33265110" w14:textId="77777777" w:rsidTr="00AD36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2B7CF246" w14:textId="77777777" w:rsidR="00CD2AFD" w:rsidRPr="00AD36D6" w:rsidRDefault="00CD2AFD" w:rsidP="00923467">
            <w:pPr>
              <w:rPr>
                <w:b w:val="0"/>
                <w:bCs w:val="0"/>
                <w:sz w:val="18"/>
                <w:szCs w:val="18"/>
              </w:rPr>
            </w:pPr>
            <w:r w:rsidRPr="00AD36D6">
              <w:rPr>
                <w:b w:val="0"/>
                <w:bCs w:val="0"/>
                <w:sz w:val="18"/>
                <w:szCs w:val="18"/>
              </w:rPr>
              <w:t>Corporation Tax</w:t>
            </w:r>
          </w:p>
        </w:tc>
        <w:tc>
          <w:tcPr>
            <w:tcW w:w="1276" w:type="dxa"/>
            <w:noWrap/>
            <w:hideMark/>
          </w:tcPr>
          <w:p w14:paraId="73673235" w14:textId="63C5F13B"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12,110,295</w:t>
            </w:r>
          </w:p>
        </w:tc>
        <w:tc>
          <w:tcPr>
            <w:tcW w:w="1276" w:type="dxa"/>
            <w:noWrap/>
            <w:hideMark/>
          </w:tcPr>
          <w:p w14:paraId="58FDFFBB" w14:textId="3BC45E58"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(4,696,957)</w:t>
            </w:r>
          </w:p>
        </w:tc>
        <w:tc>
          <w:tcPr>
            <w:tcW w:w="1276" w:type="dxa"/>
            <w:noWrap/>
            <w:hideMark/>
          </w:tcPr>
          <w:p w14:paraId="2348991A" w14:textId="77641DBF"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(16,807,252)</w:t>
            </w:r>
          </w:p>
        </w:tc>
      </w:tr>
      <w:tr w:rsidR="00CD2AFD" w:rsidRPr="00923467" w14:paraId="072E5B9D" w14:textId="77777777" w:rsidTr="00AD36D6">
        <w:trPr>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6000ABC0" w14:textId="77777777" w:rsidR="00CD2AFD" w:rsidRPr="00AD36D6" w:rsidRDefault="00CD2AFD" w:rsidP="00923467">
            <w:pPr>
              <w:rPr>
                <w:b w:val="0"/>
                <w:bCs w:val="0"/>
                <w:sz w:val="18"/>
                <w:szCs w:val="18"/>
              </w:rPr>
            </w:pPr>
            <w:r w:rsidRPr="00AD36D6">
              <w:rPr>
                <w:b w:val="0"/>
                <w:bCs w:val="0"/>
                <w:sz w:val="18"/>
                <w:szCs w:val="18"/>
              </w:rPr>
              <w:t>Personal Income Tax</w:t>
            </w:r>
          </w:p>
        </w:tc>
        <w:tc>
          <w:tcPr>
            <w:tcW w:w="1276" w:type="dxa"/>
            <w:noWrap/>
            <w:hideMark/>
          </w:tcPr>
          <w:p w14:paraId="14C9D5E5" w14:textId="70F139D3" w:rsidR="00CD2AFD" w:rsidRPr="00AD36D6" w:rsidRDefault="00CD2AFD"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3,171,602</w:t>
            </w:r>
          </w:p>
        </w:tc>
        <w:tc>
          <w:tcPr>
            <w:tcW w:w="1276" w:type="dxa"/>
            <w:noWrap/>
            <w:hideMark/>
          </w:tcPr>
          <w:p w14:paraId="1E1F704F" w14:textId="629749A8" w:rsidR="00CD2AFD" w:rsidRPr="00AD36D6" w:rsidRDefault="00CD2AFD"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540,813</w:t>
            </w:r>
          </w:p>
        </w:tc>
        <w:tc>
          <w:tcPr>
            <w:tcW w:w="1276" w:type="dxa"/>
            <w:noWrap/>
            <w:hideMark/>
          </w:tcPr>
          <w:p w14:paraId="3724506E" w14:textId="60F18F77" w:rsidR="00CD2AFD" w:rsidRPr="00AD36D6" w:rsidRDefault="00CD2AFD"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(2,630,789)</w:t>
            </w:r>
          </w:p>
        </w:tc>
      </w:tr>
      <w:tr w:rsidR="00CD2AFD" w:rsidRPr="00923467" w14:paraId="5E153496" w14:textId="77777777" w:rsidTr="00AD36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87D4CBC" w14:textId="0D35C065" w:rsidR="00CD2AFD" w:rsidRPr="00AD36D6" w:rsidRDefault="008309B3" w:rsidP="00923467">
            <w:pPr>
              <w:rPr>
                <w:b w:val="0"/>
                <w:bCs w:val="0"/>
                <w:sz w:val="18"/>
                <w:szCs w:val="18"/>
              </w:rPr>
            </w:pPr>
            <w:r w:rsidRPr="00AD36D6">
              <w:rPr>
                <w:b w:val="0"/>
                <w:bCs w:val="0"/>
                <w:sz w:val="18"/>
                <w:szCs w:val="18"/>
              </w:rPr>
              <w:t xml:space="preserve">Withholding Tax </w:t>
            </w:r>
          </w:p>
        </w:tc>
        <w:tc>
          <w:tcPr>
            <w:tcW w:w="1276" w:type="dxa"/>
            <w:noWrap/>
            <w:hideMark/>
          </w:tcPr>
          <w:p w14:paraId="19F592B4" w14:textId="2B53DCB8"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33,585,659</w:t>
            </w:r>
          </w:p>
        </w:tc>
        <w:tc>
          <w:tcPr>
            <w:tcW w:w="1276" w:type="dxa"/>
            <w:noWrap/>
            <w:hideMark/>
          </w:tcPr>
          <w:p w14:paraId="7D09C506" w14:textId="06569A79"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14,359,835</w:t>
            </w:r>
          </w:p>
        </w:tc>
        <w:tc>
          <w:tcPr>
            <w:tcW w:w="1276" w:type="dxa"/>
            <w:noWrap/>
            <w:hideMark/>
          </w:tcPr>
          <w:p w14:paraId="7AD87BE0" w14:textId="4370C1F7"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(19,225,824)</w:t>
            </w:r>
          </w:p>
        </w:tc>
      </w:tr>
      <w:tr w:rsidR="00CD2AFD" w:rsidRPr="00923467" w14:paraId="2E514824" w14:textId="77777777" w:rsidTr="00AD36D6">
        <w:trPr>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6E8F5434" w14:textId="77777777" w:rsidR="00CD2AFD" w:rsidRPr="00AD36D6" w:rsidRDefault="00CD2AFD" w:rsidP="00923467">
            <w:pPr>
              <w:rPr>
                <w:b w:val="0"/>
                <w:bCs w:val="0"/>
                <w:sz w:val="18"/>
                <w:szCs w:val="18"/>
              </w:rPr>
            </w:pPr>
            <w:r w:rsidRPr="00AD36D6">
              <w:rPr>
                <w:b w:val="0"/>
                <w:bCs w:val="0"/>
                <w:sz w:val="18"/>
                <w:szCs w:val="18"/>
              </w:rPr>
              <w:t>Retained Earnings</w:t>
            </w:r>
          </w:p>
        </w:tc>
        <w:tc>
          <w:tcPr>
            <w:tcW w:w="1276" w:type="dxa"/>
            <w:noWrap/>
            <w:hideMark/>
          </w:tcPr>
          <w:p w14:paraId="0B9E3672" w14:textId="115AE403" w:rsidR="00CD2AFD" w:rsidRPr="00AD36D6" w:rsidRDefault="00CD2AFD"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781,351</w:t>
            </w:r>
          </w:p>
        </w:tc>
        <w:tc>
          <w:tcPr>
            <w:tcW w:w="1276" w:type="dxa"/>
            <w:noWrap/>
            <w:hideMark/>
          </w:tcPr>
          <w:p w14:paraId="4F9B6817" w14:textId="39275F62" w:rsidR="00CD2AFD" w:rsidRPr="00AD36D6" w:rsidRDefault="00CD2AFD"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32,610</w:t>
            </w:r>
          </w:p>
        </w:tc>
        <w:tc>
          <w:tcPr>
            <w:tcW w:w="1276" w:type="dxa"/>
            <w:noWrap/>
            <w:hideMark/>
          </w:tcPr>
          <w:p w14:paraId="17F5086F" w14:textId="36830699" w:rsidR="00CD2AFD" w:rsidRPr="00AD36D6" w:rsidRDefault="00CD2AFD"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(748,741)</w:t>
            </w:r>
          </w:p>
        </w:tc>
      </w:tr>
      <w:tr w:rsidR="00CD2AFD" w:rsidRPr="00923467" w14:paraId="6BB132C4" w14:textId="77777777" w:rsidTr="00AD36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7F49614B" w14:textId="77777777" w:rsidR="00CD2AFD" w:rsidRPr="00AD36D6" w:rsidRDefault="00CD2AFD" w:rsidP="00923467">
            <w:pPr>
              <w:rPr>
                <w:b w:val="0"/>
                <w:bCs w:val="0"/>
                <w:sz w:val="18"/>
                <w:szCs w:val="18"/>
              </w:rPr>
            </w:pPr>
            <w:r w:rsidRPr="00AD36D6">
              <w:rPr>
                <w:b w:val="0"/>
                <w:bCs w:val="0"/>
                <w:sz w:val="18"/>
                <w:szCs w:val="18"/>
              </w:rPr>
              <w:t>PAYE</w:t>
            </w:r>
          </w:p>
        </w:tc>
        <w:tc>
          <w:tcPr>
            <w:tcW w:w="1276" w:type="dxa"/>
            <w:noWrap/>
            <w:hideMark/>
          </w:tcPr>
          <w:p w14:paraId="3D2680BE" w14:textId="46C37B20"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9,288,934</w:t>
            </w:r>
          </w:p>
        </w:tc>
        <w:tc>
          <w:tcPr>
            <w:tcW w:w="1276" w:type="dxa"/>
            <w:noWrap/>
            <w:hideMark/>
          </w:tcPr>
          <w:p w14:paraId="0925D4AA" w14:textId="34F14F2C"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11,318,037</w:t>
            </w:r>
          </w:p>
        </w:tc>
        <w:tc>
          <w:tcPr>
            <w:tcW w:w="1276" w:type="dxa"/>
            <w:noWrap/>
            <w:hideMark/>
          </w:tcPr>
          <w:p w14:paraId="0B5C36DB" w14:textId="7B1D833B"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2,029,103</w:t>
            </w:r>
          </w:p>
        </w:tc>
      </w:tr>
      <w:tr w:rsidR="00CD2AFD" w:rsidRPr="00923467" w14:paraId="231AA26F" w14:textId="77777777" w:rsidTr="00AD36D6">
        <w:trPr>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7F586C9" w14:textId="237D93DE" w:rsidR="00CD2AFD" w:rsidRPr="00AD36D6" w:rsidRDefault="008309B3" w:rsidP="00923467">
            <w:pPr>
              <w:rPr>
                <w:b w:val="0"/>
                <w:bCs w:val="0"/>
                <w:sz w:val="18"/>
                <w:szCs w:val="18"/>
              </w:rPr>
            </w:pPr>
            <w:r w:rsidRPr="00AD36D6">
              <w:rPr>
                <w:b w:val="0"/>
                <w:bCs w:val="0"/>
                <w:sz w:val="18"/>
                <w:szCs w:val="18"/>
              </w:rPr>
              <w:t>Payroll</w:t>
            </w:r>
            <w:r w:rsidR="00A80223" w:rsidRPr="00AD36D6">
              <w:rPr>
                <w:b w:val="0"/>
                <w:bCs w:val="0"/>
                <w:sz w:val="18"/>
                <w:szCs w:val="18"/>
              </w:rPr>
              <w:t xml:space="preserve"> Tax</w:t>
            </w:r>
          </w:p>
        </w:tc>
        <w:tc>
          <w:tcPr>
            <w:tcW w:w="1276" w:type="dxa"/>
            <w:noWrap/>
            <w:hideMark/>
          </w:tcPr>
          <w:p w14:paraId="714090FA" w14:textId="5EEFEB69" w:rsidR="00CD2AFD" w:rsidRPr="00AD36D6" w:rsidRDefault="00CD2AFD"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456,349</w:t>
            </w:r>
          </w:p>
        </w:tc>
        <w:tc>
          <w:tcPr>
            <w:tcW w:w="1276" w:type="dxa"/>
            <w:noWrap/>
            <w:hideMark/>
          </w:tcPr>
          <w:p w14:paraId="5506BD5B" w14:textId="32325D7D" w:rsidR="00CD2AFD" w:rsidRPr="00AD36D6" w:rsidRDefault="00CD2AFD"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147,000</w:t>
            </w:r>
          </w:p>
        </w:tc>
        <w:tc>
          <w:tcPr>
            <w:tcW w:w="1276" w:type="dxa"/>
            <w:noWrap/>
            <w:hideMark/>
          </w:tcPr>
          <w:p w14:paraId="7E9B33AE" w14:textId="51394C57" w:rsidR="00CD2AFD" w:rsidRPr="00AD36D6" w:rsidRDefault="00CD2AFD"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(309,349)</w:t>
            </w:r>
          </w:p>
        </w:tc>
      </w:tr>
      <w:tr w:rsidR="00CD2AFD" w:rsidRPr="00923467" w14:paraId="146E66DE" w14:textId="77777777" w:rsidTr="00AD36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4FD6387E" w14:textId="77777777" w:rsidR="00CD2AFD" w:rsidRPr="00AD36D6" w:rsidRDefault="00CD2AFD" w:rsidP="00923467">
            <w:pPr>
              <w:rPr>
                <w:b w:val="0"/>
                <w:bCs w:val="0"/>
                <w:sz w:val="18"/>
                <w:szCs w:val="18"/>
              </w:rPr>
            </w:pPr>
            <w:r w:rsidRPr="00AD36D6">
              <w:rPr>
                <w:b w:val="0"/>
                <w:bCs w:val="0"/>
                <w:sz w:val="18"/>
                <w:szCs w:val="18"/>
              </w:rPr>
              <w:t>GST</w:t>
            </w:r>
          </w:p>
        </w:tc>
        <w:tc>
          <w:tcPr>
            <w:tcW w:w="1276" w:type="dxa"/>
            <w:noWrap/>
            <w:hideMark/>
          </w:tcPr>
          <w:p w14:paraId="68420E24" w14:textId="1477F142"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11,391,089</w:t>
            </w:r>
          </w:p>
        </w:tc>
        <w:tc>
          <w:tcPr>
            <w:tcW w:w="1276" w:type="dxa"/>
            <w:noWrap/>
            <w:hideMark/>
          </w:tcPr>
          <w:p w14:paraId="49256926" w14:textId="3CECEFC2"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4,821,269</w:t>
            </w:r>
          </w:p>
        </w:tc>
        <w:tc>
          <w:tcPr>
            <w:tcW w:w="1276" w:type="dxa"/>
            <w:noWrap/>
            <w:hideMark/>
          </w:tcPr>
          <w:p w14:paraId="3B3FAA20" w14:textId="68B6BF9D"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(6,569,820)</w:t>
            </w:r>
          </w:p>
        </w:tc>
      </w:tr>
      <w:tr w:rsidR="00CD2AFD" w:rsidRPr="00923467" w14:paraId="223D0AEC" w14:textId="77777777" w:rsidTr="00AD36D6">
        <w:trPr>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6A6D12EF" w14:textId="77777777" w:rsidR="00CD2AFD" w:rsidRPr="00AD36D6" w:rsidRDefault="00CD2AFD" w:rsidP="00923467">
            <w:pPr>
              <w:rPr>
                <w:b w:val="0"/>
                <w:bCs w:val="0"/>
                <w:sz w:val="18"/>
                <w:szCs w:val="18"/>
              </w:rPr>
            </w:pPr>
            <w:r w:rsidRPr="00AD36D6">
              <w:rPr>
                <w:b w:val="0"/>
                <w:bCs w:val="0"/>
                <w:sz w:val="18"/>
                <w:szCs w:val="18"/>
              </w:rPr>
              <w:t>Tax Paid/Tax Credit</w:t>
            </w:r>
          </w:p>
        </w:tc>
        <w:tc>
          <w:tcPr>
            <w:tcW w:w="1276" w:type="dxa"/>
            <w:noWrap/>
            <w:hideMark/>
          </w:tcPr>
          <w:p w14:paraId="757C552E" w14:textId="45E1D795" w:rsidR="00CD2AFD" w:rsidRPr="00AD36D6" w:rsidRDefault="00CD2AFD" w:rsidP="00923467">
            <w:pPr>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noWrap/>
            <w:hideMark/>
          </w:tcPr>
          <w:p w14:paraId="3DDCB74D" w14:textId="0418380A" w:rsidR="00CD2AFD" w:rsidRPr="00AD36D6" w:rsidRDefault="00CD2AFD"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(3,637,906)</w:t>
            </w:r>
          </w:p>
        </w:tc>
        <w:tc>
          <w:tcPr>
            <w:tcW w:w="1276" w:type="dxa"/>
            <w:noWrap/>
            <w:hideMark/>
          </w:tcPr>
          <w:p w14:paraId="5770ECE6" w14:textId="302A80FF" w:rsidR="00CD2AFD" w:rsidRPr="00AD36D6" w:rsidRDefault="00CD2AFD"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(3,637,906)</w:t>
            </w:r>
          </w:p>
        </w:tc>
      </w:tr>
      <w:tr w:rsidR="00CD2AFD" w:rsidRPr="00923467" w14:paraId="502EE798" w14:textId="77777777" w:rsidTr="00AD36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AD8D1A2" w14:textId="77777777" w:rsidR="00CD2AFD" w:rsidRPr="00AD36D6" w:rsidRDefault="00CD2AFD" w:rsidP="00923467">
            <w:pPr>
              <w:rPr>
                <w:b w:val="0"/>
                <w:bCs w:val="0"/>
                <w:sz w:val="18"/>
                <w:szCs w:val="18"/>
              </w:rPr>
            </w:pPr>
            <w:r w:rsidRPr="00AD36D6">
              <w:rPr>
                <w:b w:val="0"/>
                <w:bCs w:val="0"/>
                <w:sz w:val="18"/>
                <w:szCs w:val="18"/>
              </w:rPr>
              <w:t>Penalty</w:t>
            </w:r>
          </w:p>
        </w:tc>
        <w:tc>
          <w:tcPr>
            <w:tcW w:w="1276" w:type="dxa"/>
            <w:noWrap/>
            <w:hideMark/>
          </w:tcPr>
          <w:p w14:paraId="0AEEFBC9" w14:textId="3EB19A9E"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8,931,912</w:t>
            </w:r>
          </w:p>
        </w:tc>
        <w:tc>
          <w:tcPr>
            <w:tcW w:w="1276" w:type="dxa"/>
            <w:noWrap/>
            <w:hideMark/>
          </w:tcPr>
          <w:p w14:paraId="0D3E0FE3" w14:textId="23B691BF"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5,637,812</w:t>
            </w:r>
          </w:p>
        </w:tc>
        <w:tc>
          <w:tcPr>
            <w:tcW w:w="1276" w:type="dxa"/>
            <w:noWrap/>
            <w:hideMark/>
          </w:tcPr>
          <w:p w14:paraId="20F41DFB" w14:textId="2E02058F"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(3,294,100)</w:t>
            </w:r>
          </w:p>
        </w:tc>
      </w:tr>
      <w:tr w:rsidR="00CD2AFD" w:rsidRPr="00923467" w14:paraId="74BE2F0F" w14:textId="77777777" w:rsidTr="00AD36D6">
        <w:trPr>
          <w:trHeight w:val="31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277A203" w14:textId="7E52EB9B" w:rsidR="00CD2AFD" w:rsidRPr="00AD36D6" w:rsidRDefault="00542064" w:rsidP="00923467">
            <w:pPr>
              <w:rPr>
                <w:sz w:val="18"/>
                <w:szCs w:val="18"/>
              </w:rPr>
            </w:pPr>
            <w:r w:rsidRPr="00AD36D6">
              <w:rPr>
                <w:sz w:val="18"/>
                <w:szCs w:val="18"/>
              </w:rPr>
              <w:t>Total</w:t>
            </w:r>
            <w:r w:rsidR="004432BB" w:rsidRPr="00AD36D6">
              <w:rPr>
                <w:sz w:val="18"/>
                <w:szCs w:val="18"/>
              </w:rPr>
              <w:t xml:space="preserve"> </w:t>
            </w:r>
            <w:r w:rsidR="00CD2AFD" w:rsidRPr="00AD36D6">
              <w:rPr>
                <w:sz w:val="18"/>
                <w:szCs w:val="18"/>
              </w:rPr>
              <w:t>(</w:t>
            </w:r>
            <w:proofErr w:type="spellStart"/>
            <w:r w:rsidR="00DF68BE">
              <w:rPr>
                <w:sz w:val="18"/>
                <w:szCs w:val="18"/>
              </w:rPr>
              <w:t>N</w:t>
            </w:r>
            <w:r w:rsidR="00CD2AFD" w:rsidRPr="00AD36D6">
              <w:rPr>
                <w:sz w:val="18"/>
                <w:szCs w:val="18"/>
              </w:rPr>
              <w:t>Le</w:t>
            </w:r>
            <w:proofErr w:type="spellEnd"/>
            <w:r w:rsidR="00CD2AFD" w:rsidRPr="00AD36D6">
              <w:rPr>
                <w:sz w:val="18"/>
                <w:szCs w:val="18"/>
              </w:rPr>
              <w:t>)</w:t>
            </w:r>
          </w:p>
        </w:tc>
        <w:tc>
          <w:tcPr>
            <w:tcW w:w="1276" w:type="dxa"/>
            <w:noWrap/>
            <w:hideMark/>
          </w:tcPr>
          <w:p w14:paraId="328F273B" w14:textId="63170A15" w:rsidR="00CD2AFD" w:rsidRPr="00AD36D6" w:rsidRDefault="00CD2AFD"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79,717,191</w:t>
            </w:r>
          </w:p>
        </w:tc>
        <w:tc>
          <w:tcPr>
            <w:tcW w:w="1276" w:type="dxa"/>
            <w:noWrap/>
            <w:hideMark/>
          </w:tcPr>
          <w:p w14:paraId="38E0C99E" w14:textId="17C80D2C" w:rsidR="00CD2AFD" w:rsidRPr="00AD36D6" w:rsidRDefault="00CD2AFD"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28,522,513</w:t>
            </w:r>
          </w:p>
        </w:tc>
        <w:tc>
          <w:tcPr>
            <w:tcW w:w="1276" w:type="dxa"/>
            <w:noWrap/>
            <w:hideMark/>
          </w:tcPr>
          <w:p w14:paraId="22A37B4E" w14:textId="70ADFD7D" w:rsidR="00CD2AFD" w:rsidRPr="00AD36D6" w:rsidRDefault="00CD2AFD"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AD36D6">
              <w:rPr>
                <w:b/>
                <w:bCs/>
                <w:sz w:val="18"/>
                <w:szCs w:val="18"/>
              </w:rPr>
              <w:t>(51,194,678)</w:t>
            </w:r>
          </w:p>
        </w:tc>
      </w:tr>
      <w:tr w:rsidR="00CD2AFD" w:rsidRPr="00923467" w14:paraId="4268F780" w14:textId="77777777" w:rsidTr="00AD36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F20367B" w14:textId="77777777" w:rsidR="00CD2AFD" w:rsidRPr="00AD36D6" w:rsidRDefault="00CD2AFD" w:rsidP="00923467">
            <w:pPr>
              <w:rPr>
                <w:b w:val="0"/>
                <w:bCs w:val="0"/>
                <w:sz w:val="18"/>
                <w:szCs w:val="18"/>
              </w:rPr>
            </w:pPr>
            <w:r w:rsidRPr="00AD36D6">
              <w:rPr>
                <w:b w:val="0"/>
                <w:bCs w:val="0"/>
                <w:sz w:val="18"/>
                <w:szCs w:val="18"/>
              </w:rPr>
              <w:t>No. of Taxpayers Audited (A)</w:t>
            </w:r>
          </w:p>
        </w:tc>
        <w:tc>
          <w:tcPr>
            <w:tcW w:w="1276" w:type="dxa"/>
            <w:noWrap/>
            <w:hideMark/>
          </w:tcPr>
          <w:p w14:paraId="51D6D30A" w14:textId="5A36B3C4"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75</w:t>
            </w:r>
          </w:p>
        </w:tc>
        <w:tc>
          <w:tcPr>
            <w:tcW w:w="1276" w:type="dxa"/>
            <w:noWrap/>
            <w:hideMark/>
          </w:tcPr>
          <w:p w14:paraId="396B15FA" w14:textId="77777777"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99</w:t>
            </w:r>
          </w:p>
        </w:tc>
        <w:tc>
          <w:tcPr>
            <w:tcW w:w="1276" w:type="dxa"/>
            <w:noWrap/>
            <w:hideMark/>
          </w:tcPr>
          <w:p w14:paraId="5C36EE83" w14:textId="01C9999D"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r w:rsidRPr="00AD36D6">
              <w:rPr>
                <w:sz w:val="18"/>
                <w:szCs w:val="18"/>
              </w:rPr>
              <w:t>24</w:t>
            </w:r>
          </w:p>
        </w:tc>
      </w:tr>
      <w:tr w:rsidR="00CD2AFD" w:rsidRPr="00923467" w14:paraId="58EF6B43" w14:textId="77777777" w:rsidTr="00AD36D6">
        <w:trPr>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4FEBB028" w14:textId="4A03CB7D" w:rsidR="00CD2AFD" w:rsidRPr="00AD36D6" w:rsidRDefault="00CD2AFD" w:rsidP="00923467">
            <w:pPr>
              <w:rPr>
                <w:b w:val="0"/>
                <w:bCs w:val="0"/>
                <w:sz w:val="18"/>
                <w:szCs w:val="18"/>
              </w:rPr>
            </w:pPr>
            <w:r w:rsidRPr="00AD36D6">
              <w:rPr>
                <w:b w:val="0"/>
                <w:bCs w:val="0"/>
                <w:sz w:val="18"/>
                <w:szCs w:val="18"/>
              </w:rPr>
              <w:t xml:space="preserve">No. of </w:t>
            </w:r>
            <w:r w:rsidR="005D7BDA" w:rsidRPr="00AD36D6">
              <w:rPr>
                <w:b w:val="0"/>
                <w:bCs w:val="0"/>
                <w:sz w:val="18"/>
                <w:szCs w:val="18"/>
              </w:rPr>
              <w:t>Target</w:t>
            </w:r>
            <w:r w:rsidRPr="00AD36D6">
              <w:rPr>
                <w:b w:val="0"/>
                <w:bCs w:val="0"/>
                <w:sz w:val="18"/>
                <w:szCs w:val="18"/>
              </w:rPr>
              <w:t xml:space="preserve"> Audit (B)</w:t>
            </w:r>
          </w:p>
        </w:tc>
        <w:tc>
          <w:tcPr>
            <w:tcW w:w="1276" w:type="dxa"/>
            <w:noWrap/>
            <w:hideMark/>
          </w:tcPr>
          <w:p w14:paraId="1FD1D363" w14:textId="31D3B1FF" w:rsidR="00CD2AFD" w:rsidRPr="00AD36D6" w:rsidRDefault="005D7BDA"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95</w:t>
            </w:r>
          </w:p>
        </w:tc>
        <w:tc>
          <w:tcPr>
            <w:tcW w:w="1276" w:type="dxa"/>
            <w:noWrap/>
            <w:hideMark/>
          </w:tcPr>
          <w:p w14:paraId="4FA7432C" w14:textId="1ECC29ED" w:rsidR="00CD2AFD" w:rsidRPr="00AD36D6" w:rsidRDefault="005D7BDA"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150</w:t>
            </w:r>
          </w:p>
        </w:tc>
        <w:tc>
          <w:tcPr>
            <w:tcW w:w="1276" w:type="dxa"/>
            <w:noWrap/>
            <w:hideMark/>
          </w:tcPr>
          <w:p w14:paraId="5EC8D064" w14:textId="0A05138D" w:rsidR="00CD2AFD" w:rsidRPr="00AD36D6" w:rsidRDefault="005D7BDA" w:rsidP="00923467">
            <w:pPr>
              <w:cnfStyle w:val="000000000000" w:firstRow="0" w:lastRow="0" w:firstColumn="0" w:lastColumn="0" w:oddVBand="0" w:evenVBand="0" w:oddHBand="0" w:evenHBand="0" w:firstRowFirstColumn="0" w:firstRowLastColumn="0" w:lastRowFirstColumn="0" w:lastRowLastColumn="0"/>
              <w:rPr>
                <w:sz w:val="18"/>
                <w:szCs w:val="18"/>
              </w:rPr>
            </w:pPr>
            <w:r w:rsidRPr="00AD36D6">
              <w:rPr>
                <w:sz w:val="18"/>
                <w:szCs w:val="18"/>
              </w:rPr>
              <w:t>55</w:t>
            </w:r>
          </w:p>
        </w:tc>
      </w:tr>
      <w:tr w:rsidR="00CD2AFD" w:rsidRPr="00923467" w14:paraId="07AF4E58" w14:textId="77777777" w:rsidTr="00AD36D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0" w:type="dxa"/>
            <w:noWrap/>
            <w:hideMark/>
          </w:tcPr>
          <w:p w14:paraId="73F2C87F" w14:textId="2DB8D0BE" w:rsidR="00CD2AFD" w:rsidRPr="00AD36D6" w:rsidRDefault="00CD2AFD" w:rsidP="00923467">
            <w:pPr>
              <w:rPr>
                <w:sz w:val="18"/>
                <w:szCs w:val="18"/>
              </w:rPr>
            </w:pPr>
            <w:r w:rsidRPr="00AD36D6">
              <w:rPr>
                <w:sz w:val="18"/>
                <w:szCs w:val="18"/>
              </w:rPr>
              <w:t>Difference (</w:t>
            </w:r>
            <w:r w:rsidR="00274702" w:rsidRPr="00AD36D6">
              <w:rPr>
                <w:sz w:val="18"/>
                <w:szCs w:val="18"/>
              </w:rPr>
              <w:t>A</w:t>
            </w:r>
            <w:r w:rsidRPr="00AD36D6">
              <w:rPr>
                <w:sz w:val="18"/>
                <w:szCs w:val="18"/>
              </w:rPr>
              <w:t>-</w:t>
            </w:r>
            <w:r w:rsidR="00274702" w:rsidRPr="00AD36D6">
              <w:rPr>
                <w:sz w:val="18"/>
                <w:szCs w:val="18"/>
              </w:rPr>
              <w:t>B</w:t>
            </w:r>
            <w:r w:rsidRPr="00AD36D6">
              <w:rPr>
                <w:sz w:val="18"/>
                <w:szCs w:val="18"/>
              </w:rPr>
              <w:t>)</w:t>
            </w:r>
          </w:p>
        </w:tc>
        <w:tc>
          <w:tcPr>
            <w:tcW w:w="1276" w:type="dxa"/>
            <w:noWrap/>
            <w:hideMark/>
          </w:tcPr>
          <w:p w14:paraId="4402A433" w14:textId="7819902B" w:rsidR="00CD2AFD" w:rsidRPr="00AD36D6" w:rsidRDefault="00A60F52"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AD36D6">
              <w:rPr>
                <w:b/>
                <w:bCs/>
                <w:sz w:val="18"/>
                <w:szCs w:val="18"/>
              </w:rPr>
              <w:t>(</w:t>
            </w:r>
            <w:r w:rsidR="005D7BDA" w:rsidRPr="00AD36D6">
              <w:rPr>
                <w:b/>
                <w:bCs/>
                <w:sz w:val="18"/>
                <w:szCs w:val="18"/>
              </w:rPr>
              <w:t>20</w:t>
            </w:r>
            <w:r w:rsidRPr="00AD36D6">
              <w:rPr>
                <w:b/>
                <w:bCs/>
                <w:sz w:val="18"/>
                <w:szCs w:val="18"/>
              </w:rPr>
              <w:t>)</w:t>
            </w:r>
          </w:p>
        </w:tc>
        <w:tc>
          <w:tcPr>
            <w:tcW w:w="1276" w:type="dxa"/>
            <w:noWrap/>
            <w:hideMark/>
          </w:tcPr>
          <w:p w14:paraId="3462204E" w14:textId="6BB5B7D1" w:rsidR="00CD2AFD" w:rsidRPr="00AD36D6" w:rsidRDefault="00A60F52"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AD36D6">
              <w:rPr>
                <w:b/>
                <w:bCs/>
                <w:sz w:val="18"/>
                <w:szCs w:val="18"/>
              </w:rPr>
              <w:t>(</w:t>
            </w:r>
            <w:r w:rsidR="005D7BDA" w:rsidRPr="00AD36D6">
              <w:rPr>
                <w:b/>
                <w:bCs/>
                <w:sz w:val="18"/>
                <w:szCs w:val="18"/>
              </w:rPr>
              <w:t>51</w:t>
            </w:r>
            <w:r w:rsidRPr="00AD36D6">
              <w:rPr>
                <w:b/>
                <w:bCs/>
                <w:sz w:val="18"/>
                <w:szCs w:val="18"/>
              </w:rPr>
              <w:t>)</w:t>
            </w:r>
          </w:p>
        </w:tc>
        <w:tc>
          <w:tcPr>
            <w:tcW w:w="1276" w:type="dxa"/>
            <w:noWrap/>
            <w:hideMark/>
          </w:tcPr>
          <w:p w14:paraId="337E19C4" w14:textId="5E91E709" w:rsidR="00CD2AFD" w:rsidRPr="00AD36D6" w:rsidRDefault="00CD2AFD" w:rsidP="00923467">
            <w:pPr>
              <w:cnfStyle w:val="000000100000" w:firstRow="0" w:lastRow="0" w:firstColumn="0" w:lastColumn="0" w:oddVBand="0" w:evenVBand="0" w:oddHBand="1" w:evenHBand="0" w:firstRowFirstColumn="0" w:firstRowLastColumn="0" w:lastRowFirstColumn="0" w:lastRowLastColumn="0"/>
              <w:rPr>
                <w:sz w:val="18"/>
                <w:szCs w:val="18"/>
              </w:rPr>
            </w:pPr>
          </w:p>
        </w:tc>
      </w:tr>
    </w:tbl>
    <w:p w14:paraId="4E7E9FB4" w14:textId="17F900C8" w:rsidR="000E1F61" w:rsidRPr="00923467" w:rsidRDefault="000E1F61" w:rsidP="00923467">
      <w:pPr>
        <w:pStyle w:val="Caption"/>
      </w:pPr>
      <w:bookmarkStart w:id="106" w:name="_Toc137831158"/>
      <w:r w:rsidRPr="00923467">
        <w:t xml:space="preserve">Table </w:t>
      </w:r>
      <w:r w:rsidRPr="00923467">
        <w:fldChar w:fldCharType="begin"/>
      </w:r>
      <w:r w:rsidRPr="00923467">
        <w:instrText xml:space="preserve"> SEQ Table \* ARABIC </w:instrText>
      </w:r>
      <w:r w:rsidRPr="00923467">
        <w:fldChar w:fldCharType="separate"/>
      </w:r>
      <w:r w:rsidR="00E12E6B">
        <w:rPr>
          <w:noProof/>
        </w:rPr>
        <w:t>29</w:t>
      </w:r>
      <w:r w:rsidRPr="00923467">
        <w:fldChar w:fldCharType="end"/>
      </w:r>
      <w:r w:rsidRPr="00923467">
        <w:t>: Additional Tax Liability Established through Audits (LTO)</w:t>
      </w:r>
      <w:bookmarkEnd w:id="106"/>
    </w:p>
    <w:p w14:paraId="5290268E" w14:textId="6ACA0E24" w:rsidR="000E1F61" w:rsidRPr="00AD36D6" w:rsidRDefault="00134064" w:rsidP="00923467">
      <w:pPr>
        <w:rPr>
          <w:sz w:val="16"/>
          <w:szCs w:val="16"/>
        </w:rPr>
      </w:pPr>
      <w:r w:rsidRPr="00AD36D6">
        <w:rPr>
          <w:sz w:val="16"/>
          <w:szCs w:val="16"/>
        </w:rPr>
        <w:t xml:space="preserve">Source: </w:t>
      </w:r>
      <w:r w:rsidR="00DD11BF" w:rsidRPr="00AD36D6">
        <w:rPr>
          <w:sz w:val="16"/>
          <w:szCs w:val="16"/>
        </w:rPr>
        <w:t>LTO/</w:t>
      </w:r>
      <w:r w:rsidRPr="00AD36D6">
        <w:rPr>
          <w:sz w:val="16"/>
          <w:szCs w:val="16"/>
        </w:rPr>
        <w:t>DTD</w:t>
      </w:r>
    </w:p>
    <w:p w14:paraId="7566D542" w14:textId="77777777" w:rsidR="000E1F61" w:rsidRPr="00923467" w:rsidRDefault="000E1F61" w:rsidP="00923467"/>
    <w:p w14:paraId="22ACA12A" w14:textId="72E922AC" w:rsidR="000E1F61" w:rsidRPr="00923467" w:rsidRDefault="000E1F61" w:rsidP="00EF2D32">
      <w:pPr>
        <w:pStyle w:val="Heading3"/>
        <w:rPr>
          <w:rFonts w:eastAsia="Times New Roman"/>
        </w:rPr>
      </w:pPr>
      <w:bookmarkStart w:id="107" w:name="_Toc137831118"/>
      <w:r w:rsidRPr="00923467">
        <w:t>Medium Taxpayers Office</w:t>
      </w:r>
      <w:bookmarkEnd w:id="107"/>
    </w:p>
    <w:p w14:paraId="5FF0BADB" w14:textId="02068844" w:rsidR="00B31FB0" w:rsidRPr="00923467" w:rsidRDefault="00757F05" w:rsidP="00923467">
      <w:r w:rsidRPr="00923467">
        <w:t xml:space="preserve">The total number of </w:t>
      </w:r>
      <w:r w:rsidR="001F1FFC" w:rsidRPr="00923467">
        <w:t xml:space="preserve">medium taxpayers’ </w:t>
      </w:r>
      <w:r w:rsidRPr="00923467">
        <w:t xml:space="preserve">audits to be completed in 2022 was </w:t>
      </w:r>
      <w:r w:rsidR="00E107F2" w:rsidRPr="00923467">
        <w:t>2</w:t>
      </w:r>
      <w:r w:rsidRPr="00923467">
        <w:t xml:space="preserve">15 compared to </w:t>
      </w:r>
      <w:r w:rsidR="006163F8" w:rsidRPr="00923467">
        <w:t>140</w:t>
      </w:r>
      <w:r w:rsidRPr="00923467">
        <w:t xml:space="preserve"> of the previous year. A total of </w:t>
      </w:r>
      <w:r w:rsidR="00CC1348" w:rsidRPr="00923467">
        <w:t>7</w:t>
      </w:r>
      <w:r w:rsidRPr="00923467">
        <w:t xml:space="preserve">9 audits were completed in 2022 which fell short of the target by </w:t>
      </w:r>
      <w:r w:rsidR="00CC1348" w:rsidRPr="00923467">
        <w:t>136</w:t>
      </w:r>
      <w:r w:rsidRPr="00923467">
        <w:t xml:space="preserve">. The number of audits completed in 2021 was also less than the target by </w:t>
      </w:r>
      <w:r w:rsidR="00056ECB" w:rsidRPr="00923467">
        <w:t>61</w:t>
      </w:r>
      <w:r w:rsidRPr="00923467">
        <w:t xml:space="preserve">. </w:t>
      </w:r>
      <w:r w:rsidR="008503BC" w:rsidRPr="00923467">
        <w:t>T</w:t>
      </w:r>
      <w:r w:rsidRPr="00923467">
        <w:t xml:space="preserve">he total tax audit liability established in 2022 for </w:t>
      </w:r>
      <w:r w:rsidR="008503BC" w:rsidRPr="00923467">
        <w:t xml:space="preserve">medium </w:t>
      </w:r>
      <w:r w:rsidRPr="00923467">
        <w:t xml:space="preserve">taxpayers was </w:t>
      </w:r>
      <w:proofErr w:type="spellStart"/>
      <w:r w:rsidR="008503BC" w:rsidRPr="00923467">
        <w:t>NLe</w:t>
      </w:r>
      <w:proofErr w:type="spellEnd"/>
      <w:r w:rsidR="008503BC" w:rsidRPr="00923467">
        <w:t xml:space="preserve"> 7,065,419 </w:t>
      </w:r>
      <w:r w:rsidR="00494F21" w:rsidRPr="00923467">
        <w:t xml:space="preserve">and less </w:t>
      </w:r>
      <w:r w:rsidRPr="00923467">
        <w:t xml:space="preserve">than that of 2021 by </w:t>
      </w:r>
      <w:proofErr w:type="spellStart"/>
      <w:r w:rsidRPr="00923467">
        <w:t>NLe</w:t>
      </w:r>
      <w:proofErr w:type="spellEnd"/>
      <w:r w:rsidRPr="00923467">
        <w:t xml:space="preserve"> </w:t>
      </w:r>
      <w:r w:rsidR="00494F21" w:rsidRPr="00923467">
        <w:t>12,101,917</w:t>
      </w:r>
      <w:r w:rsidRPr="00923467">
        <w:t xml:space="preserve">.  </w:t>
      </w:r>
    </w:p>
    <w:tbl>
      <w:tblPr>
        <w:tblStyle w:val="GridTable4-Accent5"/>
        <w:tblW w:w="5807" w:type="dxa"/>
        <w:tblLook w:val="04A0" w:firstRow="1" w:lastRow="0" w:firstColumn="1" w:lastColumn="0" w:noHBand="0" w:noVBand="1"/>
      </w:tblPr>
      <w:tblGrid>
        <w:gridCol w:w="2547"/>
        <w:gridCol w:w="1134"/>
        <w:gridCol w:w="992"/>
        <w:gridCol w:w="1134"/>
      </w:tblGrid>
      <w:tr w:rsidR="00B31FB0" w:rsidRPr="00923467" w14:paraId="0C11BA43" w14:textId="77777777" w:rsidTr="00DF68B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893B3EA" w14:textId="77777777" w:rsidR="00B31FB0" w:rsidRPr="00DF68BE" w:rsidRDefault="00B31FB0" w:rsidP="00923467">
            <w:pPr>
              <w:rPr>
                <w:b w:val="0"/>
                <w:bCs w:val="0"/>
                <w:sz w:val="18"/>
                <w:szCs w:val="18"/>
              </w:rPr>
            </w:pPr>
            <w:r w:rsidRPr="00DF68BE">
              <w:rPr>
                <w:b w:val="0"/>
                <w:bCs w:val="0"/>
                <w:sz w:val="18"/>
                <w:szCs w:val="18"/>
              </w:rPr>
              <w:t>Tax Type</w:t>
            </w:r>
          </w:p>
        </w:tc>
        <w:tc>
          <w:tcPr>
            <w:tcW w:w="1134" w:type="dxa"/>
            <w:noWrap/>
            <w:hideMark/>
          </w:tcPr>
          <w:p w14:paraId="2569C198" w14:textId="77777777" w:rsidR="00B31FB0" w:rsidRPr="00DF68BE" w:rsidRDefault="00B31FB0"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F68BE">
              <w:rPr>
                <w:sz w:val="18"/>
                <w:szCs w:val="18"/>
              </w:rPr>
              <w:t>2021</w:t>
            </w:r>
          </w:p>
        </w:tc>
        <w:tc>
          <w:tcPr>
            <w:tcW w:w="992" w:type="dxa"/>
            <w:noWrap/>
            <w:hideMark/>
          </w:tcPr>
          <w:p w14:paraId="6534B6CA" w14:textId="77777777" w:rsidR="00B31FB0" w:rsidRPr="00DF68BE" w:rsidRDefault="00B31FB0"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F68BE">
              <w:rPr>
                <w:sz w:val="18"/>
                <w:szCs w:val="18"/>
              </w:rPr>
              <w:t>2022</w:t>
            </w:r>
          </w:p>
        </w:tc>
        <w:tc>
          <w:tcPr>
            <w:tcW w:w="1134" w:type="dxa"/>
            <w:noWrap/>
            <w:hideMark/>
          </w:tcPr>
          <w:p w14:paraId="325543AB" w14:textId="7202077E" w:rsidR="00B31FB0" w:rsidRPr="00DF68BE" w:rsidRDefault="00CB247D"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F68BE">
              <w:rPr>
                <w:sz w:val="18"/>
                <w:szCs w:val="18"/>
              </w:rPr>
              <w:t>Difference</w:t>
            </w:r>
          </w:p>
        </w:tc>
      </w:tr>
      <w:tr w:rsidR="00B31FB0" w:rsidRPr="00923467" w14:paraId="6B79E018" w14:textId="77777777" w:rsidTr="00DF68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F23463A" w14:textId="77777777" w:rsidR="00B31FB0" w:rsidRPr="00DF68BE" w:rsidRDefault="00B31FB0" w:rsidP="00923467">
            <w:pPr>
              <w:rPr>
                <w:b w:val="0"/>
                <w:bCs w:val="0"/>
                <w:sz w:val="18"/>
                <w:szCs w:val="18"/>
              </w:rPr>
            </w:pPr>
            <w:r w:rsidRPr="00DF68BE">
              <w:rPr>
                <w:b w:val="0"/>
                <w:bCs w:val="0"/>
                <w:sz w:val="18"/>
                <w:szCs w:val="18"/>
              </w:rPr>
              <w:t>Corporation Tax/Trade Tax</w:t>
            </w:r>
          </w:p>
        </w:tc>
        <w:tc>
          <w:tcPr>
            <w:tcW w:w="1134" w:type="dxa"/>
            <w:noWrap/>
            <w:hideMark/>
          </w:tcPr>
          <w:p w14:paraId="2749E727" w14:textId="77777777" w:rsidR="00B31FB0" w:rsidRPr="00DF68BE" w:rsidRDefault="00B31FB0"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6,350,940</w:t>
            </w:r>
          </w:p>
        </w:tc>
        <w:tc>
          <w:tcPr>
            <w:tcW w:w="992" w:type="dxa"/>
            <w:noWrap/>
            <w:hideMark/>
          </w:tcPr>
          <w:p w14:paraId="593592F7" w14:textId="77777777" w:rsidR="00B31FB0" w:rsidRPr="00DF68BE" w:rsidRDefault="00B31FB0"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2,502,730</w:t>
            </w:r>
          </w:p>
        </w:tc>
        <w:tc>
          <w:tcPr>
            <w:tcW w:w="1134" w:type="dxa"/>
            <w:noWrap/>
            <w:hideMark/>
          </w:tcPr>
          <w:p w14:paraId="7753F8BA" w14:textId="69813E94" w:rsidR="00B31FB0" w:rsidRPr="00DF68BE" w:rsidRDefault="00644714"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w:t>
            </w:r>
            <w:r w:rsidR="00B31FB0" w:rsidRPr="00DF68BE">
              <w:rPr>
                <w:sz w:val="18"/>
                <w:szCs w:val="18"/>
              </w:rPr>
              <w:t>3,848,210</w:t>
            </w:r>
            <w:r w:rsidRPr="00DF68BE">
              <w:rPr>
                <w:sz w:val="18"/>
                <w:szCs w:val="18"/>
              </w:rPr>
              <w:t>)</w:t>
            </w:r>
          </w:p>
        </w:tc>
      </w:tr>
      <w:tr w:rsidR="00B31FB0" w:rsidRPr="00923467" w14:paraId="49825072" w14:textId="77777777" w:rsidTr="00DF68BE">
        <w:trPr>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D96E18B" w14:textId="77777777" w:rsidR="00B31FB0" w:rsidRPr="00DF68BE" w:rsidRDefault="00B31FB0" w:rsidP="00923467">
            <w:pPr>
              <w:rPr>
                <w:b w:val="0"/>
                <w:bCs w:val="0"/>
                <w:sz w:val="18"/>
                <w:szCs w:val="18"/>
              </w:rPr>
            </w:pPr>
            <w:r w:rsidRPr="00DF68BE">
              <w:rPr>
                <w:b w:val="0"/>
                <w:bCs w:val="0"/>
                <w:sz w:val="18"/>
                <w:szCs w:val="18"/>
              </w:rPr>
              <w:t xml:space="preserve">Withholding Tax </w:t>
            </w:r>
          </w:p>
        </w:tc>
        <w:tc>
          <w:tcPr>
            <w:tcW w:w="1134" w:type="dxa"/>
            <w:noWrap/>
            <w:hideMark/>
          </w:tcPr>
          <w:p w14:paraId="60576FD4" w14:textId="77777777" w:rsidR="00B31FB0" w:rsidRPr="00DF68BE" w:rsidRDefault="00B31FB0"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4,037,758</w:t>
            </w:r>
          </w:p>
        </w:tc>
        <w:tc>
          <w:tcPr>
            <w:tcW w:w="992" w:type="dxa"/>
            <w:noWrap/>
            <w:hideMark/>
          </w:tcPr>
          <w:p w14:paraId="156A0C28" w14:textId="77777777" w:rsidR="00B31FB0" w:rsidRPr="00DF68BE" w:rsidRDefault="00B31FB0"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1,588,507</w:t>
            </w:r>
          </w:p>
        </w:tc>
        <w:tc>
          <w:tcPr>
            <w:tcW w:w="1134" w:type="dxa"/>
            <w:noWrap/>
            <w:hideMark/>
          </w:tcPr>
          <w:p w14:paraId="206122D7" w14:textId="210410ED" w:rsidR="00B31FB0" w:rsidRPr="00DF68BE" w:rsidRDefault="00644714"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w:t>
            </w:r>
            <w:r w:rsidR="00B31FB0" w:rsidRPr="00DF68BE">
              <w:rPr>
                <w:sz w:val="18"/>
                <w:szCs w:val="18"/>
              </w:rPr>
              <w:t>2,449,251</w:t>
            </w:r>
            <w:r w:rsidRPr="00DF68BE">
              <w:rPr>
                <w:sz w:val="18"/>
                <w:szCs w:val="18"/>
              </w:rPr>
              <w:t>)</w:t>
            </w:r>
          </w:p>
        </w:tc>
      </w:tr>
      <w:tr w:rsidR="00B31FB0" w:rsidRPr="00923467" w14:paraId="3841B161" w14:textId="77777777" w:rsidTr="00DF68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2755040D" w14:textId="77777777" w:rsidR="00B31FB0" w:rsidRPr="00DF68BE" w:rsidRDefault="00B31FB0" w:rsidP="00923467">
            <w:pPr>
              <w:rPr>
                <w:b w:val="0"/>
                <w:bCs w:val="0"/>
                <w:sz w:val="18"/>
                <w:szCs w:val="18"/>
              </w:rPr>
            </w:pPr>
            <w:r w:rsidRPr="00DF68BE">
              <w:rPr>
                <w:b w:val="0"/>
                <w:bCs w:val="0"/>
                <w:sz w:val="18"/>
                <w:szCs w:val="18"/>
              </w:rPr>
              <w:t>PAYE</w:t>
            </w:r>
          </w:p>
        </w:tc>
        <w:tc>
          <w:tcPr>
            <w:tcW w:w="1134" w:type="dxa"/>
            <w:noWrap/>
            <w:hideMark/>
          </w:tcPr>
          <w:p w14:paraId="03892A03" w14:textId="77777777" w:rsidR="00B31FB0" w:rsidRPr="00DF68BE" w:rsidRDefault="00B31FB0"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637,874</w:t>
            </w:r>
          </w:p>
        </w:tc>
        <w:tc>
          <w:tcPr>
            <w:tcW w:w="992" w:type="dxa"/>
            <w:noWrap/>
            <w:hideMark/>
          </w:tcPr>
          <w:p w14:paraId="401D6CE9" w14:textId="77777777" w:rsidR="00B31FB0" w:rsidRPr="00DF68BE" w:rsidRDefault="00B31FB0"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449,597</w:t>
            </w:r>
          </w:p>
        </w:tc>
        <w:tc>
          <w:tcPr>
            <w:tcW w:w="1134" w:type="dxa"/>
            <w:noWrap/>
            <w:hideMark/>
          </w:tcPr>
          <w:p w14:paraId="43E80CD9" w14:textId="3F619F2F" w:rsidR="00B31FB0" w:rsidRPr="00DF68BE" w:rsidRDefault="002B326C"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w:t>
            </w:r>
            <w:r w:rsidR="00B31FB0" w:rsidRPr="00DF68BE">
              <w:rPr>
                <w:sz w:val="18"/>
                <w:szCs w:val="18"/>
              </w:rPr>
              <w:t>188,277</w:t>
            </w:r>
            <w:r w:rsidRPr="00DF68BE">
              <w:rPr>
                <w:sz w:val="18"/>
                <w:szCs w:val="18"/>
              </w:rPr>
              <w:t>)</w:t>
            </w:r>
          </w:p>
        </w:tc>
      </w:tr>
      <w:tr w:rsidR="00B31FB0" w:rsidRPr="00923467" w14:paraId="32ABADD7" w14:textId="77777777" w:rsidTr="00DF68BE">
        <w:trPr>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B3EBA31" w14:textId="77777777" w:rsidR="00B31FB0" w:rsidRPr="00DF68BE" w:rsidRDefault="00B31FB0" w:rsidP="00923467">
            <w:pPr>
              <w:rPr>
                <w:b w:val="0"/>
                <w:bCs w:val="0"/>
                <w:sz w:val="18"/>
                <w:szCs w:val="18"/>
              </w:rPr>
            </w:pPr>
            <w:r w:rsidRPr="00DF68BE">
              <w:rPr>
                <w:b w:val="0"/>
                <w:bCs w:val="0"/>
                <w:sz w:val="18"/>
                <w:szCs w:val="18"/>
              </w:rPr>
              <w:t>Payroll Tax</w:t>
            </w:r>
          </w:p>
        </w:tc>
        <w:tc>
          <w:tcPr>
            <w:tcW w:w="1134" w:type="dxa"/>
            <w:noWrap/>
            <w:hideMark/>
          </w:tcPr>
          <w:p w14:paraId="4079CF7B" w14:textId="77777777" w:rsidR="00B31FB0" w:rsidRPr="00DF68BE" w:rsidRDefault="00B31FB0"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245,195</w:t>
            </w:r>
          </w:p>
        </w:tc>
        <w:tc>
          <w:tcPr>
            <w:tcW w:w="992" w:type="dxa"/>
            <w:noWrap/>
            <w:hideMark/>
          </w:tcPr>
          <w:p w14:paraId="1C1967D2" w14:textId="77777777" w:rsidR="00B31FB0" w:rsidRPr="00DF68BE" w:rsidRDefault="00B31FB0"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133,351</w:t>
            </w:r>
          </w:p>
        </w:tc>
        <w:tc>
          <w:tcPr>
            <w:tcW w:w="1134" w:type="dxa"/>
            <w:noWrap/>
            <w:hideMark/>
          </w:tcPr>
          <w:p w14:paraId="15B0975E" w14:textId="0266BCF0" w:rsidR="00B31FB0" w:rsidRPr="00DF68BE" w:rsidRDefault="002B326C"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w:t>
            </w:r>
            <w:r w:rsidR="00B31FB0" w:rsidRPr="00DF68BE">
              <w:rPr>
                <w:sz w:val="18"/>
                <w:szCs w:val="18"/>
              </w:rPr>
              <w:t>111,844</w:t>
            </w:r>
            <w:r w:rsidRPr="00DF68BE">
              <w:rPr>
                <w:sz w:val="18"/>
                <w:szCs w:val="18"/>
              </w:rPr>
              <w:t>)</w:t>
            </w:r>
          </w:p>
        </w:tc>
      </w:tr>
      <w:tr w:rsidR="00B31FB0" w:rsidRPr="00923467" w14:paraId="210B02A0" w14:textId="77777777" w:rsidTr="00DF68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F38EFE3" w14:textId="77777777" w:rsidR="00B31FB0" w:rsidRPr="00DF68BE" w:rsidRDefault="00B31FB0" w:rsidP="00923467">
            <w:pPr>
              <w:rPr>
                <w:b w:val="0"/>
                <w:bCs w:val="0"/>
                <w:sz w:val="18"/>
                <w:szCs w:val="18"/>
              </w:rPr>
            </w:pPr>
            <w:r w:rsidRPr="00DF68BE">
              <w:rPr>
                <w:b w:val="0"/>
                <w:bCs w:val="0"/>
                <w:sz w:val="18"/>
                <w:szCs w:val="18"/>
              </w:rPr>
              <w:t>GST</w:t>
            </w:r>
          </w:p>
        </w:tc>
        <w:tc>
          <w:tcPr>
            <w:tcW w:w="1134" w:type="dxa"/>
            <w:noWrap/>
            <w:hideMark/>
          </w:tcPr>
          <w:p w14:paraId="4657CF0D" w14:textId="77777777" w:rsidR="00B31FB0" w:rsidRPr="00DF68BE" w:rsidRDefault="00B31FB0"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3,999,798</w:t>
            </w:r>
          </w:p>
        </w:tc>
        <w:tc>
          <w:tcPr>
            <w:tcW w:w="992" w:type="dxa"/>
            <w:noWrap/>
            <w:hideMark/>
          </w:tcPr>
          <w:p w14:paraId="31AEFBAB" w14:textId="77777777" w:rsidR="00B31FB0" w:rsidRPr="00DF68BE" w:rsidRDefault="00B31FB0"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978,599</w:t>
            </w:r>
          </w:p>
        </w:tc>
        <w:tc>
          <w:tcPr>
            <w:tcW w:w="1134" w:type="dxa"/>
            <w:noWrap/>
            <w:hideMark/>
          </w:tcPr>
          <w:p w14:paraId="20F98FB6" w14:textId="74CA0107" w:rsidR="00B31FB0" w:rsidRPr="00DF68BE" w:rsidRDefault="002B326C"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w:t>
            </w:r>
            <w:r w:rsidR="00B31FB0" w:rsidRPr="00DF68BE">
              <w:rPr>
                <w:sz w:val="18"/>
                <w:szCs w:val="18"/>
              </w:rPr>
              <w:t>3,021,200</w:t>
            </w:r>
            <w:r w:rsidRPr="00DF68BE">
              <w:rPr>
                <w:sz w:val="18"/>
                <w:szCs w:val="18"/>
              </w:rPr>
              <w:t>)</w:t>
            </w:r>
          </w:p>
        </w:tc>
      </w:tr>
      <w:tr w:rsidR="00B31FB0" w:rsidRPr="00923467" w14:paraId="06FF3409" w14:textId="77777777" w:rsidTr="00DF68BE">
        <w:trPr>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E706EDF" w14:textId="77777777" w:rsidR="00B31FB0" w:rsidRPr="00DF68BE" w:rsidRDefault="00B31FB0" w:rsidP="00923467">
            <w:pPr>
              <w:rPr>
                <w:b w:val="0"/>
                <w:bCs w:val="0"/>
                <w:sz w:val="18"/>
                <w:szCs w:val="18"/>
              </w:rPr>
            </w:pPr>
            <w:r w:rsidRPr="00DF68BE">
              <w:rPr>
                <w:b w:val="0"/>
                <w:bCs w:val="0"/>
                <w:sz w:val="18"/>
                <w:szCs w:val="18"/>
              </w:rPr>
              <w:t>Penalty</w:t>
            </w:r>
          </w:p>
        </w:tc>
        <w:tc>
          <w:tcPr>
            <w:tcW w:w="1134" w:type="dxa"/>
            <w:noWrap/>
            <w:hideMark/>
          </w:tcPr>
          <w:p w14:paraId="7A5A2412" w14:textId="77777777" w:rsidR="00B31FB0" w:rsidRPr="00DF68BE" w:rsidRDefault="00B31FB0"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3,895,771</w:t>
            </w:r>
          </w:p>
        </w:tc>
        <w:tc>
          <w:tcPr>
            <w:tcW w:w="992" w:type="dxa"/>
            <w:noWrap/>
            <w:hideMark/>
          </w:tcPr>
          <w:p w14:paraId="6F26B62E" w14:textId="77777777" w:rsidR="00B31FB0" w:rsidRPr="00DF68BE" w:rsidRDefault="00B31FB0"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1,412,636</w:t>
            </w:r>
          </w:p>
        </w:tc>
        <w:tc>
          <w:tcPr>
            <w:tcW w:w="1134" w:type="dxa"/>
            <w:noWrap/>
            <w:hideMark/>
          </w:tcPr>
          <w:p w14:paraId="3B27F56D" w14:textId="51F1531F" w:rsidR="00B31FB0" w:rsidRPr="00DF68BE" w:rsidRDefault="002B326C"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w:t>
            </w:r>
            <w:r w:rsidR="00B31FB0" w:rsidRPr="00DF68BE">
              <w:rPr>
                <w:sz w:val="18"/>
                <w:szCs w:val="18"/>
              </w:rPr>
              <w:t>2,483,135</w:t>
            </w:r>
            <w:r w:rsidRPr="00DF68BE">
              <w:rPr>
                <w:sz w:val="18"/>
                <w:szCs w:val="18"/>
              </w:rPr>
              <w:t>)</w:t>
            </w:r>
          </w:p>
        </w:tc>
      </w:tr>
      <w:tr w:rsidR="00B31FB0" w:rsidRPr="00923467" w14:paraId="2E7A9834" w14:textId="77777777" w:rsidTr="00DF68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77C0428" w14:textId="03AD802E" w:rsidR="00B31FB0" w:rsidRPr="00DF68BE" w:rsidRDefault="00542064" w:rsidP="00923467">
            <w:pPr>
              <w:rPr>
                <w:b w:val="0"/>
                <w:bCs w:val="0"/>
                <w:sz w:val="18"/>
                <w:szCs w:val="18"/>
              </w:rPr>
            </w:pPr>
            <w:r w:rsidRPr="00DF68BE">
              <w:rPr>
                <w:sz w:val="18"/>
                <w:szCs w:val="18"/>
              </w:rPr>
              <w:t>Total</w:t>
            </w:r>
            <w:r w:rsidR="00B31FB0" w:rsidRPr="00DF68BE">
              <w:rPr>
                <w:sz w:val="18"/>
                <w:szCs w:val="18"/>
              </w:rPr>
              <w:t xml:space="preserve"> (Le)</w:t>
            </w:r>
          </w:p>
        </w:tc>
        <w:tc>
          <w:tcPr>
            <w:tcW w:w="1134" w:type="dxa"/>
            <w:noWrap/>
            <w:hideMark/>
          </w:tcPr>
          <w:p w14:paraId="3BB81F90" w14:textId="77777777" w:rsidR="00B31FB0" w:rsidRPr="00DF68BE" w:rsidRDefault="00B31FB0"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DF68BE">
              <w:rPr>
                <w:b/>
                <w:bCs/>
                <w:sz w:val="18"/>
                <w:szCs w:val="18"/>
              </w:rPr>
              <w:t>19,167,336</w:t>
            </w:r>
          </w:p>
        </w:tc>
        <w:tc>
          <w:tcPr>
            <w:tcW w:w="992" w:type="dxa"/>
            <w:noWrap/>
            <w:hideMark/>
          </w:tcPr>
          <w:p w14:paraId="219FB786" w14:textId="77777777" w:rsidR="00B31FB0" w:rsidRPr="00DF68BE" w:rsidRDefault="00B31FB0" w:rsidP="00923467">
            <w:pPr>
              <w:cnfStyle w:val="000000100000" w:firstRow="0" w:lastRow="0" w:firstColumn="0" w:lastColumn="0" w:oddVBand="0" w:evenVBand="0" w:oddHBand="1" w:evenHBand="0" w:firstRowFirstColumn="0" w:firstRowLastColumn="0" w:lastRowFirstColumn="0" w:lastRowLastColumn="0"/>
              <w:rPr>
                <w:b/>
                <w:bCs/>
                <w:sz w:val="18"/>
                <w:szCs w:val="18"/>
              </w:rPr>
            </w:pPr>
            <w:bookmarkStart w:id="108" w:name="_Hlk132270251"/>
            <w:r w:rsidRPr="00DF68BE">
              <w:rPr>
                <w:b/>
                <w:bCs/>
                <w:sz w:val="18"/>
                <w:szCs w:val="18"/>
              </w:rPr>
              <w:t>7,065,419</w:t>
            </w:r>
            <w:bookmarkEnd w:id="108"/>
          </w:p>
        </w:tc>
        <w:tc>
          <w:tcPr>
            <w:tcW w:w="1134" w:type="dxa"/>
            <w:noWrap/>
            <w:hideMark/>
          </w:tcPr>
          <w:p w14:paraId="07504BDA" w14:textId="781538F5" w:rsidR="00B31FB0" w:rsidRPr="00DF68BE" w:rsidRDefault="002B326C"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DF68BE">
              <w:rPr>
                <w:b/>
                <w:bCs/>
                <w:sz w:val="18"/>
                <w:szCs w:val="18"/>
              </w:rPr>
              <w:t>(</w:t>
            </w:r>
            <w:r w:rsidR="00B31FB0" w:rsidRPr="00DF68BE">
              <w:rPr>
                <w:b/>
                <w:bCs/>
                <w:sz w:val="18"/>
                <w:szCs w:val="18"/>
              </w:rPr>
              <w:t>12,101,917</w:t>
            </w:r>
            <w:r w:rsidRPr="00DF68BE">
              <w:rPr>
                <w:b/>
                <w:bCs/>
                <w:sz w:val="18"/>
                <w:szCs w:val="18"/>
              </w:rPr>
              <w:t>)</w:t>
            </w:r>
          </w:p>
        </w:tc>
      </w:tr>
      <w:tr w:rsidR="00B31FB0" w:rsidRPr="00923467" w14:paraId="22692912" w14:textId="77777777" w:rsidTr="00DF68BE">
        <w:trPr>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02DCA99" w14:textId="77777777" w:rsidR="00B31FB0" w:rsidRPr="00DF68BE" w:rsidRDefault="00B31FB0" w:rsidP="00923467">
            <w:pPr>
              <w:rPr>
                <w:b w:val="0"/>
                <w:bCs w:val="0"/>
                <w:sz w:val="18"/>
                <w:szCs w:val="18"/>
              </w:rPr>
            </w:pPr>
            <w:r w:rsidRPr="00DF68BE">
              <w:rPr>
                <w:b w:val="0"/>
                <w:bCs w:val="0"/>
                <w:sz w:val="18"/>
                <w:szCs w:val="18"/>
              </w:rPr>
              <w:t>No. of Taxpayers Audited (A)</w:t>
            </w:r>
          </w:p>
        </w:tc>
        <w:tc>
          <w:tcPr>
            <w:tcW w:w="1134" w:type="dxa"/>
            <w:noWrap/>
            <w:hideMark/>
          </w:tcPr>
          <w:p w14:paraId="67C222E6" w14:textId="77777777" w:rsidR="00B31FB0" w:rsidRPr="00DF68BE" w:rsidRDefault="00B31FB0"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79</w:t>
            </w:r>
          </w:p>
        </w:tc>
        <w:tc>
          <w:tcPr>
            <w:tcW w:w="992" w:type="dxa"/>
            <w:noWrap/>
            <w:hideMark/>
          </w:tcPr>
          <w:p w14:paraId="1DC1D129" w14:textId="77777777" w:rsidR="00B31FB0" w:rsidRPr="00DF68BE" w:rsidRDefault="00B31FB0"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79</w:t>
            </w:r>
          </w:p>
        </w:tc>
        <w:tc>
          <w:tcPr>
            <w:tcW w:w="1134" w:type="dxa"/>
            <w:noWrap/>
            <w:hideMark/>
          </w:tcPr>
          <w:p w14:paraId="2F81D22F" w14:textId="77777777" w:rsidR="00B31FB0" w:rsidRPr="00DF68BE" w:rsidRDefault="00B31FB0"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0</w:t>
            </w:r>
          </w:p>
        </w:tc>
      </w:tr>
      <w:tr w:rsidR="00B31FB0" w:rsidRPr="00923467" w14:paraId="351998AD" w14:textId="77777777" w:rsidTr="00DF68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75962C5" w14:textId="77777777" w:rsidR="00B31FB0" w:rsidRPr="00DF68BE" w:rsidRDefault="00B31FB0" w:rsidP="00923467">
            <w:pPr>
              <w:rPr>
                <w:b w:val="0"/>
                <w:bCs w:val="0"/>
                <w:sz w:val="18"/>
                <w:szCs w:val="18"/>
              </w:rPr>
            </w:pPr>
            <w:r w:rsidRPr="00DF68BE">
              <w:rPr>
                <w:b w:val="0"/>
                <w:bCs w:val="0"/>
                <w:sz w:val="18"/>
                <w:szCs w:val="18"/>
              </w:rPr>
              <w:t>No. of Target Audit (B)</w:t>
            </w:r>
          </w:p>
        </w:tc>
        <w:tc>
          <w:tcPr>
            <w:tcW w:w="1134" w:type="dxa"/>
            <w:noWrap/>
            <w:hideMark/>
          </w:tcPr>
          <w:p w14:paraId="7B2EE120" w14:textId="77777777" w:rsidR="00B31FB0" w:rsidRPr="00DF68BE" w:rsidRDefault="00B31FB0"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140</w:t>
            </w:r>
          </w:p>
        </w:tc>
        <w:tc>
          <w:tcPr>
            <w:tcW w:w="992" w:type="dxa"/>
            <w:noWrap/>
            <w:hideMark/>
          </w:tcPr>
          <w:p w14:paraId="507F865B" w14:textId="77777777" w:rsidR="00B31FB0" w:rsidRPr="00DF68BE" w:rsidRDefault="00B31FB0"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215</w:t>
            </w:r>
          </w:p>
        </w:tc>
        <w:tc>
          <w:tcPr>
            <w:tcW w:w="1134" w:type="dxa"/>
            <w:noWrap/>
            <w:hideMark/>
          </w:tcPr>
          <w:p w14:paraId="4752231B" w14:textId="77777777" w:rsidR="00B31FB0" w:rsidRPr="00DF68BE" w:rsidRDefault="00B31FB0"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75</w:t>
            </w:r>
          </w:p>
        </w:tc>
      </w:tr>
      <w:tr w:rsidR="00B31FB0" w:rsidRPr="00923467" w14:paraId="76C408A4" w14:textId="77777777" w:rsidTr="00DF68BE">
        <w:trPr>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20304D5" w14:textId="77777777" w:rsidR="00B31FB0" w:rsidRPr="00DF68BE" w:rsidRDefault="00B31FB0" w:rsidP="00923467">
            <w:pPr>
              <w:rPr>
                <w:b w:val="0"/>
                <w:bCs w:val="0"/>
                <w:sz w:val="18"/>
                <w:szCs w:val="18"/>
              </w:rPr>
            </w:pPr>
            <w:r w:rsidRPr="00DF68BE">
              <w:rPr>
                <w:sz w:val="18"/>
                <w:szCs w:val="18"/>
              </w:rPr>
              <w:t>Difference (A-B)</w:t>
            </w:r>
          </w:p>
        </w:tc>
        <w:tc>
          <w:tcPr>
            <w:tcW w:w="1134" w:type="dxa"/>
            <w:noWrap/>
            <w:hideMark/>
          </w:tcPr>
          <w:p w14:paraId="38DD2D01" w14:textId="764B6207" w:rsidR="00B31FB0" w:rsidRPr="00DF68BE" w:rsidRDefault="00BB39B2"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DF68BE">
              <w:rPr>
                <w:b/>
                <w:bCs/>
                <w:sz w:val="18"/>
                <w:szCs w:val="18"/>
              </w:rPr>
              <w:t>(</w:t>
            </w:r>
            <w:r w:rsidR="00B31FB0" w:rsidRPr="00DF68BE">
              <w:rPr>
                <w:b/>
                <w:bCs/>
                <w:sz w:val="18"/>
                <w:szCs w:val="18"/>
              </w:rPr>
              <w:t>61</w:t>
            </w:r>
            <w:r w:rsidRPr="00DF68BE">
              <w:rPr>
                <w:b/>
                <w:bCs/>
                <w:sz w:val="18"/>
                <w:szCs w:val="18"/>
              </w:rPr>
              <w:t>)</w:t>
            </w:r>
          </w:p>
        </w:tc>
        <w:tc>
          <w:tcPr>
            <w:tcW w:w="992" w:type="dxa"/>
            <w:noWrap/>
            <w:hideMark/>
          </w:tcPr>
          <w:p w14:paraId="18146019" w14:textId="7B959FEA" w:rsidR="00B31FB0" w:rsidRPr="00DF68BE" w:rsidRDefault="00BB39B2"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DF68BE">
              <w:rPr>
                <w:b/>
                <w:bCs/>
                <w:sz w:val="18"/>
                <w:szCs w:val="18"/>
              </w:rPr>
              <w:t>(</w:t>
            </w:r>
            <w:r w:rsidR="00B31FB0" w:rsidRPr="00DF68BE">
              <w:rPr>
                <w:b/>
                <w:bCs/>
                <w:sz w:val="18"/>
                <w:szCs w:val="18"/>
              </w:rPr>
              <w:t>136</w:t>
            </w:r>
            <w:r w:rsidRPr="00DF68BE">
              <w:rPr>
                <w:b/>
                <w:bCs/>
                <w:sz w:val="18"/>
                <w:szCs w:val="18"/>
              </w:rPr>
              <w:t>)</w:t>
            </w:r>
          </w:p>
        </w:tc>
        <w:tc>
          <w:tcPr>
            <w:tcW w:w="1134" w:type="dxa"/>
            <w:noWrap/>
            <w:hideMark/>
          </w:tcPr>
          <w:p w14:paraId="60B765AA" w14:textId="77777777" w:rsidR="00B31FB0" w:rsidRPr="00DF68BE" w:rsidRDefault="00B31FB0"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DF68BE">
              <w:rPr>
                <w:b/>
                <w:bCs/>
                <w:sz w:val="18"/>
                <w:szCs w:val="18"/>
              </w:rPr>
              <w:t> </w:t>
            </w:r>
          </w:p>
        </w:tc>
      </w:tr>
    </w:tbl>
    <w:p w14:paraId="7CE878A4" w14:textId="697BB716" w:rsidR="000E1F61" w:rsidRPr="00923467" w:rsidRDefault="000E1F61" w:rsidP="00923467">
      <w:pPr>
        <w:pStyle w:val="Caption"/>
      </w:pPr>
      <w:bookmarkStart w:id="109" w:name="_Toc137831159"/>
      <w:r w:rsidRPr="00923467">
        <w:t xml:space="preserve">Table </w:t>
      </w:r>
      <w:r w:rsidRPr="00923467">
        <w:fldChar w:fldCharType="begin"/>
      </w:r>
      <w:r w:rsidRPr="00923467">
        <w:instrText xml:space="preserve"> SEQ Table \* ARABIC </w:instrText>
      </w:r>
      <w:r w:rsidRPr="00923467">
        <w:fldChar w:fldCharType="separate"/>
      </w:r>
      <w:r w:rsidR="00E12E6B">
        <w:rPr>
          <w:noProof/>
        </w:rPr>
        <w:t>30</w:t>
      </w:r>
      <w:r w:rsidRPr="00923467">
        <w:fldChar w:fldCharType="end"/>
      </w:r>
      <w:r w:rsidRPr="00923467">
        <w:t>: Additional Tax Liability Established through Audits (MTO)</w:t>
      </w:r>
      <w:bookmarkEnd w:id="109"/>
    </w:p>
    <w:p w14:paraId="1D06D7F5" w14:textId="4B76908F" w:rsidR="00183422" w:rsidRPr="00DF68BE" w:rsidRDefault="00982257" w:rsidP="00923467">
      <w:pPr>
        <w:rPr>
          <w:sz w:val="16"/>
          <w:szCs w:val="16"/>
        </w:rPr>
      </w:pPr>
      <w:r w:rsidRPr="00DF68BE">
        <w:rPr>
          <w:sz w:val="16"/>
          <w:szCs w:val="16"/>
        </w:rPr>
        <w:t xml:space="preserve">Source: </w:t>
      </w:r>
      <w:r w:rsidR="006E6679" w:rsidRPr="00DF68BE">
        <w:rPr>
          <w:sz w:val="16"/>
          <w:szCs w:val="16"/>
        </w:rPr>
        <w:t>MTO/</w:t>
      </w:r>
      <w:r w:rsidRPr="00DF68BE">
        <w:rPr>
          <w:sz w:val="16"/>
          <w:szCs w:val="16"/>
        </w:rPr>
        <w:t>DTD</w:t>
      </w:r>
    </w:p>
    <w:p w14:paraId="1BC2159B" w14:textId="77777777" w:rsidR="00C01BCF" w:rsidRPr="00923467" w:rsidRDefault="00C01BCF" w:rsidP="00923467"/>
    <w:p w14:paraId="58DB7DE2" w14:textId="16426C0B" w:rsidR="000E1F61" w:rsidRPr="00923467" w:rsidRDefault="000E1F61" w:rsidP="00EF2D32">
      <w:pPr>
        <w:pStyle w:val="Heading3"/>
      </w:pPr>
      <w:bookmarkStart w:id="110" w:name="_Toc137831119"/>
      <w:r w:rsidRPr="00923467">
        <w:t>Extractive Industry Revenue Unit</w:t>
      </w:r>
      <w:bookmarkEnd w:id="110"/>
    </w:p>
    <w:p w14:paraId="7C0119D7" w14:textId="20C3C3ED" w:rsidR="000E1F61" w:rsidRDefault="00DC13E3" w:rsidP="00923467">
      <w:r w:rsidRPr="00923467">
        <w:t xml:space="preserve">From Table </w:t>
      </w:r>
      <w:r w:rsidR="000E1F61" w:rsidRPr="00923467">
        <w:t>31</w:t>
      </w:r>
      <w:r w:rsidRPr="00923467">
        <w:t xml:space="preserve">, </w:t>
      </w:r>
      <w:r w:rsidR="00DF7479" w:rsidRPr="00923467">
        <w:t xml:space="preserve">the </w:t>
      </w:r>
      <w:r w:rsidR="005B6BEF" w:rsidRPr="00923467">
        <w:t xml:space="preserve">total number of </w:t>
      </w:r>
      <w:r w:rsidR="00DF7479" w:rsidRPr="00923467">
        <w:t>target audit</w:t>
      </w:r>
      <w:r w:rsidR="005B6BEF" w:rsidRPr="00923467">
        <w:t>s</w:t>
      </w:r>
      <w:r w:rsidR="00DF7479" w:rsidRPr="00923467">
        <w:t xml:space="preserve"> for the Extractive Industry Revenue Unit (EIRU) </w:t>
      </w:r>
      <w:r w:rsidR="00F627D9" w:rsidRPr="00923467">
        <w:t xml:space="preserve">in 2022 was 30 compared to 21 for 2021. </w:t>
      </w:r>
      <w:r w:rsidR="00B6409E" w:rsidRPr="00923467">
        <w:t>However, the number of audits completed by the Unit in 2022 was 11 which is less than the target</w:t>
      </w:r>
      <w:r w:rsidR="004A14A9" w:rsidRPr="00923467">
        <w:t xml:space="preserve"> by 19. </w:t>
      </w:r>
      <w:r w:rsidR="00352396" w:rsidRPr="00923467">
        <w:t>Similarly, t</w:t>
      </w:r>
      <w:r w:rsidR="00D415BF" w:rsidRPr="00923467">
        <w:t xml:space="preserve">he number of audits completed in 2021 was less than the target by 13. </w:t>
      </w:r>
      <w:r w:rsidR="009B222F" w:rsidRPr="00923467">
        <w:t xml:space="preserve">The liability of the mining sector </w:t>
      </w:r>
      <w:r w:rsidR="00AB3248" w:rsidRPr="00923467">
        <w:t>is</w:t>
      </w:r>
      <w:r w:rsidR="009B222F" w:rsidRPr="00923467">
        <w:t xml:space="preserve"> in both local currency and in U.S. Dollar</w:t>
      </w:r>
      <w:r w:rsidR="008330AA" w:rsidRPr="00923467">
        <w:t>s</w:t>
      </w:r>
      <w:r w:rsidR="009B222F" w:rsidRPr="00923467">
        <w:t xml:space="preserve">. </w:t>
      </w:r>
      <w:r w:rsidR="00152F23" w:rsidRPr="00923467">
        <w:t xml:space="preserve">Of the audits completed in 2022, the EIRU established a total tax liability of </w:t>
      </w:r>
      <w:proofErr w:type="spellStart"/>
      <w:r w:rsidR="00152F23" w:rsidRPr="00923467">
        <w:t>NLe</w:t>
      </w:r>
      <w:proofErr w:type="spellEnd"/>
      <w:r w:rsidR="00152F23" w:rsidRPr="00923467">
        <w:t xml:space="preserve"> 2,903,802 and $1,463,697 from the mining sector compared to </w:t>
      </w:r>
      <w:proofErr w:type="spellStart"/>
      <w:r w:rsidR="00152F23" w:rsidRPr="00923467">
        <w:t>NLe</w:t>
      </w:r>
      <w:proofErr w:type="spellEnd"/>
      <w:r w:rsidR="00152F23" w:rsidRPr="00923467">
        <w:t xml:space="preserve"> 12,806,300 and $1,241,323 in 2021. </w:t>
      </w:r>
    </w:p>
    <w:p w14:paraId="7564BD99" w14:textId="77777777" w:rsidR="0005120F" w:rsidRPr="00923467" w:rsidRDefault="0005120F" w:rsidP="00923467"/>
    <w:tbl>
      <w:tblPr>
        <w:tblStyle w:val="GridTable4-Accent5"/>
        <w:tblW w:w="8926" w:type="dxa"/>
        <w:tblLook w:val="04A0" w:firstRow="1" w:lastRow="0" w:firstColumn="1" w:lastColumn="0" w:noHBand="0" w:noVBand="1"/>
      </w:tblPr>
      <w:tblGrid>
        <w:gridCol w:w="2547"/>
        <w:gridCol w:w="992"/>
        <w:gridCol w:w="1134"/>
        <w:gridCol w:w="923"/>
        <w:gridCol w:w="1062"/>
        <w:gridCol w:w="992"/>
        <w:gridCol w:w="1276"/>
      </w:tblGrid>
      <w:tr w:rsidR="00D67D41" w:rsidRPr="00923467" w14:paraId="788B54B9" w14:textId="77777777" w:rsidTr="00DF68B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tcBorders>
              <w:bottom w:val="nil"/>
            </w:tcBorders>
            <w:noWrap/>
            <w:hideMark/>
          </w:tcPr>
          <w:p w14:paraId="41AAD913" w14:textId="40AB5EFA" w:rsidR="00D67D41" w:rsidRPr="00DF68BE" w:rsidRDefault="00D67D41" w:rsidP="00923467">
            <w:pPr>
              <w:rPr>
                <w:sz w:val="18"/>
                <w:szCs w:val="18"/>
              </w:rPr>
            </w:pPr>
          </w:p>
        </w:tc>
        <w:tc>
          <w:tcPr>
            <w:tcW w:w="2126" w:type="dxa"/>
            <w:gridSpan w:val="2"/>
            <w:tcBorders>
              <w:bottom w:val="nil"/>
            </w:tcBorders>
            <w:noWrap/>
            <w:hideMark/>
          </w:tcPr>
          <w:p w14:paraId="525682B8" w14:textId="77777777" w:rsidR="00D67D41" w:rsidRPr="00DF68BE" w:rsidRDefault="00D67D41" w:rsidP="00DF68B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F68BE">
              <w:rPr>
                <w:sz w:val="18"/>
                <w:szCs w:val="18"/>
              </w:rPr>
              <w:t>2021</w:t>
            </w:r>
          </w:p>
        </w:tc>
        <w:tc>
          <w:tcPr>
            <w:tcW w:w="1985" w:type="dxa"/>
            <w:gridSpan w:val="2"/>
            <w:tcBorders>
              <w:bottom w:val="nil"/>
            </w:tcBorders>
            <w:noWrap/>
            <w:hideMark/>
          </w:tcPr>
          <w:p w14:paraId="5BE1BE5C" w14:textId="77777777" w:rsidR="00D67D41" w:rsidRPr="00DF68BE" w:rsidRDefault="00D67D41" w:rsidP="00DF68B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F68BE">
              <w:rPr>
                <w:sz w:val="18"/>
                <w:szCs w:val="18"/>
              </w:rPr>
              <w:t>2022</w:t>
            </w:r>
          </w:p>
        </w:tc>
        <w:tc>
          <w:tcPr>
            <w:tcW w:w="2268" w:type="dxa"/>
            <w:gridSpan w:val="2"/>
            <w:tcBorders>
              <w:bottom w:val="nil"/>
            </w:tcBorders>
            <w:noWrap/>
            <w:hideMark/>
          </w:tcPr>
          <w:p w14:paraId="7E50B060" w14:textId="1E8C9635" w:rsidR="00D67D41" w:rsidRPr="00DF68BE" w:rsidRDefault="00370768" w:rsidP="00DF68B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F68BE">
              <w:rPr>
                <w:sz w:val="18"/>
                <w:szCs w:val="18"/>
              </w:rPr>
              <w:t>Difference</w:t>
            </w:r>
          </w:p>
        </w:tc>
      </w:tr>
      <w:tr w:rsidR="00DF68BE" w:rsidRPr="00923467" w14:paraId="6FF981B7" w14:textId="77777777" w:rsidTr="00DF68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tcBorders>
              <w:top w:val="nil"/>
              <w:left w:val="nil"/>
              <w:bottom w:val="nil"/>
              <w:right w:val="nil"/>
            </w:tcBorders>
            <w:shd w:val="clear" w:color="auto" w:fill="5B9BD5" w:themeFill="accent5"/>
            <w:hideMark/>
          </w:tcPr>
          <w:p w14:paraId="212202E0" w14:textId="7AE7D47C" w:rsidR="00D67D41" w:rsidRPr="00DF68BE" w:rsidRDefault="000E1F61" w:rsidP="00923467">
            <w:pPr>
              <w:rPr>
                <w:b w:val="0"/>
                <w:bCs w:val="0"/>
                <w:color w:val="FFFFFF" w:themeColor="background1"/>
                <w:sz w:val="18"/>
                <w:szCs w:val="18"/>
              </w:rPr>
            </w:pPr>
            <w:r w:rsidRPr="00DF68BE">
              <w:rPr>
                <w:b w:val="0"/>
                <w:bCs w:val="0"/>
                <w:color w:val="FFFFFF" w:themeColor="background1"/>
                <w:sz w:val="18"/>
                <w:szCs w:val="18"/>
              </w:rPr>
              <w:t>Tax Type</w:t>
            </w:r>
          </w:p>
        </w:tc>
        <w:tc>
          <w:tcPr>
            <w:tcW w:w="992" w:type="dxa"/>
            <w:tcBorders>
              <w:top w:val="nil"/>
              <w:left w:val="nil"/>
              <w:bottom w:val="nil"/>
              <w:right w:val="nil"/>
            </w:tcBorders>
            <w:shd w:val="clear" w:color="auto" w:fill="5B9BD5" w:themeFill="accent5"/>
            <w:noWrap/>
            <w:hideMark/>
          </w:tcPr>
          <w:p w14:paraId="30D5096B" w14:textId="77777777"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DF68BE">
              <w:rPr>
                <w:b/>
                <w:bCs/>
                <w:color w:val="FFFFFF" w:themeColor="background1"/>
                <w:sz w:val="18"/>
                <w:szCs w:val="18"/>
              </w:rPr>
              <w:t>USD</w:t>
            </w:r>
          </w:p>
        </w:tc>
        <w:tc>
          <w:tcPr>
            <w:tcW w:w="1134" w:type="dxa"/>
            <w:tcBorders>
              <w:top w:val="nil"/>
              <w:left w:val="nil"/>
              <w:bottom w:val="nil"/>
              <w:right w:val="single" w:sz="4" w:space="0" w:color="FFFFFF" w:themeColor="background1"/>
            </w:tcBorders>
            <w:shd w:val="clear" w:color="auto" w:fill="5B9BD5" w:themeFill="accent5"/>
            <w:noWrap/>
            <w:hideMark/>
          </w:tcPr>
          <w:p w14:paraId="77D710A1" w14:textId="77777777"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proofErr w:type="spellStart"/>
            <w:r w:rsidRPr="00DF68BE">
              <w:rPr>
                <w:b/>
                <w:bCs/>
                <w:color w:val="FFFFFF" w:themeColor="background1"/>
                <w:sz w:val="18"/>
                <w:szCs w:val="18"/>
              </w:rPr>
              <w:t>NLe</w:t>
            </w:r>
            <w:proofErr w:type="spellEnd"/>
          </w:p>
        </w:tc>
        <w:tc>
          <w:tcPr>
            <w:tcW w:w="923" w:type="dxa"/>
            <w:tcBorders>
              <w:top w:val="nil"/>
              <w:left w:val="single" w:sz="4" w:space="0" w:color="FFFFFF" w:themeColor="background1"/>
              <w:bottom w:val="nil"/>
              <w:right w:val="nil"/>
            </w:tcBorders>
            <w:shd w:val="clear" w:color="auto" w:fill="5B9BD5" w:themeFill="accent5"/>
            <w:noWrap/>
            <w:hideMark/>
          </w:tcPr>
          <w:p w14:paraId="10A5EAA0" w14:textId="77777777"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DF68BE">
              <w:rPr>
                <w:b/>
                <w:bCs/>
                <w:color w:val="FFFFFF" w:themeColor="background1"/>
                <w:sz w:val="18"/>
                <w:szCs w:val="18"/>
              </w:rPr>
              <w:t>USD</w:t>
            </w:r>
          </w:p>
        </w:tc>
        <w:tc>
          <w:tcPr>
            <w:tcW w:w="1062" w:type="dxa"/>
            <w:tcBorders>
              <w:top w:val="nil"/>
              <w:left w:val="nil"/>
              <w:bottom w:val="nil"/>
              <w:right w:val="single" w:sz="4" w:space="0" w:color="FFFFFF" w:themeColor="background1"/>
            </w:tcBorders>
            <w:shd w:val="clear" w:color="auto" w:fill="5B9BD5" w:themeFill="accent5"/>
            <w:noWrap/>
            <w:hideMark/>
          </w:tcPr>
          <w:p w14:paraId="4826B299" w14:textId="77777777"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proofErr w:type="spellStart"/>
            <w:r w:rsidRPr="00DF68BE">
              <w:rPr>
                <w:b/>
                <w:bCs/>
                <w:color w:val="FFFFFF" w:themeColor="background1"/>
                <w:sz w:val="18"/>
                <w:szCs w:val="18"/>
              </w:rPr>
              <w:t>NLe</w:t>
            </w:r>
            <w:proofErr w:type="spellEnd"/>
          </w:p>
        </w:tc>
        <w:tc>
          <w:tcPr>
            <w:tcW w:w="992" w:type="dxa"/>
            <w:tcBorders>
              <w:top w:val="nil"/>
              <w:left w:val="single" w:sz="4" w:space="0" w:color="FFFFFF" w:themeColor="background1"/>
              <w:bottom w:val="nil"/>
              <w:right w:val="nil"/>
            </w:tcBorders>
            <w:shd w:val="clear" w:color="auto" w:fill="5B9BD5" w:themeFill="accent5"/>
            <w:noWrap/>
            <w:hideMark/>
          </w:tcPr>
          <w:p w14:paraId="0F9E7373" w14:textId="77777777"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DF68BE">
              <w:rPr>
                <w:b/>
                <w:bCs/>
                <w:color w:val="FFFFFF" w:themeColor="background1"/>
                <w:sz w:val="18"/>
                <w:szCs w:val="18"/>
              </w:rPr>
              <w:t>USD</w:t>
            </w:r>
          </w:p>
        </w:tc>
        <w:tc>
          <w:tcPr>
            <w:tcW w:w="1276" w:type="dxa"/>
            <w:tcBorders>
              <w:top w:val="nil"/>
              <w:left w:val="nil"/>
              <w:bottom w:val="nil"/>
              <w:right w:val="nil"/>
            </w:tcBorders>
            <w:shd w:val="clear" w:color="auto" w:fill="5B9BD5" w:themeFill="accent5"/>
            <w:noWrap/>
            <w:hideMark/>
          </w:tcPr>
          <w:p w14:paraId="4CBFAA6A" w14:textId="77777777"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proofErr w:type="spellStart"/>
            <w:r w:rsidRPr="00DF68BE">
              <w:rPr>
                <w:b/>
                <w:bCs/>
                <w:color w:val="FFFFFF" w:themeColor="background1"/>
                <w:sz w:val="18"/>
                <w:szCs w:val="18"/>
              </w:rPr>
              <w:t>NLe</w:t>
            </w:r>
            <w:proofErr w:type="spellEnd"/>
          </w:p>
        </w:tc>
      </w:tr>
      <w:tr w:rsidR="00DF68BE" w:rsidRPr="00923467" w14:paraId="53EB5753" w14:textId="77777777" w:rsidTr="00DF68BE">
        <w:trPr>
          <w:trHeight w:val="340"/>
        </w:trPr>
        <w:tc>
          <w:tcPr>
            <w:cnfStyle w:val="001000000000" w:firstRow="0" w:lastRow="0" w:firstColumn="1" w:lastColumn="0" w:oddVBand="0" w:evenVBand="0" w:oddHBand="0" w:evenHBand="0" w:firstRowFirstColumn="0" w:firstRowLastColumn="0" w:lastRowFirstColumn="0" w:lastRowLastColumn="0"/>
            <w:tcW w:w="2547" w:type="dxa"/>
            <w:tcBorders>
              <w:top w:val="nil"/>
            </w:tcBorders>
            <w:noWrap/>
            <w:hideMark/>
          </w:tcPr>
          <w:p w14:paraId="51F2482F" w14:textId="77777777" w:rsidR="00D67D41" w:rsidRPr="00DF68BE" w:rsidRDefault="00D67D41" w:rsidP="00923467">
            <w:pPr>
              <w:rPr>
                <w:b w:val="0"/>
                <w:bCs w:val="0"/>
                <w:sz w:val="18"/>
                <w:szCs w:val="18"/>
              </w:rPr>
            </w:pPr>
            <w:bookmarkStart w:id="111" w:name="_Hlk131419747"/>
            <w:r w:rsidRPr="00DF68BE">
              <w:rPr>
                <w:b w:val="0"/>
                <w:bCs w:val="0"/>
                <w:sz w:val="18"/>
                <w:szCs w:val="18"/>
              </w:rPr>
              <w:t xml:space="preserve">PAYE </w:t>
            </w:r>
          </w:p>
        </w:tc>
        <w:tc>
          <w:tcPr>
            <w:tcW w:w="992" w:type="dxa"/>
            <w:tcBorders>
              <w:top w:val="nil"/>
            </w:tcBorders>
            <w:noWrap/>
            <w:hideMark/>
          </w:tcPr>
          <w:p w14:paraId="56C812E8" w14:textId="24520A7E"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20,140</w:t>
            </w:r>
          </w:p>
        </w:tc>
        <w:tc>
          <w:tcPr>
            <w:tcW w:w="1134" w:type="dxa"/>
            <w:tcBorders>
              <w:top w:val="nil"/>
            </w:tcBorders>
            <w:noWrap/>
            <w:hideMark/>
          </w:tcPr>
          <w:p w14:paraId="548A3455" w14:textId="33F1C779"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4,857,982</w:t>
            </w:r>
          </w:p>
        </w:tc>
        <w:tc>
          <w:tcPr>
            <w:tcW w:w="923" w:type="dxa"/>
            <w:tcBorders>
              <w:top w:val="nil"/>
            </w:tcBorders>
            <w:noWrap/>
            <w:hideMark/>
          </w:tcPr>
          <w:p w14:paraId="550689DA" w14:textId="4CBFFC33"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906,316</w:t>
            </w:r>
          </w:p>
        </w:tc>
        <w:tc>
          <w:tcPr>
            <w:tcW w:w="1062" w:type="dxa"/>
            <w:tcBorders>
              <w:top w:val="nil"/>
            </w:tcBorders>
            <w:noWrap/>
            <w:hideMark/>
          </w:tcPr>
          <w:p w14:paraId="76E35C64" w14:textId="01513B15"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1,482,162</w:t>
            </w:r>
          </w:p>
        </w:tc>
        <w:tc>
          <w:tcPr>
            <w:tcW w:w="992" w:type="dxa"/>
            <w:tcBorders>
              <w:top w:val="nil"/>
            </w:tcBorders>
            <w:noWrap/>
            <w:hideMark/>
          </w:tcPr>
          <w:p w14:paraId="0B5C4D43" w14:textId="4EE3968D"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886,176</w:t>
            </w:r>
          </w:p>
        </w:tc>
        <w:tc>
          <w:tcPr>
            <w:tcW w:w="1276" w:type="dxa"/>
            <w:tcBorders>
              <w:top w:val="nil"/>
            </w:tcBorders>
            <w:noWrap/>
            <w:hideMark/>
          </w:tcPr>
          <w:p w14:paraId="6F0CAA3A" w14:textId="0C138B03"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(3,375,820)</w:t>
            </w:r>
          </w:p>
        </w:tc>
      </w:tr>
      <w:tr w:rsidR="00DF68BE" w:rsidRPr="00923467" w14:paraId="027BDAB5" w14:textId="77777777" w:rsidTr="00DF68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681E67E" w14:textId="31D5E767" w:rsidR="00D67D41" w:rsidRPr="00DF68BE" w:rsidRDefault="00507787" w:rsidP="00923467">
            <w:pPr>
              <w:rPr>
                <w:b w:val="0"/>
                <w:bCs w:val="0"/>
                <w:sz w:val="18"/>
                <w:szCs w:val="18"/>
              </w:rPr>
            </w:pPr>
            <w:r w:rsidRPr="00DF68BE">
              <w:rPr>
                <w:b w:val="0"/>
                <w:bCs w:val="0"/>
                <w:sz w:val="18"/>
                <w:szCs w:val="18"/>
              </w:rPr>
              <w:t xml:space="preserve">Payroll Tax </w:t>
            </w:r>
          </w:p>
        </w:tc>
        <w:tc>
          <w:tcPr>
            <w:tcW w:w="992" w:type="dxa"/>
            <w:noWrap/>
            <w:hideMark/>
          </w:tcPr>
          <w:p w14:paraId="4074335C" w14:textId="7F50EB2F"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4,500</w:t>
            </w:r>
          </w:p>
        </w:tc>
        <w:tc>
          <w:tcPr>
            <w:tcW w:w="1134" w:type="dxa"/>
            <w:noWrap/>
            <w:hideMark/>
          </w:tcPr>
          <w:p w14:paraId="44E3241E" w14:textId="710F39E2"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242,900</w:t>
            </w:r>
          </w:p>
        </w:tc>
        <w:tc>
          <w:tcPr>
            <w:tcW w:w="923" w:type="dxa"/>
            <w:noWrap/>
            <w:hideMark/>
          </w:tcPr>
          <w:p w14:paraId="58ED689D" w14:textId="7810952F"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29,304</w:t>
            </w:r>
          </w:p>
        </w:tc>
        <w:tc>
          <w:tcPr>
            <w:tcW w:w="1062" w:type="dxa"/>
            <w:noWrap/>
            <w:hideMark/>
          </w:tcPr>
          <w:p w14:paraId="26D34772" w14:textId="15419CFF"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61,500</w:t>
            </w:r>
          </w:p>
        </w:tc>
        <w:tc>
          <w:tcPr>
            <w:tcW w:w="992" w:type="dxa"/>
            <w:noWrap/>
            <w:hideMark/>
          </w:tcPr>
          <w:p w14:paraId="1268B649" w14:textId="117FB6C0"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24,804</w:t>
            </w:r>
          </w:p>
        </w:tc>
        <w:tc>
          <w:tcPr>
            <w:tcW w:w="1276" w:type="dxa"/>
            <w:noWrap/>
            <w:hideMark/>
          </w:tcPr>
          <w:p w14:paraId="5625C823" w14:textId="6B92A9E1"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(181,400)</w:t>
            </w:r>
          </w:p>
        </w:tc>
      </w:tr>
      <w:tr w:rsidR="00DF68BE" w:rsidRPr="00923467" w14:paraId="184E4165" w14:textId="77777777" w:rsidTr="00DF68BE">
        <w:trPr>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4820C1F" w14:textId="52A4E6C0" w:rsidR="00D67D41" w:rsidRPr="00DF68BE" w:rsidRDefault="00507787" w:rsidP="00923467">
            <w:pPr>
              <w:rPr>
                <w:b w:val="0"/>
                <w:bCs w:val="0"/>
                <w:sz w:val="18"/>
                <w:szCs w:val="18"/>
              </w:rPr>
            </w:pPr>
            <w:r w:rsidRPr="00DF68BE">
              <w:rPr>
                <w:b w:val="0"/>
                <w:bCs w:val="0"/>
                <w:sz w:val="18"/>
                <w:szCs w:val="18"/>
              </w:rPr>
              <w:t>Withholding Tax</w:t>
            </w:r>
            <w:r w:rsidR="00D67D41" w:rsidRPr="00DF68BE">
              <w:rPr>
                <w:b w:val="0"/>
                <w:bCs w:val="0"/>
                <w:sz w:val="18"/>
                <w:szCs w:val="18"/>
              </w:rPr>
              <w:t xml:space="preserve"> </w:t>
            </w:r>
          </w:p>
        </w:tc>
        <w:tc>
          <w:tcPr>
            <w:tcW w:w="992" w:type="dxa"/>
            <w:noWrap/>
            <w:hideMark/>
          </w:tcPr>
          <w:p w14:paraId="6C17EE35" w14:textId="3E561A43"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1,070,213</w:t>
            </w:r>
          </w:p>
        </w:tc>
        <w:tc>
          <w:tcPr>
            <w:tcW w:w="1134" w:type="dxa"/>
            <w:noWrap/>
            <w:hideMark/>
          </w:tcPr>
          <w:p w14:paraId="6D1A5C24" w14:textId="42D4DFB1"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2,132,529</w:t>
            </w:r>
          </w:p>
        </w:tc>
        <w:tc>
          <w:tcPr>
            <w:tcW w:w="923" w:type="dxa"/>
            <w:noWrap/>
            <w:hideMark/>
          </w:tcPr>
          <w:p w14:paraId="274DB8B5" w14:textId="5240FAF1"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315,517</w:t>
            </w:r>
          </w:p>
        </w:tc>
        <w:tc>
          <w:tcPr>
            <w:tcW w:w="1062" w:type="dxa"/>
            <w:noWrap/>
            <w:hideMark/>
          </w:tcPr>
          <w:p w14:paraId="6BB3B352" w14:textId="53D5569F"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744,482</w:t>
            </w:r>
          </w:p>
        </w:tc>
        <w:tc>
          <w:tcPr>
            <w:tcW w:w="992" w:type="dxa"/>
            <w:noWrap/>
            <w:hideMark/>
          </w:tcPr>
          <w:p w14:paraId="67F33A23" w14:textId="3A68EB74"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(754,696)</w:t>
            </w:r>
          </w:p>
        </w:tc>
        <w:tc>
          <w:tcPr>
            <w:tcW w:w="1276" w:type="dxa"/>
            <w:noWrap/>
            <w:hideMark/>
          </w:tcPr>
          <w:p w14:paraId="790A3989" w14:textId="661D84E0"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(1,388,047)</w:t>
            </w:r>
          </w:p>
        </w:tc>
      </w:tr>
      <w:tr w:rsidR="00DF68BE" w:rsidRPr="00923467" w14:paraId="3FFE1667" w14:textId="77777777" w:rsidTr="00DF68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D2F86A7" w14:textId="27E020D5" w:rsidR="00D67D41" w:rsidRPr="00DF68BE" w:rsidRDefault="00306303" w:rsidP="00923467">
            <w:pPr>
              <w:rPr>
                <w:b w:val="0"/>
                <w:bCs w:val="0"/>
                <w:sz w:val="18"/>
                <w:szCs w:val="18"/>
              </w:rPr>
            </w:pPr>
            <w:r w:rsidRPr="00DF68BE">
              <w:rPr>
                <w:b w:val="0"/>
                <w:bCs w:val="0"/>
                <w:sz w:val="18"/>
                <w:szCs w:val="18"/>
              </w:rPr>
              <w:t>Corporation Tax</w:t>
            </w:r>
          </w:p>
        </w:tc>
        <w:tc>
          <w:tcPr>
            <w:tcW w:w="992" w:type="dxa"/>
            <w:noWrap/>
            <w:hideMark/>
          </w:tcPr>
          <w:p w14:paraId="734D68AA" w14:textId="539F8534"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6,217</w:t>
            </w:r>
          </w:p>
        </w:tc>
        <w:tc>
          <w:tcPr>
            <w:tcW w:w="1134" w:type="dxa"/>
            <w:noWrap/>
            <w:hideMark/>
          </w:tcPr>
          <w:p w14:paraId="7BB54434" w14:textId="2962A4C4"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879,220</w:t>
            </w:r>
          </w:p>
        </w:tc>
        <w:tc>
          <w:tcPr>
            <w:tcW w:w="923" w:type="dxa"/>
            <w:noWrap/>
            <w:hideMark/>
          </w:tcPr>
          <w:p w14:paraId="7406883B" w14:textId="4857A9FA"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1062" w:type="dxa"/>
            <w:noWrap/>
            <w:hideMark/>
          </w:tcPr>
          <w:p w14:paraId="39A53DB0" w14:textId="0EA114AF"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23,338</w:t>
            </w:r>
          </w:p>
        </w:tc>
        <w:tc>
          <w:tcPr>
            <w:tcW w:w="992" w:type="dxa"/>
            <w:noWrap/>
            <w:hideMark/>
          </w:tcPr>
          <w:p w14:paraId="133C6554" w14:textId="54A335EB"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(6,217)</w:t>
            </w:r>
          </w:p>
        </w:tc>
        <w:tc>
          <w:tcPr>
            <w:tcW w:w="1276" w:type="dxa"/>
            <w:noWrap/>
            <w:hideMark/>
          </w:tcPr>
          <w:p w14:paraId="0F07F992" w14:textId="145868FE"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(855,882)</w:t>
            </w:r>
          </w:p>
        </w:tc>
      </w:tr>
      <w:tr w:rsidR="00DF68BE" w:rsidRPr="00923467" w14:paraId="2E2485AB" w14:textId="77777777" w:rsidTr="00DF68BE">
        <w:trPr>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1AE4862" w14:textId="1B0EC849" w:rsidR="00D67D41" w:rsidRPr="00DF68BE" w:rsidRDefault="00D67D41" w:rsidP="00923467">
            <w:pPr>
              <w:rPr>
                <w:b w:val="0"/>
                <w:bCs w:val="0"/>
                <w:sz w:val="18"/>
                <w:szCs w:val="18"/>
              </w:rPr>
            </w:pPr>
            <w:r w:rsidRPr="00DF68BE">
              <w:rPr>
                <w:b w:val="0"/>
                <w:bCs w:val="0"/>
                <w:sz w:val="18"/>
                <w:szCs w:val="18"/>
              </w:rPr>
              <w:t>C</w:t>
            </w:r>
            <w:r w:rsidR="00306303" w:rsidRPr="00DF68BE">
              <w:rPr>
                <w:b w:val="0"/>
                <w:bCs w:val="0"/>
                <w:sz w:val="18"/>
                <w:szCs w:val="18"/>
              </w:rPr>
              <w:t xml:space="preserve">apital Gains Tax </w:t>
            </w:r>
          </w:p>
        </w:tc>
        <w:tc>
          <w:tcPr>
            <w:tcW w:w="992" w:type="dxa"/>
            <w:noWrap/>
            <w:hideMark/>
          </w:tcPr>
          <w:p w14:paraId="661B9EB5" w14:textId="5BC6B608"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5,273</w:t>
            </w:r>
          </w:p>
        </w:tc>
        <w:tc>
          <w:tcPr>
            <w:tcW w:w="1134" w:type="dxa"/>
            <w:noWrap/>
            <w:hideMark/>
          </w:tcPr>
          <w:p w14:paraId="4CA46E0E" w14:textId="1642E6F6"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w:t>
            </w:r>
          </w:p>
        </w:tc>
        <w:tc>
          <w:tcPr>
            <w:tcW w:w="923" w:type="dxa"/>
            <w:noWrap/>
            <w:hideMark/>
          </w:tcPr>
          <w:p w14:paraId="5B1EE2EE" w14:textId="1FA32CA2"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p>
        </w:tc>
        <w:tc>
          <w:tcPr>
            <w:tcW w:w="1062" w:type="dxa"/>
            <w:noWrap/>
            <w:hideMark/>
          </w:tcPr>
          <w:p w14:paraId="4AF4A81D" w14:textId="1871585A"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w:t>
            </w:r>
          </w:p>
        </w:tc>
        <w:tc>
          <w:tcPr>
            <w:tcW w:w="992" w:type="dxa"/>
            <w:noWrap/>
            <w:hideMark/>
          </w:tcPr>
          <w:p w14:paraId="26E250B4" w14:textId="4F573B21"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(5,273)</w:t>
            </w:r>
          </w:p>
        </w:tc>
        <w:tc>
          <w:tcPr>
            <w:tcW w:w="1276" w:type="dxa"/>
            <w:noWrap/>
            <w:hideMark/>
          </w:tcPr>
          <w:p w14:paraId="533EE002" w14:textId="4A5639C2"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w:t>
            </w:r>
          </w:p>
        </w:tc>
      </w:tr>
      <w:tr w:rsidR="00DF68BE" w:rsidRPr="00923467" w14:paraId="779BF80A" w14:textId="77777777" w:rsidTr="00DF68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A28BBE6" w14:textId="77777777" w:rsidR="00D67D41" w:rsidRPr="00DF68BE" w:rsidRDefault="00D67D41" w:rsidP="00923467">
            <w:pPr>
              <w:rPr>
                <w:b w:val="0"/>
                <w:bCs w:val="0"/>
                <w:sz w:val="18"/>
                <w:szCs w:val="18"/>
              </w:rPr>
            </w:pPr>
            <w:r w:rsidRPr="00DF68BE">
              <w:rPr>
                <w:b w:val="0"/>
                <w:bCs w:val="0"/>
                <w:sz w:val="18"/>
                <w:szCs w:val="18"/>
              </w:rPr>
              <w:t xml:space="preserve">GST </w:t>
            </w:r>
          </w:p>
        </w:tc>
        <w:tc>
          <w:tcPr>
            <w:tcW w:w="992" w:type="dxa"/>
            <w:noWrap/>
            <w:hideMark/>
          </w:tcPr>
          <w:p w14:paraId="17BD4B09" w14:textId="68F2A7C2"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noWrap/>
            <w:hideMark/>
          </w:tcPr>
          <w:p w14:paraId="53F46200" w14:textId="59849511"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545,816</w:t>
            </w:r>
          </w:p>
        </w:tc>
        <w:tc>
          <w:tcPr>
            <w:tcW w:w="923" w:type="dxa"/>
            <w:noWrap/>
            <w:hideMark/>
          </w:tcPr>
          <w:p w14:paraId="616069A6" w14:textId="4E579B9F"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1062" w:type="dxa"/>
            <w:noWrap/>
            <w:hideMark/>
          </w:tcPr>
          <w:p w14:paraId="4AC1E25E" w14:textId="3CDB42F3"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40,898</w:t>
            </w:r>
          </w:p>
        </w:tc>
        <w:tc>
          <w:tcPr>
            <w:tcW w:w="992" w:type="dxa"/>
            <w:noWrap/>
            <w:hideMark/>
          </w:tcPr>
          <w:p w14:paraId="0B15FA8E" w14:textId="2E637F70"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w:t>
            </w:r>
          </w:p>
        </w:tc>
        <w:tc>
          <w:tcPr>
            <w:tcW w:w="1276" w:type="dxa"/>
            <w:noWrap/>
            <w:hideMark/>
          </w:tcPr>
          <w:p w14:paraId="6539DB39" w14:textId="3A1CC2FB"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(504,918)</w:t>
            </w:r>
          </w:p>
        </w:tc>
      </w:tr>
      <w:tr w:rsidR="00DF68BE" w:rsidRPr="00923467" w14:paraId="08386BA7" w14:textId="77777777" w:rsidTr="00DF68BE">
        <w:trPr>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5878BC6" w14:textId="550A89A3" w:rsidR="00D67D41" w:rsidRPr="00DF68BE" w:rsidRDefault="00D67D41" w:rsidP="00923467">
            <w:pPr>
              <w:rPr>
                <w:b w:val="0"/>
                <w:bCs w:val="0"/>
                <w:sz w:val="18"/>
                <w:szCs w:val="18"/>
              </w:rPr>
            </w:pPr>
            <w:r w:rsidRPr="00DF68BE">
              <w:rPr>
                <w:b w:val="0"/>
                <w:bCs w:val="0"/>
                <w:sz w:val="18"/>
                <w:szCs w:val="18"/>
              </w:rPr>
              <w:t>P</w:t>
            </w:r>
            <w:r w:rsidR="00306303" w:rsidRPr="00DF68BE">
              <w:rPr>
                <w:b w:val="0"/>
                <w:bCs w:val="0"/>
                <w:sz w:val="18"/>
                <w:szCs w:val="18"/>
              </w:rPr>
              <w:t>enalties</w:t>
            </w:r>
            <w:r w:rsidRPr="00DF68BE">
              <w:rPr>
                <w:b w:val="0"/>
                <w:bCs w:val="0"/>
                <w:sz w:val="18"/>
                <w:szCs w:val="18"/>
              </w:rPr>
              <w:t xml:space="preserve"> </w:t>
            </w:r>
          </w:p>
        </w:tc>
        <w:tc>
          <w:tcPr>
            <w:tcW w:w="992" w:type="dxa"/>
            <w:noWrap/>
            <w:hideMark/>
          </w:tcPr>
          <w:p w14:paraId="2C09F363" w14:textId="119F3E97"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134,980</w:t>
            </w:r>
          </w:p>
        </w:tc>
        <w:tc>
          <w:tcPr>
            <w:tcW w:w="1134" w:type="dxa"/>
            <w:noWrap/>
            <w:hideMark/>
          </w:tcPr>
          <w:p w14:paraId="14CAE93F" w14:textId="6051283C"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w:t>
            </w:r>
          </w:p>
        </w:tc>
        <w:tc>
          <w:tcPr>
            <w:tcW w:w="923" w:type="dxa"/>
            <w:noWrap/>
            <w:hideMark/>
          </w:tcPr>
          <w:p w14:paraId="4762C5EA" w14:textId="16CDCD62"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212,559</w:t>
            </w:r>
          </w:p>
        </w:tc>
        <w:tc>
          <w:tcPr>
            <w:tcW w:w="1062" w:type="dxa"/>
            <w:noWrap/>
            <w:hideMark/>
          </w:tcPr>
          <w:p w14:paraId="334F8C68" w14:textId="51CBA41B"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w:t>
            </w:r>
          </w:p>
        </w:tc>
        <w:tc>
          <w:tcPr>
            <w:tcW w:w="992" w:type="dxa"/>
            <w:noWrap/>
            <w:hideMark/>
          </w:tcPr>
          <w:p w14:paraId="0DCA48ED" w14:textId="615B0EA9"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77,579</w:t>
            </w:r>
          </w:p>
        </w:tc>
        <w:tc>
          <w:tcPr>
            <w:tcW w:w="1276" w:type="dxa"/>
            <w:noWrap/>
            <w:hideMark/>
          </w:tcPr>
          <w:p w14:paraId="245C6917" w14:textId="430531F6"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w:t>
            </w:r>
          </w:p>
        </w:tc>
      </w:tr>
      <w:tr w:rsidR="00DF68BE" w:rsidRPr="00923467" w14:paraId="5EF9FACF" w14:textId="77777777" w:rsidTr="00DF68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786A667" w14:textId="431B4BEE" w:rsidR="00D67D41" w:rsidRPr="00DF68BE" w:rsidRDefault="00D67D41" w:rsidP="00923467">
            <w:pPr>
              <w:rPr>
                <w:b w:val="0"/>
                <w:bCs w:val="0"/>
                <w:sz w:val="18"/>
                <w:szCs w:val="18"/>
              </w:rPr>
            </w:pPr>
            <w:r w:rsidRPr="00DF68BE">
              <w:rPr>
                <w:b w:val="0"/>
                <w:bCs w:val="0"/>
                <w:sz w:val="18"/>
                <w:szCs w:val="18"/>
              </w:rPr>
              <w:t>P</w:t>
            </w:r>
            <w:r w:rsidR="00306303" w:rsidRPr="00DF68BE">
              <w:rPr>
                <w:b w:val="0"/>
                <w:bCs w:val="0"/>
                <w:sz w:val="18"/>
                <w:szCs w:val="18"/>
              </w:rPr>
              <w:t>enalties</w:t>
            </w:r>
            <w:r w:rsidRPr="00DF68BE">
              <w:rPr>
                <w:b w:val="0"/>
                <w:bCs w:val="0"/>
                <w:sz w:val="18"/>
                <w:szCs w:val="18"/>
              </w:rPr>
              <w:t xml:space="preserve"> </w:t>
            </w:r>
          </w:p>
        </w:tc>
        <w:tc>
          <w:tcPr>
            <w:tcW w:w="992" w:type="dxa"/>
            <w:noWrap/>
            <w:hideMark/>
          </w:tcPr>
          <w:p w14:paraId="03AABB3A" w14:textId="62B69E18"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w:t>
            </w:r>
          </w:p>
        </w:tc>
        <w:tc>
          <w:tcPr>
            <w:tcW w:w="1134" w:type="dxa"/>
            <w:noWrap/>
            <w:hideMark/>
          </w:tcPr>
          <w:p w14:paraId="47DD52A6" w14:textId="19265F92"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4,147,853</w:t>
            </w:r>
          </w:p>
        </w:tc>
        <w:tc>
          <w:tcPr>
            <w:tcW w:w="923" w:type="dxa"/>
            <w:noWrap/>
            <w:hideMark/>
          </w:tcPr>
          <w:p w14:paraId="10B87516" w14:textId="702D17D0"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1062" w:type="dxa"/>
            <w:noWrap/>
            <w:hideMark/>
          </w:tcPr>
          <w:p w14:paraId="0F708B1C" w14:textId="0C2E1F3B"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551,423</w:t>
            </w:r>
          </w:p>
        </w:tc>
        <w:tc>
          <w:tcPr>
            <w:tcW w:w="992" w:type="dxa"/>
            <w:noWrap/>
            <w:hideMark/>
          </w:tcPr>
          <w:p w14:paraId="6B957AE6" w14:textId="632ACEB8"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w:t>
            </w:r>
          </w:p>
        </w:tc>
        <w:tc>
          <w:tcPr>
            <w:tcW w:w="1276" w:type="dxa"/>
            <w:noWrap/>
            <w:hideMark/>
          </w:tcPr>
          <w:p w14:paraId="6098BF91" w14:textId="7C49563C" w:rsidR="00D67D41" w:rsidRPr="00DF68BE" w:rsidRDefault="00D67D41"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(3,596,430)</w:t>
            </w:r>
          </w:p>
        </w:tc>
      </w:tr>
      <w:tr w:rsidR="00DF68BE" w:rsidRPr="00923467" w14:paraId="277F217A" w14:textId="77777777" w:rsidTr="00DF68BE">
        <w:trPr>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717CEEF" w14:textId="5522739C" w:rsidR="00D67D41" w:rsidRPr="00DF68BE" w:rsidRDefault="00542064" w:rsidP="00923467">
            <w:pPr>
              <w:rPr>
                <w:sz w:val="18"/>
                <w:szCs w:val="18"/>
              </w:rPr>
            </w:pPr>
            <w:r w:rsidRPr="00DF68BE">
              <w:rPr>
                <w:sz w:val="18"/>
                <w:szCs w:val="18"/>
              </w:rPr>
              <w:t>Total</w:t>
            </w:r>
          </w:p>
        </w:tc>
        <w:tc>
          <w:tcPr>
            <w:tcW w:w="992" w:type="dxa"/>
            <w:noWrap/>
            <w:hideMark/>
          </w:tcPr>
          <w:p w14:paraId="276A8AB5" w14:textId="1AF010D1"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DF68BE">
              <w:rPr>
                <w:b/>
                <w:bCs/>
                <w:sz w:val="18"/>
                <w:szCs w:val="18"/>
              </w:rPr>
              <w:t>1,241,323</w:t>
            </w:r>
          </w:p>
        </w:tc>
        <w:tc>
          <w:tcPr>
            <w:tcW w:w="1134" w:type="dxa"/>
            <w:noWrap/>
            <w:hideMark/>
          </w:tcPr>
          <w:p w14:paraId="3D57FA1A" w14:textId="579A25C4"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DF68BE">
              <w:rPr>
                <w:b/>
                <w:bCs/>
                <w:sz w:val="18"/>
                <w:szCs w:val="18"/>
              </w:rPr>
              <w:t>12,806,300</w:t>
            </w:r>
          </w:p>
        </w:tc>
        <w:tc>
          <w:tcPr>
            <w:tcW w:w="923" w:type="dxa"/>
            <w:noWrap/>
            <w:hideMark/>
          </w:tcPr>
          <w:p w14:paraId="732281B2" w14:textId="70DC7B04"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DF68BE">
              <w:rPr>
                <w:b/>
                <w:bCs/>
                <w:sz w:val="18"/>
                <w:szCs w:val="18"/>
              </w:rPr>
              <w:t>1,463,697</w:t>
            </w:r>
          </w:p>
        </w:tc>
        <w:tc>
          <w:tcPr>
            <w:tcW w:w="1062" w:type="dxa"/>
            <w:noWrap/>
            <w:hideMark/>
          </w:tcPr>
          <w:p w14:paraId="0DD68A18" w14:textId="1A036606"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DF68BE">
              <w:rPr>
                <w:b/>
                <w:bCs/>
                <w:sz w:val="18"/>
                <w:szCs w:val="18"/>
              </w:rPr>
              <w:t>2,903,803</w:t>
            </w:r>
          </w:p>
        </w:tc>
        <w:tc>
          <w:tcPr>
            <w:tcW w:w="992" w:type="dxa"/>
            <w:noWrap/>
            <w:hideMark/>
          </w:tcPr>
          <w:p w14:paraId="7A7C7B14" w14:textId="7E2739CB"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DF68BE">
              <w:rPr>
                <w:b/>
                <w:bCs/>
                <w:sz w:val="18"/>
                <w:szCs w:val="18"/>
              </w:rPr>
              <w:t>222,374</w:t>
            </w:r>
          </w:p>
        </w:tc>
        <w:tc>
          <w:tcPr>
            <w:tcW w:w="1276" w:type="dxa"/>
            <w:noWrap/>
            <w:hideMark/>
          </w:tcPr>
          <w:p w14:paraId="148AAF98" w14:textId="41E11855" w:rsidR="00D67D41" w:rsidRPr="00DF68BE" w:rsidRDefault="00D67D41" w:rsidP="00923467">
            <w:pPr>
              <w:cnfStyle w:val="000000000000" w:firstRow="0" w:lastRow="0" w:firstColumn="0" w:lastColumn="0" w:oddVBand="0" w:evenVBand="0" w:oddHBand="0" w:evenHBand="0" w:firstRowFirstColumn="0" w:firstRowLastColumn="0" w:lastRowFirstColumn="0" w:lastRowLastColumn="0"/>
              <w:rPr>
                <w:b/>
                <w:bCs/>
                <w:sz w:val="18"/>
                <w:szCs w:val="18"/>
              </w:rPr>
            </w:pPr>
            <w:r w:rsidRPr="00DF68BE">
              <w:rPr>
                <w:b/>
                <w:bCs/>
                <w:sz w:val="18"/>
                <w:szCs w:val="18"/>
              </w:rPr>
              <w:t>(9,902,497)</w:t>
            </w:r>
          </w:p>
        </w:tc>
      </w:tr>
      <w:tr w:rsidR="00A60F52" w:rsidRPr="00923467" w14:paraId="692F8BFF" w14:textId="77777777" w:rsidTr="00DF68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3341531" w14:textId="77777777" w:rsidR="00A60F52" w:rsidRPr="00DF68BE" w:rsidRDefault="00A60F52" w:rsidP="00923467">
            <w:pPr>
              <w:rPr>
                <w:b w:val="0"/>
                <w:bCs w:val="0"/>
                <w:sz w:val="18"/>
                <w:szCs w:val="18"/>
              </w:rPr>
            </w:pPr>
            <w:r w:rsidRPr="00DF68BE">
              <w:rPr>
                <w:b w:val="0"/>
                <w:bCs w:val="0"/>
                <w:sz w:val="18"/>
                <w:szCs w:val="18"/>
              </w:rPr>
              <w:t>No. of Taxpayers Audited (A)</w:t>
            </w:r>
          </w:p>
        </w:tc>
        <w:tc>
          <w:tcPr>
            <w:tcW w:w="2126" w:type="dxa"/>
            <w:gridSpan w:val="2"/>
            <w:noWrap/>
            <w:hideMark/>
          </w:tcPr>
          <w:p w14:paraId="66C4459B" w14:textId="3DC51680" w:rsidR="00A60F52" w:rsidRPr="00DF68BE" w:rsidRDefault="00A60F52"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8</w:t>
            </w:r>
          </w:p>
        </w:tc>
        <w:tc>
          <w:tcPr>
            <w:tcW w:w="1985" w:type="dxa"/>
            <w:gridSpan w:val="2"/>
            <w:noWrap/>
            <w:hideMark/>
          </w:tcPr>
          <w:p w14:paraId="667B5A18" w14:textId="3B73C9EA" w:rsidR="00A60F52" w:rsidRPr="00DF68BE" w:rsidRDefault="00A60F52"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11</w:t>
            </w:r>
          </w:p>
        </w:tc>
        <w:tc>
          <w:tcPr>
            <w:tcW w:w="2268" w:type="dxa"/>
            <w:gridSpan w:val="2"/>
            <w:noWrap/>
            <w:hideMark/>
          </w:tcPr>
          <w:p w14:paraId="0FC08EB6" w14:textId="516D0468" w:rsidR="00A60F52" w:rsidRPr="00DF68BE" w:rsidRDefault="00A60F52"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w:t>
            </w:r>
          </w:p>
        </w:tc>
      </w:tr>
      <w:tr w:rsidR="00DF68BE" w:rsidRPr="00923467" w14:paraId="78893CB8" w14:textId="77777777" w:rsidTr="00DF68BE">
        <w:trPr>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01A9219" w14:textId="77777777" w:rsidR="00A60F52" w:rsidRPr="00DF68BE" w:rsidRDefault="00A60F52" w:rsidP="00923467">
            <w:pPr>
              <w:rPr>
                <w:b w:val="0"/>
                <w:bCs w:val="0"/>
                <w:sz w:val="18"/>
                <w:szCs w:val="18"/>
              </w:rPr>
            </w:pPr>
            <w:r w:rsidRPr="00DF68BE">
              <w:rPr>
                <w:b w:val="0"/>
                <w:bCs w:val="0"/>
                <w:sz w:val="18"/>
                <w:szCs w:val="18"/>
              </w:rPr>
              <w:t>No. of Target Audit (B)</w:t>
            </w:r>
          </w:p>
        </w:tc>
        <w:tc>
          <w:tcPr>
            <w:tcW w:w="2126" w:type="dxa"/>
            <w:gridSpan w:val="2"/>
            <w:noWrap/>
            <w:hideMark/>
          </w:tcPr>
          <w:p w14:paraId="6842BFD5" w14:textId="06C94463" w:rsidR="00A60F52" w:rsidRPr="00DF68BE" w:rsidRDefault="00A60F52"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21</w:t>
            </w:r>
          </w:p>
        </w:tc>
        <w:tc>
          <w:tcPr>
            <w:tcW w:w="1985" w:type="dxa"/>
            <w:gridSpan w:val="2"/>
            <w:noWrap/>
            <w:hideMark/>
          </w:tcPr>
          <w:p w14:paraId="49FAF937" w14:textId="74FFE401" w:rsidR="00A60F52" w:rsidRPr="00DF68BE" w:rsidRDefault="00A60F52"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30</w:t>
            </w:r>
          </w:p>
        </w:tc>
        <w:tc>
          <w:tcPr>
            <w:tcW w:w="2268" w:type="dxa"/>
            <w:gridSpan w:val="2"/>
            <w:noWrap/>
            <w:hideMark/>
          </w:tcPr>
          <w:p w14:paraId="39367091" w14:textId="5D6B40E6" w:rsidR="00A60F52" w:rsidRPr="00DF68BE" w:rsidRDefault="00A60F52"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9</w:t>
            </w:r>
          </w:p>
        </w:tc>
      </w:tr>
      <w:tr w:rsidR="00DF68BE" w:rsidRPr="00923467" w14:paraId="6C8140A5" w14:textId="77777777" w:rsidTr="00DF68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3EB5B13" w14:textId="77777777" w:rsidR="00DF68BE" w:rsidRPr="00DF68BE" w:rsidRDefault="00DF68BE" w:rsidP="00923467">
            <w:pPr>
              <w:rPr>
                <w:b w:val="0"/>
                <w:bCs w:val="0"/>
                <w:sz w:val="18"/>
                <w:szCs w:val="18"/>
              </w:rPr>
            </w:pPr>
            <w:r w:rsidRPr="00DF68BE">
              <w:rPr>
                <w:sz w:val="18"/>
                <w:szCs w:val="18"/>
              </w:rPr>
              <w:t>Difference (A-B)</w:t>
            </w:r>
          </w:p>
        </w:tc>
        <w:tc>
          <w:tcPr>
            <w:tcW w:w="2126" w:type="dxa"/>
            <w:gridSpan w:val="2"/>
            <w:noWrap/>
            <w:hideMark/>
          </w:tcPr>
          <w:p w14:paraId="4033DCD5" w14:textId="71E5519A" w:rsidR="00DF68BE" w:rsidRPr="00DF68BE" w:rsidRDefault="00DF68BE"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DF68BE">
              <w:rPr>
                <w:b/>
                <w:bCs/>
                <w:sz w:val="18"/>
                <w:szCs w:val="18"/>
              </w:rPr>
              <w:t>(13)</w:t>
            </w:r>
          </w:p>
        </w:tc>
        <w:tc>
          <w:tcPr>
            <w:tcW w:w="1985" w:type="dxa"/>
            <w:gridSpan w:val="2"/>
            <w:noWrap/>
            <w:hideMark/>
          </w:tcPr>
          <w:p w14:paraId="7586C557" w14:textId="2970B365" w:rsidR="00DF68BE" w:rsidRPr="00DF68BE" w:rsidRDefault="00DF68BE"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DF68BE">
              <w:rPr>
                <w:b/>
                <w:bCs/>
                <w:sz w:val="18"/>
                <w:szCs w:val="18"/>
              </w:rPr>
              <w:t>(19)</w:t>
            </w:r>
          </w:p>
        </w:tc>
        <w:tc>
          <w:tcPr>
            <w:tcW w:w="2268" w:type="dxa"/>
            <w:gridSpan w:val="2"/>
            <w:noWrap/>
            <w:hideMark/>
          </w:tcPr>
          <w:p w14:paraId="11C5CE1F" w14:textId="13487841" w:rsidR="00DF68BE" w:rsidRPr="00DF68BE" w:rsidRDefault="00DF68BE" w:rsidP="00923467">
            <w:pPr>
              <w:cnfStyle w:val="000000100000" w:firstRow="0" w:lastRow="0" w:firstColumn="0" w:lastColumn="0" w:oddVBand="0" w:evenVBand="0" w:oddHBand="1" w:evenHBand="0" w:firstRowFirstColumn="0" w:firstRowLastColumn="0" w:lastRowFirstColumn="0" w:lastRowLastColumn="0"/>
              <w:rPr>
                <w:sz w:val="18"/>
                <w:szCs w:val="18"/>
              </w:rPr>
            </w:pPr>
          </w:p>
        </w:tc>
      </w:tr>
    </w:tbl>
    <w:p w14:paraId="2211DB45" w14:textId="77AF5EE4" w:rsidR="000E1F61" w:rsidRPr="00923467" w:rsidRDefault="000E1F61" w:rsidP="00923467">
      <w:pPr>
        <w:pStyle w:val="Caption"/>
      </w:pPr>
      <w:bookmarkStart w:id="112" w:name="_Toc137831160"/>
      <w:bookmarkEnd w:id="111"/>
      <w:r w:rsidRPr="00923467">
        <w:t xml:space="preserve">Table </w:t>
      </w:r>
      <w:r w:rsidRPr="00923467">
        <w:fldChar w:fldCharType="begin"/>
      </w:r>
      <w:r w:rsidRPr="00923467">
        <w:instrText xml:space="preserve"> SEQ Table \* ARABIC </w:instrText>
      </w:r>
      <w:r w:rsidRPr="00923467">
        <w:fldChar w:fldCharType="separate"/>
      </w:r>
      <w:r w:rsidR="00E12E6B">
        <w:rPr>
          <w:noProof/>
        </w:rPr>
        <w:t>31</w:t>
      </w:r>
      <w:r w:rsidRPr="00923467">
        <w:fldChar w:fldCharType="end"/>
      </w:r>
      <w:r w:rsidRPr="00923467">
        <w:t>: Additional Tax Liability Established through Audits (EIRU)</w:t>
      </w:r>
      <w:bookmarkEnd w:id="112"/>
    </w:p>
    <w:p w14:paraId="558D9A05" w14:textId="386CBDFD" w:rsidR="00B50981" w:rsidRPr="00DF68BE" w:rsidRDefault="00B50981" w:rsidP="00923467">
      <w:pPr>
        <w:rPr>
          <w:sz w:val="16"/>
          <w:szCs w:val="16"/>
        </w:rPr>
      </w:pPr>
      <w:r w:rsidRPr="00DF68BE">
        <w:rPr>
          <w:sz w:val="16"/>
          <w:szCs w:val="16"/>
        </w:rPr>
        <w:t>Source: EIRU/DTD</w:t>
      </w:r>
    </w:p>
    <w:p w14:paraId="4D5B336C" w14:textId="77777777" w:rsidR="000E1F61" w:rsidRPr="00923467" w:rsidRDefault="000E1F61" w:rsidP="00923467"/>
    <w:p w14:paraId="170E48C6" w14:textId="360A5C31" w:rsidR="000E1F61" w:rsidRPr="00923467" w:rsidRDefault="000E1F61" w:rsidP="00923467">
      <w:pPr>
        <w:pStyle w:val="Heading2"/>
      </w:pPr>
      <w:bookmarkStart w:id="113" w:name="_Toc137831120"/>
      <w:r w:rsidRPr="00923467">
        <w:t>DOMESTIC TAXES</w:t>
      </w:r>
      <w:r w:rsidR="00F30422" w:rsidRPr="00923467">
        <w:t xml:space="preserve"> ENFORCEMENT ACTIVITY</w:t>
      </w:r>
      <w:bookmarkEnd w:id="113"/>
    </w:p>
    <w:p w14:paraId="404C73FB" w14:textId="310E1FE0" w:rsidR="00741C4B" w:rsidRPr="00923467" w:rsidRDefault="005809AC" w:rsidP="00923467">
      <w:r w:rsidRPr="0019531F">
        <w:rPr>
          <w:shd w:val="clear" w:color="auto" w:fill="FFFFFF" w:themeFill="background1"/>
        </w:rPr>
        <w:t xml:space="preserve">Table </w:t>
      </w:r>
      <w:r w:rsidR="000E1F61" w:rsidRPr="0019531F">
        <w:rPr>
          <w:shd w:val="clear" w:color="auto" w:fill="FFFFFF" w:themeFill="background1"/>
        </w:rPr>
        <w:t xml:space="preserve">32 </w:t>
      </w:r>
      <w:r w:rsidRPr="0019531F">
        <w:rPr>
          <w:shd w:val="clear" w:color="auto" w:fill="FFFFFF" w:themeFill="background1"/>
        </w:rPr>
        <w:t>shows</w:t>
      </w:r>
      <w:r w:rsidRPr="00923467">
        <w:t xml:space="preserve"> the </w:t>
      </w:r>
      <w:r w:rsidR="00CC2497" w:rsidRPr="00923467">
        <w:t xml:space="preserve">amount of revenue recovered by the </w:t>
      </w:r>
      <w:r w:rsidR="00D802FC" w:rsidRPr="00923467">
        <w:t>E</w:t>
      </w:r>
      <w:r w:rsidR="00CC2497" w:rsidRPr="00923467">
        <w:t xml:space="preserve">nforcement </w:t>
      </w:r>
      <w:r w:rsidR="00D802FC" w:rsidRPr="00923467">
        <w:t>U</w:t>
      </w:r>
      <w:r w:rsidR="00CC2497" w:rsidRPr="00923467">
        <w:t xml:space="preserve">nits of </w:t>
      </w:r>
      <w:r w:rsidR="00483092" w:rsidRPr="00923467">
        <w:t xml:space="preserve">the MTO and LTO </w:t>
      </w:r>
      <w:r w:rsidR="000A5A17" w:rsidRPr="00923467">
        <w:t xml:space="preserve">respectively </w:t>
      </w:r>
      <w:r w:rsidR="00CC2497" w:rsidRPr="00923467">
        <w:t>in 202</w:t>
      </w:r>
      <w:r w:rsidR="005406DB" w:rsidRPr="00923467">
        <w:t>2.</w:t>
      </w:r>
      <w:r w:rsidR="00CC2497" w:rsidRPr="00923467">
        <w:t xml:space="preserve"> </w:t>
      </w:r>
      <w:r w:rsidR="00A041C8" w:rsidRPr="00923467">
        <w:t xml:space="preserve">MTO enforcement activity targeted 20 taxpayers and made a recovery of </w:t>
      </w:r>
      <w:proofErr w:type="spellStart"/>
      <w:r w:rsidR="00A041C8" w:rsidRPr="00923467">
        <w:t>NLe</w:t>
      </w:r>
      <w:proofErr w:type="spellEnd"/>
      <w:r w:rsidR="00A041C8" w:rsidRPr="00923467">
        <w:t xml:space="preserve"> 2,700,388, while LTO targeted 7 taxpayers and made a recovery of </w:t>
      </w:r>
      <w:proofErr w:type="spellStart"/>
      <w:r w:rsidR="00A041C8" w:rsidRPr="00923467">
        <w:t>NLe</w:t>
      </w:r>
      <w:proofErr w:type="spellEnd"/>
      <w:r w:rsidR="00A041C8" w:rsidRPr="00923467">
        <w:t xml:space="preserve"> </w:t>
      </w:r>
      <w:r w:rsidR="00A041C8" w:rsidRPr="00923467">
        <w:rPr>
          <w:color w:val="000000"/>
        </w:rPr>
        <w:t>13,379,837</w:t>
      </w:r>
      <w:r w:rsidR="009B5144" w:rsidRPr="00923467">
        <w:rPr>
          <w:color w:val="000000"/>
        </w:rPr>
        <w:t xml:space="preserve">. </w:t>
      </w:r>
    </w:p>
    <w:p w14:paraId="635336FD" w14:textId="4C5D395A" w:rsidR="005406DB" w:rsidRPr="00923467" w:rsidRDefault="005406DB" w:rsidP="00923467"/>
    <w:tbl>
      <w:tblPr>
        <w:tblStyle w:val="GridTable4-Accent5"/>
        <w:tblW w:w="6232" w:type="dxa"/>
        <w:tblLook w:val="04A0" w:firstRow="1" w:lastRow="0" w:firstColumn="1" w:lastColumn="0" w:noHBand="0" w:noVBand="1"/>
      </w:tblPr>
      <w:tblGrid>
        <w:gridCol w:w="2263"/>
        <w:gridCol w:w="1701"/>
        <w:gridCol w:w="2268"/>
      </w:tblGrid>
      <w:tr w:rsidR="0006469F" w:rsidRPr="00923467" w14:paraId="571C911B" w14:textId="77777777" w:rsidTr="00004B5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CC52EF1" w14:textId="77777777" w:rsidR="000909DD" w:rsidRPr="00DF68BE" w:rsidRDefault="000909DD" w:rsidP="00923467">
            <w:pPr>
              <w:rPr>
                <w:sz w:val="18"/>
                <w:szCs w:val="18"/>
              </w:rPr>
            </w:pPr>
            <w:r w:rsidRPr="00DF68BE">
              <w:rPr>
                <w:sz w:val="18"/>
                <w:szCs w:val="18"/>
              </w:rPr>
              <w:t>Tax Office</w:t>
            </w:r>
          </w:p>
        </w:tc>
        <w:tc>
          <w:tcPr>
            <w:tcW w:w="1701" w:type="dxa"/>
            <w:noWrap/>
            <w:hideMark/>
          </w:tcPr>
          <w:p w14:paraId="63A6C6F0" w14:textId="77777777" w:rsidR="000909DD" w:rsidRPr="00DF68BE" w:rsidRDefault="000909DD"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F68BE">
              <w:rPr>
                <w:sz w:val="18"/>
                <w:szCs w:val="18"/>
              </w:rPr>
              <w:t>No. of Taxpayers</w:t>
            </w:r>
          </w:p>
        </w:tc>
        <w:tc>
          <w:tcPr>
            <w:tcW w:w="2268" w:type="dxa"/>
            <w:noWrap/>
            <w:hideMark/>
          </w:tcPr>
          <w:p w14:paraId="102ADAE7" w14:textId="77777777" w:rsidR="000909DD" w:rsidRPr="00DF68BE" w:rsidRDefault="000909DD"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F68BE">
              <w:rPr>
                <w:sz w:val="18"/>
                <w:szCs w:val="18"/>
              </w:rPr>
              <w:t>Amount Recovered (</w:t>
            </w:r>
            <w:proofErr w:type="spellStart"/>
            <w:r w:rsidRPr="00DF68BE">
              <w:rPr>
                <w:sz w:val="18"/>
                <w:szCs w:val="18"/>
              </w:rPr>
              <w:t>NLe</w:t>
            </w:r>
            <w:proofErr w:type="spellEnd"/>
            <w:r w:rsidRPr="00DF68BE">
              <w:rPr>
                <w:sz w:val="18"/>
                <w:szCs w:val="18"/>
              </w:rPr>
              <w:t>)</w:t>
            </w:r>
          </w:p>
        </w:tc>
      </w:tr>
      <w:tr w:rsidR="0006469F" w:rsidRPr="00923467" w14:paraId="0B932BAF" w14:textId="77777777" w:rsidTr="00004B5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DF793B1" w14:textId="13C4DE78" w:rsidR="000909DD" w:rsidRPr="00DF68BE" w:rsidRDefault="000909DD" w:rsidP="00923467">
            <w:pPr>
              <w:rPr>
                <w:b w:val="0"/>
                <w:bCs w:val="0"/>
                <w:sz w:val="18"/>
                <w:szCs w:val="18"/>
              </w:rPr>
            </w:pPr>
            <w:r w:rsidRPr="00DF68BE">
              <w:rPr>
                <w:b w:val="0"/>
                <w:bCs w:val="0"/>
                <w:sz w:val="18"/>
                <w:szCs w:val="18"/>
              </w:rPr>
              <w:t>Medium Taxpayer</w:t>
            </w:r>
            <w:r w:rsidR="0006469F" w:rsidRPr="00DF68BE">
              <w:rPr>
                <w:b w:val="0"/>
                <w:bCs w:val="0"/>
                <w:sz w:val="18"/>
                <w:szCs w:val="18"/>
              </w:rPr>
              <w:t>s</w:t>
            </w:r>
            <w:r w:rsidRPr="00DF68BE">
              <w:rPr>
                <w:b w:val="0"/>
                <w:bCs w:val="0"/>
                <w:sz w:val="18"/>
                <w:szCs w:val="18"/>
              </w:rPr>
              <w:t xml:space="preserve"> Office</w:t>
            </w:r>
          </w:p>
        </w:tc>
        <w:tc>
          <w:tcPr>
            <w:tcW w:w="1701" w:type="dxa"/>
            <w:noWrap/>
            <w:hideMark/>
          </w:tcPr>
          <w:p w14:paraId="1DE9FA2B" w14:textId="77777777" w:rsidR="000909DD" w:rsidRPr="00DF68BE" w:rsidRDefault="000909DD"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20</w:t>
            </w:r>
          </w:p>
        </w:tc>
        <w:tc>
          <w:tcPr>
            <w:tcW w:w="2268" w:type="dxa"/>
            <w:noWrap/>
            <w:hideMark/>
          </w:tcPr>
          <w:p w14:paraId="342F09AE" w14:textId="2C441D17" w:rsidR="000909DD" w:rsidRPr="00DF68BE" w:rsidRDefault="000909DD"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2,700,388</w:t>
            </w:r>
          </w:p>
        </w:tc>
      </w:tr>
      <w:tr w:rsidR="0006469F" w:rsidRPr="00923467" w14:paraId="195BE3F3" w14:textId="77777777" w:rsidTr="00004B58">
        <w:trPr>
          <w:trHeight w:val="34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7FF9964" w14:textId="02974F9B" w:rsidR="000909DD" w:rsidRPr="00DF68BE" w:rsidRDefault="000909DD" w:rsidP="00923467">
            <w:pPr>
              <w:rPr>
                <w:b w:val="0"/>
                <w:bCs w:val="0"/>
                <w:sz w:val="18"/>
                <w:szCs w:val="18"/>
              </w:rPr>
            </w:pPr>
            <w:r w:rsidRPr="00DF68BE">
              <w:rPr>
                <w:b w:val="0"/>
                <w:bCs w:val="0"/>
                <w:sz w:val="18"/>
                <w:szCs w:val="18"/>
              </w:rPr>
              <w:t>Large Taxpayer</w:t>
            </w:r>
            <w:r w:rsidR="0006469F" w:rsidRPr="00DF68BE">
              <w:rPr>
                <w:b w:val="0"/>
                <w:bCs w:val="0"/>
                <w:sz w:val="18"/>
                <w:szCs w:val="18"/>
              </w:rPr>
              <w:t>s</w:t>
            </w:r>
            <w:r w:rsidRPr="00DF68BE">
              <w:rPr>
                <w:b w:val="0"/>
                <w:bCs w:val="0"/>
                <w:sz w:val="18"/>
                <w:szCs w:val="18"/>
              </w:rPr>
              <w:t xml:space="preserve"> Office</w:t>
            </w:r>
          </w:p>
        </w:tc>
        <w:tc>
          <w:tcPr>
            <w:tcW w:w="1701" w:type="dxa"/>
            <w:noWrap/>
            <w:hideMark/>
          </w:tcPr>
          <w:p w14:paraId="13AC4961" w14:textId="77777777" w:rsidR="000909DD" w:rsidRPr="00DF68BE" w:rsidRDefault="000909DD"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7</w:t>
            </w:r>
          </w:p>
        </w:tc>
        <w:tc>
          <w:tcPr>
            <w:tcW w:w="2268" w:type="dxa"/>
            <w:noWrap/>
            <w:hideMark/>
          </w:tcPr>
          <w:p w14:paraId="5387BC9E" w14:textId="05A23994" w:rsidR="000909DD" w:rsidRPr="00DF68BE" w:rsidRDefault="000909DD"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13,379,837</w:t>
            </w:r>
          </w:p>
        </w:tc>
      </w:tr>
      <w:tr w:rsidR="0006469F" w:rsidRPr="00923467" w14:paraId="4A84E9C9" w14:textId="77777777" w:rsidTr="00004B5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5449FFD" w14:textId="2DFFC204" w:rsidR="000909DD" w:rsidRPr="00DF68BE" w:rsidRDefault="00542064" w:rsidP="00923467">
            <w:pPr>
              <w:rPr>
                <w:sz w:val="18"/>
                <w:szCs w:val="18"/>
              </w:rPr>
            </w:pPr>
            <w:r w:rsidRPr="00DF68BE">
              <w:rPr>
                <w:sz w:val="18"/>
                <w:szCs w:val="18"/>
              </w:rPr>
              <w:t>Total</w:t>
            </w:r>
          </w:p>
        </w:tc>
        <w:tc>
          <w:tcPr>
            <w:tcW w:w="1701" w:type="dxa"/>
            <w:noWrap/>
            <w:hideMark/>
          </w:tcPr>
          <w:p w14:paraId="64BAAE62" w14:textId="77777777" w:rsidR="000909DD" w:rsidRPr="00DF68BE" w:rsidRDefault="000909DD"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DF68BE">
              <w:rPr>
                <w:b/>
                <w:bCs/>
                <w:sz w:val="18"/>
                <w:szCs w:val="18"/>
              </w:rPr>
              <w:t>27</w:t>
            </w:r>
          </w:p>
        </w:tc>
        <w:tc>
          <w:tcPr>
            <w:tcW w:w="2268" w:type="dxa"/>
            <w:noWrap/>
            <w:hideMark/>
          </w:tcPr>
          <w:p w14:paraId="68C0E102" w14:textId="5A9BC5B4" w:rsidR="000909DD" w:rsidRPr="00DF68BE" w:rsidRDefault="000909DD" w:rsidP="00923467">
            <w:pPr>
              <w:cnfStyle w:val="000000100000" w:firstRow="0" w:lastRow="0" w:firstColumn="0" w:lastColumn="0" w:oddVBand="0" w:evenVBand="0" w:oddHBand="1" w:evenHBand="0" w:firstRowFirstColumn="0" w:firstRowLastColumn="0" w:lastRowFirstColumn="0" w:lastRowLastColumn="0"/>
              <w:rPr>
                <w:b/>
                <w:bCs/>
                <w:sz w:val="18"/>
                <w:szCs w:val="18"/>
              </w:rPr>
            </w:pPr>
            <w:r w:rsidRPr="00DF68BE">
              <w:rPr>
                <w:b/>
                <w:bCs/>
                <w:sz w:val="18"/>
                <w:szCs w:val="18"/>
              </w:rPr>
              <w:t>16,080,225</w:t>
            </w:r>
          </w:p>
        </w:tc>
      </w:tr>
    </w:tbl>
    <w:p w14:paraId="7893C464" w14:textId="38ABBED9" w:rsidR="000E1F61" w:rsidRPr="00923467" w:rsidRDefault="000E1F61" w:rsidP="00923467">
      <w:pPr>
        <w:pStyle w:val="Caption"/>
      </w:pPr>
      <w:bookmarkStart w:id="114" w:name="_Toc137831161"/>
      <w:r w:rsidRPr="00923467">
        <w:t xml:space="preserve">Table </w:t>
      </w:r>
      <w:r w:rsidRPr="00923467">
        <w:fldChar w:fldCharType="begin"/>
      </w:r>
      <w:r w:rsidRPr="00923467">
        <w:instrText xml:space="preserve"> SEQ Table \* ARABIC </w:instrText>
      </w:r>
      <w:r w:rsidRPr="00923467">
        <w:fldChar w:fldCharType="separate"/>
      </w:r>
      <w:r w:rsidR="00E12E6B">
        <w:rPr>
          <w:noProof/>
        </w:rPr>
        <w:t>32</w:t>
      </w:r>
      <w:r w:rsidRPr="00923467">
        <w:fldChar w:fldCharType="end"/>
      </w:r>
      <w:r w:rsidRPr="00923467">
        <w:t>: Revenue Raised by Enforcement Units (MTO &amp; LTO, 2022)</w:t>
      </w:r>
      <w:bookmarkEnd w:id="114"/>
    </w:p>
    <w:p w14:paraId="060EE1B9" w14:textId="06012BCE" w:rsidR="00DB3EE9" w:rsidRPr="00DF68BE" w:rsidRDefault="008C5877" w:rsidP="00923467">
      <w:pPr>
        <w:rPr>
          <w:sz w:val="16"/>
          <w:szCs w:val="16"/>
        </w:rPr>
      </w:pPr>
      <w:r w:rsidRPr="00DF68BE">
        <w:rPr>
          <w:sz w:val="16"/>
          <w:szCs w:val="16"/>
        </w:rPr>
        <w:t>Source: MTO/LTO/DTD</w:t>
      </w:r>
    </w:p>
    <w:p w14:paraId="472458FF" w14:textId="77777777" w:rsidR="000E1F61" w:rsidRPr="00923467" w:rsidRDefault="000E1F61" w:rsidP="00923467"/>
    <w:p w14:paraId="2CB71810" w14:textId="4F859125" w:rsidR="000E1F61" w:rsidRPr="00923467" w:rsidRDefault="000E1F61" w:rsidP="00923467">
      <w:r w:rsidRPr="00923467">
        <w:br w:type="page"/>
      </w:r>
    </w:p>
    <w:p w14:paraId="68F24852" w14:textId="1C0C4C91" w:rsidR="00CB6FB0" w:rsidRPr="00923467" w:rsidRDefault="000E1F61" w:rsidP="00FF1853">
      <w:pPr>
        <w:pStyle w:val="Heading1"/>
      </w:pPr>
      <w:bookmarkStart w:id="115" w:name="_Toc137831121"/>
      <w:r w:rsidRPr="00923467">
        <w:t>CHAPTER FIVE: PROSPECT</w:t>
      </w:r>
      <w:r w:rsidR="00B40FF6" w:rsidRPr="00923467">
        <w:t>S</w:t>
      </w:r>
      <w:r w:rsidRPr="00923467">
        <w:t xml:space="preserve"> AND CHALLENGES LOOKING FORWARD TO 2023</w:t>
      </w:r>
      <w:bookmarkEnd w:id="115"/>
    </w:p>
    <w:p w14:paraId="36A425A6" w14:textId="6A046C92" w:rsidR="00164F75" w:rsidRPr="00923467" w:rsidRDefault="000E1F61" w:rsidP="00923467">
      <w:pPr>
        <w:pStyle w:val="Heading2"/>
      </w:pPr>
      <w:bookmarkStart w:id="116" w:name="_Toc137831122"/>
      <w:r w:rsidRPr="00923467">
        <w:t>EVENUE TARGETS FOR 202</w:t>
      </w:r>
      <w:bookmarkEnd w:id="116"/>
      <w:r w:rsidR="005942C0">
        <w:t>3</w:t>
      </w:r>
    </w:p>
    <w:p w14:paraId="479A70F7" w14:textId="35836979" w:rsidR="00A57218" w:rsidRDefault="00A57218" w:rsidP="00923467">
      <w:r w:rsidRPr="00923467">
        <w:t xml:space="preserve">In 2023, domestic revenue was originally projected to reach Le9.346 trillion representing a 33% increase from actual collection in 2022 (Table </w:t>
      </w:r>
      <w:r w:rsidR="00B40FF6" w:rsidRPr="00923467">
        <w:t>33</w:t>
      </w:r>
      <w:r w:rsidRPr="00923467">
        <w:t>), the highest annual increase in target historically despite 2023 being an elections year and the global crises contouring to linger.</w:t>
      </w:r>
    </w:p>
    <w:p w14:paraId="586E2495" w14:textId="77777777" w:rsidR="0019531F" w:rsidRPr="00923467" w:rsidRDefault="0019531F" w:rsidP="00923467"/>
    <w:tbl>
      <w:tblPr>
        <w:tblStyle w:val="GridTable4-Accent5"/>
        <w:tblW w:w="7933" w:type="dxa"/>
        <w:tblLook w:val="04A0" w:firstRow="1" w:lastRow="0" w:firstColumn="1" w:lastColumn="0" w:noHBand="0" w:noVBand="1"/>
      </w:tblPr>
      <w:tblGrid>
        <w:gridCol w:w="3061"/>
        <w:gridCol w:w="1251"/>
        <w:gridCol w:w="1295"/>
        <w:gridCol w:w="1151"/>
        <w:gridCol w:w="1175"/>
      </w:tblGrid>
      <w:tr w:rsidR="00DF68BE" w:rsidRPr="00923467" w14:paraId="17DAD9C5" w14:textId="77777777" w:rsidTr="0019531F">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0AEC9B82" w14:textId="77777777" w:rsidR="00A57218" w:rsidRPr="00DF68BE" w:rsidRDefault="00A57218" w:rsidP="00923467">
            <w:pPr>
              <w:rPr>
                <w:sz w:val="18"/>
                <w:szCs w:val="18"/>
              </w:rPr>
            </w:pPr>
            <w:r w:rsidRPr="00DF68BE">
              <w:rPr>
                <w:sz w:val="18"/>
                <w:szCs w:val="18"/>
              </w:rPr>
              <w:t> </w:t>
            </w:r>
          </w:p>
        </w:tc>
        <w:tc>
          <w:tcPr>
            <w:tcW w:w="1251" w:type="dxa"/>
            <w:hideMark/>
          </w:tcPr>
          <w:p w14:paraId="321693A8" w14:textId="77777777" w:rsidR="00A57218" w:rsidRPr="00DF68BE" w:rsidRDefault="00A57218" w:rsidP="00923467">
            <w:pPr>
              <w:cnfStyle w:val="100000000000" w:firstRow="1"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2022 Act </w:t>
            </w:r>
          </w:p>
        </w:tc>
        <w:tc>
          <w:tcPr>
            <w:tcW w:w="1295" w:type="dxa"/>
            <w:hideMark/>
          </w:tcPr>
          <w:p w14:paraId="272B6E2C" w14:textId="77777777" w:rsidR="00A57218" w:rsidRPr="00DF68BE" w:rsidRDefault="00A57218" w:rsidP="00923467">
            <w:pPr>
              <w:cnfStyle w:val="100000000000" w:firstRow="1"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2023 New Forecast </w:t>
            </w:r>
          </w:p>
        </w:tc>
        <w:tc>
          <w:tcPr>
            <w:tcW w:w="1151" w:type="dxa"/>
            <w:noWrap/>
            <w:hideMark/>
          </w:tcPr>
          <w:p w14:paraId="482E552B" w14:textId="77777777" w:rsidR="00A57218" w:rsidRPr="00DF68BE" w:rsidRDefault="00A57218" w:rsidP="00923467">
            <w:pPr>
              <w:cnfStyle w:val="100000000000" w:firstRow="1" w:lastRow="0" w:firstColumn="0" w:lastColumn="0" w:oddVBand="0" w:evenVBand="0" w:oddHBand="0" w:evenHBand="0" w:firstRowFirstColumn="0" w:firstRowLastColumn="0" w:lastRowFirstColumn="0" w:lastRowLastColumn="0"/>
              <w:rPr>
                <w:sz w:val="18"/>
                <w:szCs w:val="18"/>
              </w:rPr>
            </w:pPr>
            <w:r w:rsidRPr="00DF68BE">
              <w:rPr>
                <w:sz w:val="18"/>
                <w:szCs w:val="18"/>
              </w:rPr>
              <w:t>Increase</w:t>
            </w:r>
          </w:p>
        </w:tc>
        <w:tc>
          <w:tcPr>
            <w:tcW w:w="1175" w:type="dxa"/>
            <w:noWrap/>
            <w:hideMark/>
          </w:tcPr>
          <w:p w14:paraId="34861B87" w14:textId="77777777" w:rsidR="00A57218" w:rsidRPr="00DF68BE" w:rsidRDefault="00A57218" w:rsidP="00923467">
            <w:pPr>
              <w:cnfStyle w:val="100000000000" w:firstRow="1" w:lastRow="0" w:firstColumn="0" w:lastColumn="0" w:oddVBand="0" w:evenVBand="0" w:oddHBand="0" w:evenHBand="0" w:firstRowFirstColumn="0" w:firstRowLastColumn="0" w:lastRowFirstColumn="0" w:lastRowLastColumn="0"/>
              <w:rPr>
                <w:sz w:val="18"/>
                <w:szCs w:val="18"/>
              </w:rPr>
            </w:pPr>
            <w:r w:rsidRPr="00DF68BE">
              <w:rPr>
                <w:sz w:val="18"/>
                <w:szCs w:val="18"/>
              </w:rPr>
              <w:t>% Growth</w:t>
            </w:r>
          </w:p>
        </w:tc>
      </w:tr>
      <w:tr w:rsidR="00A57218" w:rsidRPr="00923467" w14:paraId="5C1CDE39" w14:textId="77777777" w:rsidTr="0019531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41E1183C" w14:textId="77777777" w:rsidR="00A57218" w:rsidRPr="00DF68BE" w:rsidRDefault="00A57218" w:rsidP="00923467">
            <w:pPr>
              <w:rPr>
                <w:sz w:val="18"/>
                <w:szCs w:val="18"/>
              </w:rPr>
            </w:pPr>
            <w:r w:rsidRPr="00DF68BE">
              <w:rPr>
                <w:sz w:val="18"/>
                <w:szCs w:val="18"/>
              </w:rPr>
              <w:t>Domestic Revenue</w:t>
            </w:r>
          </w:p>
        </w:tc>
        <w:tc>
          <w:tcPr>
            <w:tcW w:w="1251" w:type="dxa"/>
            <w:noWrap/>
            <w:hideMark/>
          </w:tcPr>
          <w:p w14:paraId="736B7C14"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5C40C6">
              <w:rPr>
                <w:sz w:val="18"/>
                <w:szCs w:val="18"/>
              </w:rPr>
              <w:t xml:space="preserve">   7,182,686 </w:t>
            </w:r>
          </w:p>
        </w:tc>
        <w:tc>
          <w:tcPr>
            <w:tcW w:w="1295" w:type="dxa"/>
            <w:noWrap/>
            <w:hideMark/>
          </w:tcPr>
          <w:p w14:paraId="7D83F3A3"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9,345,667 </w:t>
            </w:r>
          </w:p>
        </w:tc>
        <w:tc>
          <w:tcPr>
            <w:tcW w:w="1151" w:type="dxa"/>
            <w:noWrap/>
            <w:hideMark/>
          </w:tcPr>
          <w:p w14:paraId="4A26B577"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2,162,981 </w:t>
            </w:r>
          </w:p>
        </w:tc>
        <w:tc>
          <w:tcPr>
            <w:tcW w:w="1175" w:type="dxa"/>
            <w:noWrap/>
            <w:hideMark/>
          </w:tcPr>
          <w:p w14:paraId="4A0C7CCF"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30%</w:t>
            </w:r>
          </w:p>
        </w:tc>
      </w:tr>
      <w:tr w:rsidR="00DF68BE" w:rsidRPr="00923467" w14:paraId="06F3C1D0" w14:textId="77777777" w:rsidTr="0019531F">
        <w:trPr>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5A86266B" w14:textId="77777777" w:rsidR="00A57218" w:rsidRPr="00DF68BE" w:rsidRDefault="00A57218" w:rsidP="00923467">
            <w:pPr>
              <w:rPr>
                <w:b w:val="0"/>
                <w:bCs w:val="0"/>
                <w:sz w:val="18"/>
                <w:szCs w:val="18"/>
              </w:rPr>
            </w:pPr>
            <w:r w:rsidRPr="00DF68BE">
              <w:rPr>
                <w:b w:val="0"/>
                <w:bCs w:val="0"/>
                <w:sz w:val="18"/>
                <w:szCs w:val="18"/>
              </w:rPr>
              <w:t>Income Tax Revenue</w:t>
            </w:r>
          </w:p>
        </w:tc>
        <w:tc>
          <w:tcPr>
            <w:tcW w:w="1251" w:type="dxa"/>
            <w:noWrap/>
            <w:hideMark/>
          </w:tcPr>
          <w:p w14:paraId="677CBE6B" w14:textId="09C30052"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2,904,694 </w:t>
            </w:r>
          </w:p>
        </w:tc>
        <w:tc>
          <w:tcPr>
            <w:tcW w:w="1295" w:type="dxa"/>
            <w:noWrap/>
            <w:hideMark/>
          </w:tcPr>
          <w:p w14:paraId="37A21020"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3,690,035 </w:t>
            </w:r>
          </w:p>
        </w:tc>
        <w:tc>
          <w:tcPr>
            <w:tcW w:w="1151" w:type="dxa"/>
            <w:noWrap/>
            <w:hideMark/>
          </w:tcPr>
          <w:p w14:paraId="5F515BC3" w14:textId="59ADFE20"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785,341 </w:t>
            </w:r>
          </w:p>
        </w:tc>
        <w:tc>
          <w:tcPr>
            <w:tcW w:w="1175" w:type="dxa"/>
            <w:noWrap/>
            <w:hideMark/>
          </w:tcPr>
          <w:p w14:paraId="4F3A3443"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27%</w:t>
            </w:r>
          </w:p>
        </w:tc>
      </w:tr>
      <w:tr w:rsidR="00A57218" w:rsidRPr="00923467" w14:paraId="364EE75A" w14:textId="77777777" w:rsidTr="0019531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505F0960" w14:textId="77777777" w:rsidR="00A57218" w:rsidRPr="00DF68BE" w:rsidRDefault="00A57218" w:rsidP="00923467">
            <w:pPr>
              <w:rPr>
                <w:b w:val="0"/>
                <w:bCs w:val="0"/>
                <w:sz w:val="18"/>
                <w:szCs w:val="18"/>
              </w:rPr>
            </w:pPr>
            <w:r w:rsidRPr="00DF68BE">
              <w:rPr>
                <w:b w:val="0"/>
                <w:bCs w:val="0"/>
                <w:sz w:val="18"/>
                <w:szCs w:val="18"/>
              </w:rPr>
              <w:t>Corporate Tax</w:t>
            </w:r>
          </w:p>
        </w:tc>
        <w:tc>
          <w:tcPr>
            <w:tcW w:w="1251" w:type="dxa"/>
            <w:noWrap/>
            <w:hideMark/>
          </w:tcPr>
          <w:p w14:paraId="68F78648" w14:textId="4B4F5A4E"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1,113,569 </w:t>
            </w:r>
          </w:p>
        </w:tc>
        <w:tc>
          <w:tcPr>
            <w:tcW w:w="1295" w:type="dxa"/>
            <w:noWrap/>
            <w:hideMark/>
          </w:tcPr>
          <w:p w14:paraId="7AE77343"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1,335,308 </w:t>
            </w:r>
          </w:p>
        </w:tc>
        <w:tc>
          <w:tcPr>
            <w:tcW w:w="1151" w:type="dxa"/>
            <w:noWrap/>
            <w:hideMark/>
          </w:tcPr>
          <w:p w14:paraId="1C3DBBE4" w14:textId="6E5ECEF4"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221,739 </w:t>
            </w:r>
          </w:p>
        </w:tc>
        <w:tc>
          <w:tcPr>
            <w:tcW w:w="1175" w:type="dxa"/>
            <w:noWrap/>
            <w:hideMark/>
          </w:tcPr>
          <w:p w14:paraId="075DD8B2"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20%</w:t>
            </w:r>
          </w:p>
        </w:tc>
      </w:tr>
      <w:tr w:rsidR="00DF68BE" w:rsidRPr="00923467" w14:paraId="1D5182DC" w14:textId="77777777" w:rsidTr="0019531F">
        <w:trPr>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0C0E3480" w14:textId="77777777" w:rsidR="00A57218" w:rsidRPr="00DF68BE" w:rsidRDefault="00A57218" w:rsidP="00923467">
            <w:pPr>
              <w:rPr>
                <w:b w:val="0"/>
                <w:bCs w:val="0"/>
                <w:sz w:val="18"/>
                <w:szCs w:val="18"/>
              </w:rPr>
            </w:pPr>
            <w:r w:rsidRPr="00DF68BE">
              <w:rPr>
                <w:b w:val="0"/>
                <w:bCs w:val="0"/>
                <w:sz w:val="18"/>
                <w:szCs w:val="18"/>
              </w:rPr>
              <w:t xml:space="preserve">Personal Income Tax </w:t>
            </w:r>
          </w:p>
        </w:tc>
        <w:tc>
          <w:tcPr>
            <w:tcW w:w="1251" w:type="dxa"/>
            <w:noWrap/>
            <w:hideMark/>
          </w:tcPr>
          <w:p w14:paraId="1800CCF2"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1,791,124 </w:t>
            </w:r>
          </w:p>
        </w:tc>
        <w:tc>
          <w:tcPr>
            <w:tcW w:w="1295" w:type="dxa"/>
            <w:noWrap/>
            <w:hideMark/>
          </w:tcPr>
          <w:p w14:paraId="71C32D76"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2,354,726 </w:t>
            </w:r>
          </w:p>
        </w:tc>
        <w:tc>
          <w:tcPr>
            <w:tcW w:w="1151" w:type="dxa"/>
            <w:noWrap/>
            <w:hideMark/>
          </w:tcPr>
          <w:p w14:paraId="67B407FE" w14:textId="2D3FF5BC"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563,602 </w:t>
            </w:r>
          </w:p>
        </w:tc>
        <w:tc>
          <w:tcPr>
            <w:tcW w:w="1175" w:type="dxa"/>
            <w:noWrap/>
            <w:hideMark/>
          </w:tcPr>
          <w:p w14:paraId="00A38C7F"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31%</w:t>
            </w:r>
          </w:p>
        </w:tc>
      </w:tr>
      <w:tr w:rsidR="00A57218" w:rsidRPr="00923467" w14:paraId="1B6F4A9E" w14:textId="77777777" w:rsidTr="0019531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5B15F788" w14:textId="77777777" w:rsidR="00A57218" w:rsidRPr="00DF68BE" w:rsidRDefault="00A57218" w:rsidP="00923467">
            <w:pPr>
              <w:rPr>
                <w:b w:val="0"/>
                <w:bCs w:val="0"/>
                <w:sz w:val="18"/>
                <w:szCs w:val="18"/>
              </w:rPr>
            </w:pPr>
            <w:r w:rsidRPr="00DF68BE">
              <w:rPr>
                <w:b w:val="0"/>
                <w:bCs w:val="0"/>
                <w:sz w:val="18"/>
                <w:szCs w:val="18"/>
              </w:rPr>
              <w:t>Goods and Services Tax</w:t>
            </w:r>
          </w:p>
        </w:tc>
        <w:tc>
          <w:tcPr>
            <w:tcW w:w="1251" w:type="dxa"/>
            <w:noWrap/>
            <w:hideMark/>
          </w:tcPr>
          <w:p w14:paraId="74C5F7EE"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1,420,358 </w:t>
            </w:r>
          </w:p>
        </w:tc>
        <w:tc>
          <w:tcPr>
            <w:tcW w:w="1295" w:type="dxa"/>
            <w:noWrap/>
            <w:hideMark/>
          </w:tcPr>
          <w:p w14:paraId="69C54D9C"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1,839,347 </w:t>
            </w:r>
          </w:p>
        </w:tc>
        <w:tc>
          <w:tcPr>
            <w:tcW w:w="1151" w:type="dxa"/>
            <w:noWrap/>
            <w:hideMark/>
          </w:tcPr>
          <w:p w14:paraId="513F4618"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418,989 </w:t>
            </w:r>
          </w:p>
        </w:tc>
        <w:tc>
          <w:tcPr>
            <w:tcW w:w="1175" w:type="dxa"/>
            <w:noWrap/>
            <w:hideMark/>
          </w:tcPr>
          <w:p w14:paraId="0370DA31"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29%</w:t>
            </w:r>
          </w:p>
        </w:tc>
      </w:tr>
      <w:tr w:rsidR="00DF68BE" w:rsidRPr="00923467" w14:paraId="39CA4FAC" w14:textId="77777777" w:rsidTr="0019531F">
        <w:trPr>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178E4773" w14:textId="77777777" w:rsidR="00A57218" w:rsidRPr="00DF68BE" w:rsidRDefault="00A57218" w:rsidP="00923467">
            <w:pPr>
              <w:rPr>
                <w:b w:val="0"/>
                <w:bCs w:val="0"/>
                <w:sz w:val="18"/>
                <w:szCs w:val="18"/>
              </w:rPr>
            </w:pPr>
            <w:r w:rsidRPr="00DF68BE">
              <w:rPr>
                <w:b w:val="0"/>
                <w:bCs w:val="0"/>
                <w:sz w:val="18"/>
                <w:szCs w:val="18"/>
              </w:rPr>
              <w:t>Import GST</w:t>
            </w:r>
          </w:p>
        </w:tc>
        <w:tc>
          <w:tcPr>
            <w:tcW w:w="1251" w:type="dxa"/>
            <w:noWrap/>
            <w:hideMark/>
          </w:tcPr>
          <w:p w14:paraId="4857B528"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834,417 </w:t>
            </w:r>
          </w:p>
        </w:tc>
        <w:tc>
          <w:tcPr>
            <w:tcW w:w="1295" w:type="dxa"/>
            <w:noWrap/>
            <w:hideMark/>
          </w:tcPr>
          <w:p w14:paraId="67CDAA14"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1,091,934 </w:t>
            </w:r>
          </w:p>
        </w:tc>
        <w:tc>
          <w:tcPr>
            <w:tcW w:w="1151" w:type="dxa"/>
            <w:noWrap/>
            <w:hideMark/>
          </w:tcPr>
          <w:p w14:paraId="5802A658"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257,517 </w:t>
            </w:r>
          </w:p>
        </w:tc>
        <w:tc>
          <w:tcPr>
            <w:tcW w:w="1175" w:type="dxa"/>
            <w:noWrap/>
            <w:hideMark/>
          </w:tcPr>
          <w:p w14:paraId="78B45914"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31%</w:t>
            </w:r>
          </w:p>
        </w:tc>
      </w:tr>
      <w:tr w:rsidR="00A57218" w:rsidRPr="00923467" w14:paraId="3AC500FC" w14:textId="77777777" w:rsidTr="0019531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215F599F" w14:textId="77777777" w:rsidR="00A57218" w:rsidRPr="00DF68BE" w:rsidRDefault="00A57218" w:rsidP="00923467">
            <w:pPr>
              <w:rPr>
                <w:b w:val="0"/>
                <w:bCs w:val="0"/>
                <w:sz w:val="18"/>
                <w:szCs w:val="18"/>
              </w:rPr>
            </w:pPr>
            <w:r w:rsidRPr="00DF68BE">
              <w:rPr>
                <w:b w:val="0"/>
                <w:bCs w:val="0"/>
                <w:sz w:val="18"/>
                <w:szCs w:val="18"/>
              </w:rPr>
              <w:t>Domestic GST</w:t>
            </w:r>
          </w:p>
        </w:tc>
        <w:tc>
          <w:tcPr>
            <w:tcW w:w="1251" w:type="dxa"/>
            <w:noWrap/>
            <w:hideMark/>
          </w:tcPr>
          <w:p w14:paraId="61FDDDF6"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585,941 </w:t>
            </w:r>
          </w:p>
        </w:tc>
        <w:tc>
          <w:tcPr>
            <w:tcW w:w="1295" w:type="dxa"/>
            <w:noWrap/>
            <w:hideMark/>
          </w:tcPr>
          <w:p w14:paraId="6338FEDB"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747,413 </w:t>
            </w:r>
          </w:p>
        </w:tc>
        <w:tc>
          <w:tcPr>
            <w:tcW w:w="1151" w:type="dxa"/>
            <w:noWrap/>
            <w:hideMark/>
          </w:tcPr>
          <w:p w14:paraId="1C960542"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161,472 </w:t>
            </w:r>
          </w:p>
        </w:tc>
        <w:tc>
          <w:tcPr>
            <w:tcW w:w="1175" w:type="dxa"/>
            <w:noWrap/>
            <w:hideMark/>
          </w:tcPr>
          <w:p w14:paraId="42546575"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28%</w:t>
            </w:r>
          </w:p>
        </w:tc>
      </w:tr>
      <w:tr w:rsidR="00DF68BE" w:rsidRPr="00923467" w14:paraId="6AA585FF" w14:textId="77777777" w:rsidTr="0019531F">
        <w:trPr>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32C3A854" w14:textId="77777777" w:rsidR="00A57218" w:rsidRPr="00DF68BE" w:rsidRDefault="00A57218" w:rsidP="00923467">
            <w:pPr>
              <w:rPr>
                <w:sz w:val="18"/>
                <w:szCs w:val="18"/>
              </w:rPr>
            </w:pPr>
            <w:r w:rsidRPr="00DF68BE">
              <w:rPr>
                <w:sz w:val="18"/>
                <w:szCs w:val="18"/>
              </w:rPr>
              <w:t>Customs and Excise Revenue</w:t>
            </w:r>
          </w:p>
        </w:tc>
        <w:tc>
          <w:tcPr>
            <w:tcW w:w="1251" w:type="dxa"/>
            <w:noWrap/>
            <w:hideMark/>
          </w:tcPr>
          <w:p w14:paraId="171D5DC2"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1,238,079 </w:t>
            </w:r>
          </w:p>
        </w:tc>
        <w:tc>
          <w:tcPr>
            <w:tcW w:w="1295" w:type="dxa"/>
            <w:noWrap/>
            <w:hideMark/>
          </w:tcPr>
          <w:p w14:paraId="5CA29AA4"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1,667,458 </w:t>
            </w:r>
          </w:p>
        </w:tc>
        <w:tc>
          <w:tcPr>
            <w:tcW w:w="1151" w:type="dxa"/>
            <w:noWrap/>
            <w:hideMark/>
          </w:tcPr>
          <w:p w14:paraId="65136423"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429,379 </w:t>
            </w:r>
          </w:p>
        </w:tc>
        <w:tc>
          <w:tcPr>
            <w:tcW w:w="1175" w:type="dxa"/>
            <w:noWrap/>
            <w:hideMark/>
          </w:tcPr>
          <w:p w14:paraId="33F57565"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35%</w:t>
            </w:r>
          </w:p>
        </w:tc>
      </w:tr>
      <w:tr w:rsidR="00A57218" w:rsidRPr="00923467" w14:paraId="7E6447D9" w14:textId="77777777" w:rsidTr="0019531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6B126D76" w14:textId="77777777" w:rsidR="00A57218" w:rsidRPr="00DF68BE" w:rsidRDefault="00A57218" w:rsidP="00923467">
            <w:pPr>
              <w:rPr>
                <w:b w:val="0"/>
                <w:bCs w:val="0"/>
                <w:sz w:val="18"/>
                <w:szCs w:val="18"/>
              </w:rPr>
            </w:pPr>
            <w:r w:rsidRPr="00DF68BE">
              <w:rPr>
                <w:b w:val="0"/>
                <w:bCs w:val="0"/>
                <w:sz w:val="18"/>
                <w:szCs w:val="18"/>
              </w:rPr>
              <w:t>Import Duties</w:t>
            </w:r>
          </w:p>
        </w:tc>
        <w:tc>
          <w:tcPr>
            <w:tcW w:w="1251" w:type="dxa"/>
            <w:noWrap/>
            <w:hideMark/>
          </w:tcPr>
          <w:p w14:paraId="3CFE424D"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848,543 </w:t>
            </w:r>
          </w:p>
        </w:tc>
        <w:tc>
          <w:tcPr>
            <w:tcW w:w="1295" w:type="dxa"/>
            <w:noWrap/>
            <w:hideMark/>
          </w:tcPr>
          <w:p w14:paraId="01425653"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1,092,238 </w:t>
            </w:r>
          </w:p>
        </w:tc>
        <w:tc>
          <w:tcPr>
            <w:tcW w:w="1151" w:type="dxa"/>
            <w:noWrap/>
            <w:hideMark/>
          </w:tcPr>
          <w:p w14:paraId="68F6532A"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243,695 </w:t>
            </w:r>
          </w:p>
        </w:tc>
        <w:tc>
          <w:tcPr>
            <w:tcW w:w="1175" w:type="dxa"/>
            <w:noWrap/>
            <w:hideMark/>
          </w:tcPr>
          <w:p w14:paraId="4CE1681F"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29%</w:t>
            </w:r>
          </w:p>
        </w:tc>
      </w:tr>
      <w:tr w:rsidR="00DF68BE" w:rsidRPr="00923467" w14:paraId="51416F1C" w14:textId="77777777" w:rsidTr="0019531F">
        <w:trPr>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682540D2" w14:textId="77777777" w:rsidR="00A57218" w:rsidRPr="00DF68BE" w:rsidRDefault="00A57218" w:rsidP="00923467">
            <w:pPr>
              <w:rPr>
                <w:b w:val="0"/>
                <w:bCs w:val="0"/>
                <w:sz w:val="18"/>
                <w:szCs w:val="18"/>
              </w:rPr>
            </w:pPr>
            <w:r w:rsidRPr="00DF68BE">
              <w:rPr>
                <w:b w:val="0"/>
                <w:bCs w:val="0"/>
                <w:sz w:val="18"/>
                <w:szCs w:val="18"/>
              </w:rPr>
              <w:t>Excise Duties on Petroleum Products</w:t>
            </w:r>
          </w:p>
        </w:tc>
        <w:tc>
          <w:tcPr>
            <w:tcW w:w="1251" w:type="dxa"/>
            <w:noWrap/>
            <w:hideMark/>
          </w:tcPr>
          <w:p w14:paraId="7834B531"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310,696 </w:t>
            </w:r>
          </w:p>
        </w:tc>
        <w:tc>
          <w:tcPr>
            <w:tcW w:w="1295" w:type="dxa"/>
            <w:noWrap/>
            <w:hideMark/>
          </w:tcPr>
          <w:p w14:paraId="19181123"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470,112 </w:t>
            </w:r>
          </w:p>
        </w:tc>
        <w:tc>
          <w:tcPr>
            <w:tcW w:w="1151" w:type="dxa"/>
            <w:noWrap/>
            <w:hideMark/>
          </w:tcPr>
          <w:p w14:paraId="4B563AC4"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159,415 </w:t>
            </w:r>
          </w:p>
        </w:tc>
        <w:tc>
          <w:tcPr>
            <w:tcW w:w="1175" w:type="dxa"/>
            <w:noWrap/>
            <w:hideMark/>
          </w:tcPr>
          <w:p w14:paraId="46193CE1"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51%</w:t>
            </w:r>
          </w:p>
        </w:tc>
      </w:tr>
      <w:tr w:rsidR="00A57218" w:rsidRPr="00923467" w14:paraId="46190FD7" w14:textId="77777777" w:rsidTr="0019531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56506A2D" w14:textId="77777777" w:rsidR="00A57218" w:rsidRPr="00DF68BE" w:rsidRDefault="00A57218" w:rsidP="00923467">
            <w:pPr>
              <w:rPr>
                <w:b w:val="0"/>
                <w:bCs w:val="0"/>
                <w:sz w:val="18"/>
                <w:szCs w:val="18"/>
              </w:rPr>
            </w:pPr>
            <w:r w:rsidRPr="00DF68BE">
              <w:rPr>
                <w:b w:val="0"/>
                <w:bCs w:val="0"/>
                <w:sz w:val="18"/>
                <w:szCs w:val="18"/>
              </w:rPr>
              <w:t>Other Excise Duties</w:t>
            </w:r>
          </w:p>
        </w:tc>
        <w:tc>
          <w:tcPr>
            <w:tcW w:w="1251" w:type="dxa"/>
            <w:noWrap/>
            <w:hideMark/>
          </w:tcPr>
          <w:p w14:paraId="6606147D"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78,840 </w:t>
            </w:r>
          </w:p>
        </w:tc>
        <w:tc>
          <w:tcPr>
            <w:tcW w:w="1295" w:type="dxa"/>
            <w:noWrap/>
            <w:hideMark/>
          </w:tcPr>
          <w:p w14:paraId="124CFEF1"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105,109 </w:t>
            </w:r>
          </w:p>
        </w:tc>
        <w:tc>
          <w:tcPr>
            <w:tcW w:w="1151" w:type="dxa"/>
            <w:noWrap/>
            <w:hideMark/>
          </w:tcPr>
          <w:p w14:paraId="2EDD1CDF"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26,269 </w:t>
            </w:r>
          </w:p>
        </w:tc>
        <w:tc>
          <w:tcPr>
            <w:tcW w:w="1175" w:type="dxa"/>
            <w:noWrap/>
            <w:hideMark/>
          </w:tcPr>
          <w:p w14:paraId="73A96F20"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33%</w:t>
            </w:r>
          </w:p>
        </w:tc>
      </w:tr>
      <w:tr w:rsidR="00DF68BE" w:rsidRPr="00923467" w14:paraId="01A76F0B" w14:textId="77777777" w:rsidTr="0019531F">
        <w:trPr>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4A8196A1" w14:textId="77777777" w:rsidR="00A57218" w:rsidRPr="00DF68BE" w:rsidRDefault="00A57218" w:rsidP="00923467">
            <w:pPr>
              <w:rPr>
                <w:sz w:val="18"/>
                <w:szCs w:val="18"/>
              </w:rPr>
            </w:pPr>
            <w:r w:rsidRPr="00DF68BE">
              <w:rPr>
                <w:sz w:val="18"/>
                <w:szCs w:val="18"/>
              </w:rPr>
              <w:t>Mines Revenue</w:t>
            </w:r>
          </w:p>
        </w:tc>
        <w:tc>
          <w:tcPr>
            <w:tcW w:w="1251" w:type="dxa"/>
            <w:noWrap/>
            <w:hideMark/>
          </w:tcPr>
          <w:p w14:paraId="687C6B10"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414,292 </w:t>
            </w:r>
          </w:p>
        </w:tc>
        <w:tc>
          <w:tcPr>
            <w:tcW w:w="1295" w:type="dxa"/>
            <w:noWrap/>
            <w:hideMark/>
          </w:tcPr>
          <w:p w14:paraId="08243715"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576,805 </w:t>
            </w:r>
          </w:p>
        </w:tc>
        <w:tc>
          <w:tcPr>
            <w:tcW w:w="1151" w:type="dxa"/>
            <w:noWrap/>
            <w:hideMark/>
          </w:tcPr>
          <w:p w14:paraId="7061D42D"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162,512 </w:t>
            </w:r>
          </w:p>
        </w:tc>
        <w:tc>
          <w:tcPr>
            <w:tcW w:w="1175" w:type="dxa"/>
            <w:noWrap/>
            <w:hideMark/>
          </w:tcPr>
          <w:p w14:paraId="7415C159"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39%</w:t>
            </w:r>
          </w:p>
        </w:tc>
      </w:tr>
      <w:tr w:rsidR="00A57218" w:rsidRPr="00923467" w14:paraId="76282655" w14:textId="77777777" w:rsidTr="0019531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0F5BA847" w14:textId="77777777" w:rsidR="00A57218" w:rsidRPr="00DF68BE" w:rsidRDefault="00A57218" w:rsidP="00923467">
            <w:pPr>
              <w:rPr>
                <w:b w:val="0"/>
                <w:bCs w:val="0"/>
                <w:sz w:val="18"/>
                <w:szCs w:val="18"/>
              </w:rPr>
            </w:pPr>
            <w:r w:rsidRPr="00DF68BE">
              <w:rPr>
                <w:b w:val="0"/>
                <w:bCs w:val="0"/>
                <w:sz w:val="18"/>
                <w:szCs w:val="18"/>
              </w:rPr>
              <w:t>Royalty on Rutile</w:t>
            </w:r>
          </w:p>
        </w:tc>
        <w:tc>
          <w:tcPr>
            <w:tcW w:w="1251" w:type="dxa"/>
            <w:noWrap/>
            <w:hideMark/>
          </w:tcPr>
          <w:p w14:paraId="4A5376DF"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7,657 </w:t>
            </w:r>
          </w:p>
        </w:tc>
        <w:tc>
          <w:tcPr>
            <w:tcW w:w="1295" w:type="dxa"/>
            <w:noWrap/>
            <w:hideMark/>
          </w:tcPr>
          <w:p w14:paraId="7F042E80"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14,726 </w:t>
            </w:r>
          </w:p>
        </w:tc>
        <w:tc>
          <w:tcPr>
            <w:tcW w:w="1151" w:type="dxa"/>
            <w:noWrap/>
            <w:hideMark/>
          </w:tcPr>
          <w:p w14:paraId="5E78D2CB"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7,069 </w:t>
            </w:r>
          </w:p>
        </w:tc>
        <w:tc>
          <w:tcPr>
            <w:tcW w:w="1175" w:type="dxa"/>
            <w:noWrap/>
            <w:hideMark/>
          </w:tcPr>
          <w:p w14:paraId="5C3B9DF8"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92%</w:t>
            </w:r>
          </w:p>
        </w:tc>
      </w:tr>
      <w:tr w:rsidR="00DF68BE" w:rsidRPr="00923467" w14:paraId="72D11784" w14:textId="77777777" w:rsidTr="0019531F">
        <w:trPr>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7D5372A7" w14:textId="77777777" w:rsidR="00A57218" w:rsidRPr="00DF68BE" w:rsidRDefault="00A57218" w:rsidP="00923467">
            <w:pPr>
              <w:rPr>
                <w:b w:val="0"/>
                <w:bCs w:val="0"/>
                <w:sz w:val="18"/>
                <w:szCs w:val="18"/>
              </w:rPr>
            </w:pPr>
            <w:r w:rsidRPr="00DF68BE">
              <w:rPr>
                <w:b w:val="0"/>
                <w:bCs w:val="0"/>
                <w:sz w:val="18"/>
                <w:szCs w:val="18"/>
              </w:rPr>
              <w:t>Royalty on Bauxite</w:t>
            </w:r>
          </w:p>
        </w:tc>
        <w:tc>
          <w:tcPr>
            <w:tcW w:w="1251" w:type="dxa"/>
            <w:noWrap/>
            <w:hideMark/>
          </w:tcPr>
          <w:p w14:paraId="0562608A"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   </w:t>
            </w:r>
          </w:p>
        </w:tc>
        <w:tc>
          <w:tcPr>
            <w:tcW w:w="1295" w:type="dxa"/>
            <w:noWrap/>
            <w:hideMark/>
          </w:tcPr>
          <w:p w14:paraId="2A1E48F4"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27,323 </w:t>
            </w:r>
          </w:p>
        </w:tc>
        <w:tc>
          <w:tcPr>
            <w:tcW w:w="1151" w:type="dxa"/>
            <w:noWrap/>
            <w:hideMark/>
          </w:tcPr>
          <w:p w14:paraId="66E182AB"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27,323 </w:t>
            </w:r>
          </w:p>
        </w:tc>
        <w:tc>
          <w:tcPr>
            <w:tcW w:w="1175" w:type="dxa"/>
            <w:noWrap/>
            <w:hideMark/>
          </w:tcPr>
          <w:p w14:paraId="745EC5A4"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w:t>
            </w:r>
          </w:p>
        </w:tc>
      </w:tr>
      <w:tr w:rsidR="00A57218" w:rsidRPr="00923467" w14:paraId="26AB7567" w14:textId="77777777" w:rsidTr="0019531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5A80155E" w14:textId="77777777" w:rsidR="00A57218" w:rsidRPr="00DF68BE" w:rsidRDefault="00A57218" w:rsidP="00923467">
            <w:pPr>
              <w:rPr>
                <w:b w:val="0"/>
                <w:bCs w:val="0"/>
                <w:sz w:val="18"/>
                <w:szCs w:val="18"/>
              </w:rPr>
            </w:pPr>
            <w:r w:rsidRPr="00DF68BE">
              <w:rPr>
                <w:b w:val="0"/>
                <w:bCs w:val="0"/>
                <w:sz w:val="18"/>
                <w:szCs w:val="18"/>
              </w:rPr>
              <w:t>Royalties on Diamond and Gold</w:t>
            </w:r>
          </w:p>
        </w:tc>
        <w:tc>
          <w:tcPr>
            <w:tcW w:w="1251" w:type="dxa"/>
            <w:noWrap/>
            <w:hideMark/>
          </w:tcPr>
          <w:p w14:paraId="7EC09F12"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157,883 </w:t>
            </w:r>
          </w:p>
        </w:tc>
        <w:tc>
          <w:tcPr>
            <w:tcW w:w="1295" w:type="dxa"/>
            <w:noWrap/>
            <w:hideMark/>
          </w:tcPr>
          <w:p w14:paraId="3EA37345"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208,847 </w:t>
            </w:r>
          </w:p>
        </w:tc>
        <w:tc>
          <w:tcPr>
            <w:tcW w:w="1151" w:type="dxa"/>
            <w:noWrap/>
            <w:hideMark/>
          </w:tcPr>
          <w:p w14:paraId="1F89F01D"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50,963 </w:t>
            </w:r>
          </w:p>
        </w:tc>
        <w:tc>
          <w:tcPr>
            <w:tcW w:w="1175" w:type="dxa"/>
            <w:noWrap/>
            <w:hideMark/>
          </w:tcPr>
          <w:p w14:paraId="09CD5E68"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32%</w:t>
            </w:r>
          </w:p>
        </w:tc>
      </w:tr>
      <w:tr w:rsidR="00DF68BE" w:rsidRPr="00923467" w14:paraId="0EE6125C" w14:textId="77777777" w:rsidTr="0019531F">
        <w:trPr>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1AC3BE0C" w14:textId="77777777" w:rsidR="00A57218" w:rsidRPr="00DF68BE" w:rsidRDefault="00A57218" w:rsidP="00923467">
            <w:pPr>
              <w:rPr>
                <w:b w:val="0"/>
                <w:bCs w:val="0"/>
                <w:sz w:val="18"/>
                <w:szCs w:val="18"/>
              </w:rPr>
            </w:pPr>
            <w:r w:rsidRPr="00DF68BE">
              <w:rPr>
                <w:b w:val="0"/>
                <w:bCs w:val="0"/>
                <w:sz w:val="18"/>
                <w:szCs w:val="18"/>
              </w:rPr>
              <w:t xml:space="preserve">Royalty on Iron Ore </w:t>
            </w:r>
          </w:p>
        </w:tc>
        <w:tc>
          <w:tcPr>
            <w:tcW w:w="1251" w:type="dxa"/>
            <w:noWrap/>
            <w:hideMark/>
          </w:tcPr>
          <w:p w14:paraId="625E8CBA"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86,089 </w:t>
            </w:r>
          </w:p>
        </w:tc>
        <w:tc>
          <w:tcPr>
            <w:tcW w:w="1295" w:type="dxa"/>
            <w:noWrap/>
            <w:hideMark/>
          </w:tcPr>
          <w:p w14:paraId="6049A884"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147,633 </w:t>
            </w:r>
          </w:p>
        </w:tc>
        <w:tc>
          <w:tcPr>
            <w:tcW w:w="1151" w:type="dxa"/>
            <w:noWrap/>
            <w:hideMark/>
          </w:tcPr>
          <w:p w14:paraId="04D2ADD8"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61,544 </w:t>
            </w:r>
          </w:p>
        </w:tc>
        <w:tc>
          <w:tcPr>
            <w:tcW w:w="1175" w:type="dxa"/>
            <w:noWrap/>
            <w:hideMark/>
          </w:tcPr>
          <w:p w14:paraId="2163DB70"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71%</w:t>
            </w:r>
          </w:p>
        </w:tc>
      </w:tr>
      <w:tr w:rsidR="00A57218" w:rsidRPr="00923467" w14:paraId="75F64E2C" w14:textId="77777777" w:rsidTr="0019531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2B5B0F84" w14:textId="63261203" w:rsidR="00A57218" w:rsidRPr="00DF68BE" w:rsidRDefault="00A57218" w:rsidP="00923467">
            <w:pPr>
              <w:rPr>
                <w:sz w:val="18"/>
                <w:szCs w:val="18"/>
              </w:rPr>
            </w:pPr>
            <w:r w:rsidRPr="00DF68BE">
              <w:rPr>
                <w:sz w:val="18"/>
                <w:szCs w:val="18"/>
              </w:rPr>
              <w:t>Licen</w:t>
            </w:r>
            <w:r w:rsidR="00A42DB0" w:rsidRPr="00DF68BE">
              <w:rPr>
                <w:sz w:val="18"/>
                <w:szCs w:val="18"/>
              </w:rPr>
              <w:t>s</w:t>
            </w:r>
            <w:r w:rsidRPr="00DF68BE">
              <w:rPr>
                <w:sz w:val="18"/>
                <w:szCs w:val="18"/>
              </w:rPr>
              <w:t>es</w:t>
            </w:r>
          </w:p>
        </w:tc>
        <w:tc>
          <w:tcPr>
            <w:tcW w:w="1251" w:type="dxa"/>
            <w:noWrap/>
            <w:hideMark/>
          </w:tcPr>
          <w:p w14:paraId="5F6F085A"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162,663 </w:t>
            </w:r>
          </w:p>
        </w:tc>
        <w:tc>
          <w:tcPr>
            <w:tcW w:w="1295" w:type="dxa"/>
            <w:noWrap/>
            <w:hideMark/>
          </w:tcPr>
          <w:p w14:paraId="41A056E3"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178,277 </w:t>
            </w:r>
          </w:p>
        </w:tc>
        <w:tc>
          <w:tcPr>
            <w:tcW w:w="1151" w:type="dxa"/>
            <w:noWrap/>
            <w:hideMark/>
          </w:tcPr>
          <w:p w14:paraId="3F321569"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15,614 </w:t>
            </w:r>
          </w:p>
        </w:tc>
        <w:tc>
          <w:tcPr>
            <w:tcW w:w="1175" w:type="dxa"/>
            <w:noWrap/>
            <w:hideMark/>
          </w:tcPr>
          <w:p w14:paraId="7F6C39E7"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10%</w:t>
            </w:r>
          </w:p>
        </w:tc>
      </w:tr>
      <w:tr w:rsidR="00DF68BE" w:rsidRPr="00923467" w14:paraId="4CEC2281" w14:textId="77777777" w:rsidTr="0019531F">
        <w:trPr>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0521E68C" w14:textId="77777777" w:rsidR="00A57218" w:rsidRPr="00DF68BE" w:rsidRDefault="00A57218" w:rsidP="00923467">
            <w:pPr>
              <w:rPr>
                <w:sz w:val="18"/>
                <w:szCs w:val="18"/>
              </w:rPr>
            </w:pPr>
            <w:r w:rsidRPr="00DF68BE">
              <w:rPr>
                <w:sz w:val="18"/>
                <w:szCs w:val="18"/>
              </w:rPr>
              <w:t>Other Departments</w:t>
            </w:r>
          </w:p>
        </w:tc>
        <w:tc>
          <w:tcPr>
            <w:tcW w:w="1251" w:type="dxa"/>
            <w:noWrap/>
            <w:hideMark/>
          </w:tcPr>
          <w:p w14:paraId="00964661"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1,033,031 </w:t>
            </w:r>
          </w:p>
        </w:tc>
        <w:tc>
          <w:tcPr>
            <w:tcW w:w="1295" w:type="dxa"/>
            <w:noWrap/>
            <w:hideMark/>
          </w:tcPr>
          <w:p w14:paraId="2016AF96"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1,374,084 </w:t>
            </w:r>
          </w:p>
        </w:tc>
        <w:tc>
          <w:tcPr>
            <w:tcW w:w="1151" w:type="dxa"/>
            <w:noWrap/>
            <w:hideMark/>
          </w:tcPr>
          <w:p w14:paraId="215AD7C0"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341,053 </w:t>
            </w:r>
          </w:p>
        </w:tc>
        <w:tc>
          <w:tcPr>
            <w:tcW w:w="1175" w:type="dxa"/>
            <w:noWrap/>
            <w:hideMark/>
          </w:tcPr>
          <w:p w14:paraId="35139FF4"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33%</w:t>
            </w:r>
          </w:p>
        </w:tc>
      </w:tr>
      <w:tr w:rsidR="00A57218" w:rsidRPr="00923467" w14:paraId="460E06F2" w14:textId="77777777" w:rsidTr="0019531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19F47C4E" w14:textId="77777777" w:rsidR="00A57218" w:rsidRPr="00DF68BE" w:rsidRDefault="00A57218" w:rsidP="00923467">
            <w:pPr>
              <w:rPr>
                <w:b w:val="0"/>
                <w:bCs w:val="0"/>
                <w:sz w:val="18"/>
                <w:szCs w:val="18"/>
              </w:rPr>
            </w:pPr>
            <w:r w:rsidRPr="00DF68BE">
              <w:rPr>
                <w:b w:val="0"/>
                <w:bCs w:val="0"/>
                <w:sz w:val="18"/>
                <w:szCs w:val="18"/>
              </w:rPr>
              <w:t>Royalties etc. on Fisheries</w:t>
            </w:r>
          </w:p>
        </w:tc>
        <w:tc>
          <w:tcPr>
            <w:tcW w:w="1251" w:type="dxa"/>
            <w:noWrap/>
            <w:hideMark/>
          </w:tcPr>
          <w:p w14:paraId="5351786D"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100,762 </w:t>
            </w:r>
          </w:p>
        </w:tc>
        <w:tc>
          <w:tcPr>
            <w:tcW w:w="1295" w:type="dxa"/>
            <w:noWrap/>
            <w:hideMark/>
          </w:tcPr>
          <w:p w14:paraId="7785E15C"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178,837 </w:t>
            </w:r>
          </w:p>
        </w:tc>
        <w:tc>
          <w:tcPr>
            <w:tcW w:w="1151" w:type="dxa"/>
            <w:noWrap/>
            <w:hideMark/>
          </w:tcPr>
          <w:p w14:paraId="6623789C"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78,075 </w:t>
            </w:r>
          </w:p>
        </w:tc>
        <w:tc>
          <w:tcPr>
            <w:tcW w:w="1175" w:type="dxa"/>
            <w:noWrap/>
            <w:hideMark/>
          </w:tcPr>
          <w:p w14:paraId="79D6F1FA"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77%</w:t>
            </w:r>
          </w:p>
        </w:tc>
      </w:tr>
      <w:tr w:rsidR="00DF68BE" w:rsidRPr="00923467" w14:paraId="168A18AC" w14:textId="77777777" w:rsidTr="0019531F">
        <w:trPr>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232D46F6" w14:textId="77777777" w:rsidR="00A57218" w:rsidRPr="00DF68BE" w:rsidRDefault="00A57218" w:rsidP="00923467">
            <w:pPr>
              <w:rPr>
                <w:b w:val="0"/>
                <w:bCs w:val="0"/>
                <w:sz w:val="18"/>
                <w:szCs w:val="18"/>
              </w:rPr>
            </w:pPr>
            <w:r w:rsidRPr="00DF68BE">
              <w:rPr>
                <w:b w:val="0"/>
                <w:bCs w:val="0"/>
                <w:sz w:val="18"/>
                <w:szCs w:val="18"/>
              </w:rPr>
              <w:t>Parastatals (Cargo Tracking)</w:t>
            </w:r>
          </w:p>
        </w:tc>
        <w:tc>
          <w:tcPr>
            <w:tcW w:w="1251" w:type="dxa"/>
            <w:noWrap/>
            <w:hideMark/>
          </w:tcPr>
          <w:p w14:paraId="1B080511"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176,332 </w:t>
            </w:r>
          </w:p>
        </w:tc>
        <w:tc>
          <w:tcPr>
            <w:tcW w:w="1295" w:type="dxa"/>
            <w:noWrap/>
            <w:hideMark/>
          </w:tcPr>
          <w:p w14:paraId="1DB70B69"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196,032 </w:t>
            </w:r>
          </w:p>
        </w:tc>
        <w:tc>
          <w:tcPr>
            <w:tcW w:w="1151" w:type="dxa"/>
            <w:noWrap/>
            <w:hideMark/>
          </w:tcPr>
          <w:p w14:paraId="123D7165"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19,700 </w:t>
            </w:r>
          </w:p>
        </w:tc>
        <w:tc>
          <w:tcPr>
            <w:tcW w:w="1175" w:type="dxa"/>
            <w:noWrap/>
            <w:hideMark/>
          </w:tcPr>
          <w:p w14:paraId="5A33F6A6"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11%</w:t>
            </w:r>
          </w:p>
        </w:tc>
      </w:tr>
      <w:tr w:rsidR="00A57218" w:rsidRPr="00923467" w14:paraId="77B7B4F0" w14:textId="77777777" w:rsidTr="0019531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4AE13435" w14:textId="77777777" w:rsidR="00A57218" w:rsidRPr="00DF68BE" w:rsidRDefault="00A57218" w:rsidP="00923467">
            <w:pPr>
              <w:rPr>
                <w:b w:val="0"/>
                <w:bCs w:val="0"/>
                <w:sz w:val="18"/>
                <w:szCs w:val="18"/>
              </w:rPr>
            </w:pPr>
            <w:r w:rsidRPr="00DF68BE">
              <w:rPr>
                <w:b w:val="0"/>
                <w:bCs w:val="0"/>
                <w:sz w:val="18"/>
                <w:szCs w:val="18"/>
              </w:rPr>
              <w:t xml:space="preserve">Other Revenues </w:t>
            </w:r>
          </w:p>
        </w:tc>
        <w:tc>
          <w:tcPr>
            <w:tcW w:w="1251" w:type="dxa"/>
            <w:noWrap/>
            <w:hideMark/>
          </w:tcPr>
          <w:p w14:paraId="3C9CB829"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755,937 </w:t>
            </w:r>
          </w:p>
        </w:tc>
        <w:tc>
          <w:tcPr>
            <w:tcW w:w="1295" w:type="dxa"/>
            <w:noWrap/>
            <w:hideMark/>
          </w:tcPr>
          <w:p w14:paraId="6351CDBE"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999,215 </w:t>
            </w:r>
          </w:p>
        </w:tc>
        <w:tc>
          <w:tcPr>
            <w:tcW w:w="1151" w:type="dxa"/>
            <w:noWrap/>
            <w:hideMark/>
          </w:tcPr>
          <w:p w14:paraId="544ECB7D"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243,278 </w:t>
            </w:r>
          </w:p>
        </w:tc>
        <w:tc>
          <w:tcPr>
            <w:tcW w:w="1175" w:type="dxa"/>
            <w:noWrap/>
            <w:hideMark/>
          </w:tcPr>
          <w:p w14:paraId="6DE14F9A"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32%</w:t>
            </w:r>
          </w:p>
        </w:tc>
      </w:tr>
      <w:tr w:rsidR="00DF68BE" w:rsidRPr="00923467" w14:paraId="1F40CCCB" w14:textId="77777777" w:rsidTr="0019531F">
        <w:trPr>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5DA54DE7" w14:textId="77777777" w:rsidR="00A57218" w:rsidRPr="00DF68BE" w:rsidRDefault="00A57218" w:rsidP="00923467">
            <w:pPr>
              <w:rPr>
                <w:sz w:val="18"/>
                <w:szCs w:val="18"/>
              </w:rPr>
            </w:pPr>
            <w:r w:rsidRPr="00DF68BE">
              <w:rPr>
                <w:sz w:val="18"/>
                <w:szCs w:val="18"/>
              </w:rPr>
              <w:t>Other MDAs</w:t>
            </w:r>
          </w:p>
        </w:tc>
        <w:tc>
          <w:tcPr>
            <w:tcW w:w="1251" w:type="dxa"/>
            <w:noWrap/>
            <w:hideMark/>
          </w:tcPr>
          <w:p w14:paraId="29AA745B"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83,835 </w:t>
            </w:r>
          </w:p>
        </w:tc>
        <w:tc>
          <w:tcPr>
            <w:tcW w:w="1295" w:type="dxa"/>
            <w:noWrap/>
            <w:hideMark/>
          </w:tcPr>
          <w:p w14:paraId="0B3E8DF2"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197,700 </w:t>
            </w:r>
          </w:p>
        </w:tc>
        <w:tc>
          <w:tcPr>
            <w:tcW w:w="1151" w:type="dxa"/>
            <w:noWrap/>
            <w:hideMark/>
          </w:tcPr>
          <w:p w14:paraId="79D829F1"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113,865 </w:t>
            </w:r>
          </w:p>
        </w:tc>
        <w:tc>
          <w:tcPr>
            <w:tcW w:w="1175" w:type="dxa"/>
            <w:noWrap/>
            <w:hideMark/>
          </w:tcPr>
          <w:p w14:paraId="74CE091E"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136%</w:t>
            </w:r>
          </w:p>
        </w:tc>
      </w:tr>
      <w:tr w:rsidR="00A57218" w:rsidRPr="00923467" w14:paraId="6E110D7F" w14:textId="77777777" w:rsidTr="0019531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13FD5C31" w14:textId="77777777" w:rsidR="00A57218" w:rsidRPr="00DF68BE" w:rsidRDefault="00A57218" w:rsidP="00923467">
            <w:pPr>
              <w:rPr>
                <w:sz w:val="18"/>
                <w:szCs w:val="18"/>
              </w:rPr>
            </w:pPr>
            <w:r w:rsidRPr="00DF68BE">
              <w:rPr>
                <w:sz w:val="18"/>
                <w:szCs w:val="18"/>
              </w:rPr>
              <w:t>Timber</w:t>
            </w:r>
          </w:p>
        </w:tc>
        <w:tc>
          <w:tcPr>
            <w:tcW w:w="1251" w:type="dxa"/>
            <w:noWrap/>
            <w:hideMark/>
          </w:tcPr>
          <w:p w14:paraId="79C69279"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58,830 </w:t>
            </w:r>
          </w:p>
        </w:tc>
        <w:tc>
          <w:tcPr>
            <w:tcW w:w="1295" w:type="dxa"/>
            <w:noWrap/>
            <w:hideMark/>
          </w:tcPr>
          <w:p w14:paraId="51EE2185"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 </w:t>
            </w:r>
          </w:p>
        </w:tc>
        <w:tc>
          <w:tcPr>
            <w:tcW w:w="1151" w:type="dxa"/>
            <w:noWrap/>
            <w:hideMark/>
          </w:tcPr>
          <w:p w14:paraId="3788C502"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(58,830)</w:t>
            </w:r>
          </w:p>
        </w:tc>
        <w:tc>
          <w:tcPr>
            <w:tcW w:w="1175" w:type="dxa"/>
            <w:noWrap/>
            <w:hideMark/>
          </w:tcPr>
          <w:p w14:paraId="14FAA177"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-100%</w:t>
            </w:r>
          </w:p>
        </w:tc>
      </w:tr>
      <w:tr w:rsidR="00DF68BE" w:rsidRPr="00923467" w14:paraId="00D865BA" w14:textId="77777777" w:rsidTr="0019531F">
        <w:trPr>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1F3FB4FA" w14:textId="77777777" w:rsidR="00A57218" w:rsidRPr="00DF68BE" w:rsidRDefault="00A57218" w:rsidP="00923467">
            <w:pPr>
              <w:rPr>
                <w:sz w:val="18"/>
                <w:szCs w:val="18"/>
              </w:rPr>
            </w:pPr>
            <w:r w:rsidRPr="00DF68BE">
              <w:rPr>
                <w:sz w:val="18"/>
                <w:szCs w:val="18"/>
              </w:rPr>
              <w:t>TSA</w:t>
            </w:r>
          </w:p>
        </w:tc>
        <w:tc>
          <w:tcPr>
            <w:tcW w:w="1251" w:type="dxa"/>
            <w:noWrap/>
            <w:hideMark/>
          </w:tcPr>
          <w:p w14:paraId="6A0EADC4"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613,272 </w:t>
            </w:r>
          </w:p>
        </w:tc>
        <w:tc>
          <w:tcPr>
            <w:tcW w:w="1295" w:type="dxa"/>
            <w:noWrap/>
            <w:hideMark/>
          </w:tcPr>
          <w:p w14:paraId="502D14F7"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801,515 </w:t>
            </w:r>
          </w:p>
        </w:tc>
        <w:tc>
          <w:tcPr>
            <w:tcW w:w="1151" w:type="dxa"/>
            <w:noWrap/>
            <w:hideMark/>
          </w:tcPr>
          <w:p w14:paraId="6C8A1C9F"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xml:space="preserve">     188,243 </w:t>
            </w:r>
          </w:p>
        </w:tc>
        <w:tc>
          <w:tcPr>
            <w:tcW w:w="1175" w:type="dxa"/>
            <w:noWrap/>
            <w:hideMark/>
          </w:tcPr>
          <w:p w14:paraId="0978F840" w14:textId="77777777" w:rsidR="00A57218" w:rsidRPr="00DF68BE" w:rsidRDefault="00A5721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31%</w:t>
            </w:r>
          </w:p>
        </w:tc>
      </w:tr>
      <w:tr w:rsidR="00A57218" w:rsidRPr="00923467" w14:paraId="522ACBC5" w14:textId="77777777" w:rsidTr="0019531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0" w:type="auto"/>
            <w:noWrap/>
            <w:hideMark/>
          </w:tcPr>
          <w:p w14:paraId="08C34613" w14:textId="468DF6D9" w:rsidR="00A57218" w:rsidRPr="00DF68BE" w:rsidRDefault="00A57218" w:rsidP="00923467">
            <w:pPr>
              <w:rPr>
                <w:sz w:val="18"/>
                <w:szCs w:val="18"/>
              </w:rPr>
            </w:pPr>
            <w:r w:rsidRPr="00DF68BE">
              <w:rPr>
                <w:sz w:val="18"/>
                <w:szCs w:val="18"/>
              </w:rPr>
              <w:t>Road User Charges &amp; Vehicle Licen</w:t>
            </w:r>
            <w:r w:rsidR="00A42DB0" w:rsidRPr="00DF68BE">
              <w:rPr>
                <w:sz w:val="18"/>
                <w:szCs w:val="18"/>
              </w:rPr>
              <w:t>s</w:t>
            </w:r>
            <w:r w:rsidRPr="00DF68BE">
              <w:rPr>
                <w:sz w:val="18"/>
                <w:szCs w:val="18"/>
              </w:rPr>
              <w:t>es</w:t>
            </w:r>
          </w:p>
        </w:tc>
        <w:tc>
          <w:tcPr>
            <w:tcW w:w="1251" w:type="dxa"/>
            <w:noWrap/>
            <w:hideMark/>
          </w:tcPr>
          <w:p w14:paraId="4663EE8A"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172,231 </w:t>
            </w:r>
          </w:p>
        </w:tc>
        <w:tc>
          <w:tcPr>
            <w:tcW w:w="1295" w:type="dxa"/>
            <w:noWrap/>
            <w:hideMark/>
          </w:tcPr>
          <w:p w14:paraId="02C30CD9"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197,938 </w:t>
            </w:r>
          </w:p>
        </w:tc>
        <w:tc>
          <w:tcPr>
            <w:tcW w:w="1151" w:type="dxa"/>
            <w:noWrap/>
            <w:hideMark/>
          </w:tcPr>
          <w:p w14:paraId="0FD0A16C"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 xml:space="preserve">       25,707 </w:t>
            </w:r>
          </w:p>
        </w:tc>
        <w:tc>
          <w:tcPr>
            <w:tcW w:w="1175" w:type="dxa"/>
            <w:noWrap/>
            <w:hideMark/>
          </w:tcPr>
          <w:p w14:paraId="51CD75BE" w14:textId="77777777" w:rsidR="00A57218" w:rsidRPr="00DF68BE" w:rsidRDefault="00A5721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15%</w:t>
            </w:r>
          </w:p>
        </w:tc>
      </w:tr>
    </w:tbl>
    <w:p w14:paraId="4ED824EC" w14:textId="638A6A74" w:rsidR="00A57218" w:rsidRPr="00923467" w:rsidRDefault="00B40FF6" w:rsidP="00923467">
      <w:pPr>
        <w:pStyle w:val="Caption"/>
        <w:rPr>
          <w:b/>
          <w:bCs/>
          <w:color w:val="002060"/>
          <w:sz w:val="28"/>
          <w:szCs w:val="28"/>
        </w:rPr>
      </w:pPr>
      <w:bookmarkStart w:id="117" w:name="_Toc137831162"/>
      <w:r w:rsidRPr="00923467">
        <w:t xml:space="preserve">Table </w:t>
      </w:r>
      <w:r w:rsidRPr="00923467">
        <w:fldChar w:fldCharType="begin"/>
      </w:r>
      <w:r w:rsidRPr="00923467">
        <w:instrText xml:space="preserve"> SEQ Table \* ARABIC </w:instrText>
      </w:r>
      <w:r w:rsidRPr="00923467">
        <w:fldChar w:fldCharType="separate"/>
      </w:r>
      <w:r w:rsidR="00E12E6B">
        <w:rPr>
          <w:noProof/>
        </w:rPr>
        <w:t>33</w:t>
      </w:r>
      <w:r w:rsidRPr="00923467">
        <w:fldChar w:fldCharType="end"/>
      </w:r>
      <w:r w:rsidRPr="00923467">
        <w:t>: Original Domestic Revenue Projections for 2023</w:t>
      </w:r>
      <w:bookmarkEnd w:id="117"/>
    </w:p>
    <w:p w14:paraId="0393B7E0" w14:textId="77777777" w:rsidR="00DF68BE" w:rsidRDefault="00DF68BE" w:rsidP="00923467"/>
    <w:p w14:paraId="76342EC4" w14:textId="4E4336A2" w:rsidR="002E29B9" w:rsidRDefault="00A57218" w:rsidP="00923467">
      <w:r w:rsidRPr="00923467">
        <w:t>Further, t</w:t>
      </w:r>
      <w:r w:rsidR="002E29B9" w:rsidRPr="00923467">
        <w:t xml:space="preserve">he 2022 macro-fiscal framework of the country’s ECF programme with the IMF was seriously challenged as the output of domestic revenue collection and government spending have significantly varied </w:t>
      </w:r>
      <w:r w:rsidR="00B40FF6" w:rsidRPr="00923467">
        <w:t>from the</w:t>
      </w:r>
      <w:r w:rsidR="002E29B9" w:rsidRPr="00923467">
        <w:t xml:space="preserve"> target </w:t>
      </w:r>
      <w:r w:rsidR="00B40FF6" w:rsidRPr="00923467">
        <w:t xml:space="preserve">set </w:t>
      </w:r>
      <w:r w:rsidR="002E29B9" w:rsidRPr="00923467">
        <w:t xml:space="preserve">for 2022, thus affecting </w:t>
      </w:r>
      <w:r w:rsidR="00B40FF6" w:rsidRPr="00923467">
        <w:t xml:space="preserve">the </w:t>
      </w:r>
      <w:r w:rsidR="002E29B9" w:rsidRPr="00923467">
        <w:t>credibility of the programme. Whilst revenue collection was short of its 2022 target, the deviation of government spending was substantially higher, partly due to revenue shortfalls, but more so because of higher prices of goods and services, and increased</w:t>
      </w:r>
      <w:r w:rsidR="00B40FF6" w:rsidRPr="00923467">
        <w:t xml:space="preserve"> costs for servicing the</w:t>
      </w:r>
      <w:r w:rsidR="002E29B9" w:rsidRPr="00923467">
        <w:t xml:space="preserve"> external debt due to the deterioration of the Leone relative to the US dollar.</w:t>
      </w:r>
    </w:p>
    <w:p w14:paraId="40A54ECC" w14:textId="77777777" w:rsidR="00DF68BE" w:rsidRPr="00923467" w:rsidRDefault="00DF68BE" w:rsidP="00923467"/>
    <w:p w14:paraId="4AF31315" w14:textId="4E04AA8A" w:rsidR="002E29B9" w:rsidRDefault="002E29B9" w:rsidP="00923467">
      <w:r w:rsidRPr="00923467">
        <w:t xml:space="preserve">As the expenditure </w:t>
      </w:r>
      <w:r w:rsidR="00B40FF6" w:rsidRPr="00923467">
        <w:t xml:space="preserve">pressures </w:t>
      </w:r>
      <w:proofErr w:type="gramStart"/>
      <w:r w:rsidRPr="00923467">
        <w:t>continued on</w:t>
      </w:r>
      <w:proofErr w:type="gramEnd"/>
      <w:r w:rsidRPr="00923467">
        <w:t xml:space="preserve"> to 2023, the IMF made it a condition for continuation of the country’s ECF programme that domestic revenue collection </w:t>
      </w:r>
      <w:r w:rsidR="00B40FF6" w:rsidRPr="00923467">
        <w:t>be</w:t>
      </w:r>
      <w:r w:rsidRPr="00923467">
        <w:t xml:space="preserve"> enhanced in the medium term starting from 2023. Consequently, the IMF and the country’s fiscal authorities agreed a list of measures from both tax policy and revenue administration that will raise </w:t>
      </w:r>
      <w:r w:rsidR="00B40FF6" w:rsidRPr="00923467">
        <w:t xml:space="preserve">approximately </w:t>
      </w:r>
      <w:r w:rsidRPr="00923467">
        <w:t>2% of GDP in additional revenues in 2023. These measures according to the Fund must be implemented pre-June 2023, even though their revenue yield will be realised through the year.</w:t>
      </w:r>
    </w:p>
    <w:p w14:paraId="691FA59F" w14:textId="77777777" w:rsidR="00DF68BE" w:rsidRPr="00923467" w:rsidRDefault="00DF68BE" w:rsidP="00923467"/>
    <w:p w14:paraId="6A2FEC76" w14:textId="77777777" w:rsidR="002E29B9" w:rsidRPr="00923467" w:rsidRDefault="002E29B9" w:rsidP="00923467">
      <w:r w:rsidRPr="00923467">
        <w:t xml:space="preserve">The revenue administration measures were all accepted, while those tax policy measures that were likely to directly affect the poor were advised to be deferred post-June 2023. Hence, additional measures were identified to replace those deferred due to their sensitive nature. For the tax policy measures, a Finance Act 2023 has been enacted by Parliament, with the NRA required to implement this Act and the other revenue administration measures agreed with the Fund for enhanced revenue mobilisation in 2023 and beyond. </w:t>
      </w:r>
    </w:p>
    <w:p w14:paraId="24893B8B" w14:textId="77777777" w:rsidR="00B40FF6" w:rsidRPr="00923467" w:rsidRDefault="00B40FF6" w:rsidP="00923467"/>
    <w:p w14:paraId="746D0C2F" w14:textId="240F4507" w:rsidR="002E29B9" w:rsidRPr="00923467" w:rsidRDefault="002E29B9" w:rsidP="00EF2D32">
      <w:pPr>
        <w:pStyle w:val="Heading3"/>
      </w:pPr>
      <w:bookmarkStart w:id="118" w:name="_Toc137831123"/>
      <w:r w:rsidRPr="00923467">
        <w:t>Revised 2023 Domestic Revenue Target</w:t>
      </w:r>
      <w:bookmarkEnd w:id="118"/>
    </w:p>
    <w:p w14:paraId="16795AB1" w14:textId="77777777" w:rsidR="002E29B9" w:rsidRDefault="002E29B9" w:rsidP="00923467">
      <w:r w:rsidRPr="00923467">
        <w:t>From Table 7, about 1.6% of GDP has been added to the original Le9.345 trillion target for 2023 on account of pre-June revenue measures, with some coming as tax policy measures enacted in the Finance Act 2023, and others as Revenue Administration measures to be implemented by the NRA. Resetting of Sierra Rutile agreement yielding as estimated USD10 million also forms part of this addition.</w:t>
      </w:r>
    </w:p>
    <w:p w14:paraId="6DC52979" w14:textId="77777777" w:rsidR="00DF68BE" w:rsidRPr="00923467" w:rsidRDefault="00DF68BE" w:rsidP="00923467"/>
    <w:p w14:paraId="4898F644" w14:textId="77777777" w:rsidR="002E29B9" w:rsidRDefault="002E29B9" w:rsidP="00923467">
      <w:r w:rsidRPr="00923467">
        <w:t>This translates to Le1.214 trillion. Thus, revised 2023 Revenue target is now Le10.559 trillion. This also implies an increase of Le3.377 trillion or 47% compared to 2022 Collection. The implication is that the NRA needs to collect much higher in the remaining quarters than we did in the Q1 despite it emerging to be impressive. In Q2, the NRA will be required to collect Le2.453 trillion, in Q3 required to collect Le2.698 trillion and in Q4 should collect Le3.131 trillion as we continue to see the impact of implementation of the tax policy measures in the FA 2023 and the revenue administration reforms to be directly implemented by the NRA in the course of the year.</w:t>
      </w:r>
    </w:p>
    <w:p w14:paraId="685E5A36" w14:textId="77777777" w:rsidR="00DF68BE" w:rsidRPr="00923467" w:rsidRDefault="00DF68BE" w:rsidP="00923467"/>
    <w:p w14:paraId="79C3C559" w14:textId="75E3E7FB" w:rsidR="00A57218" w:rsidRPr="00923467" w:rsidRDefault="00A57218" w:rsidP="00923467">
      <w:r w:rsidRPr="00923467">
        <w:t>This target was however set on several assumptions (EDSA being compliant with payment of their arrears, elections being peaceful and not prolonged, 2022 revenue target being met as the base, tax policy measures being implemented in full, and revenue administration measures being implemented in full), which need to hold if the target is to be met in 2023.</w:t>
      </w:r>
    </w:p>
    <w:p w14:paraId="235D5BE2" w14:textId="77777777" w:rsidR="00DF5F60" w:rsidRPr="00923467" w:rsidRDefault="00DF5F60" w:rsidP="00923467"/>
    <w:tbl>
      <w:tblPr>
        <w:tblStyle w:val="GridTable4-Accent5"/>
        <w:tblW w:w="9351" w:type="dxa"/>
        <w:tblLook w:val="04A0" w:firstRow="1" w:lastRow="0" w:firstColumn="1" w:lastColumn="0" w:noHBand="0" w:noVBand="1"/>
      </w:tblPr>
      <w:tblGrid>
        <w:gridCol w:w="3114"/>
        <w:gridCol w:w="709"/>
        <w:gridCol w:w="708"/>
        <w:gridCol w:w="709"/>
        <w:gridCol w:w="709"/>
        <w:gridCol w:w="709"/>
        <w:gridCol w:w="708"/>
        <w:gridCol w:w="816"/>
        <w:gridCol w:w="1169"/>
      </w:tblGrid>
      <w:tr w:rsidR="00004B58" w:rsidRPr="00923467" w14:paraId="2F11F56D" w14:textId="77777777" w:rsidTr="00004B5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40FD44D" w14:textId="77777777" w:rsidR="008737E8" w:rsidRPr="00DF68BE" w:rsidRDefault="008737E8" w:rsidP="00923467">
            <w:pPr>
              <w:rPr>
                <w:b w:val="0"/>
                <w:bCs w:val="0"/>
                <w:sz w:val="18"/>
                <w:szCs w:val="18"/>
              </w:rPr>
            </w:pPr>
            <w:r w:rsidRPr="00DF68BE">
              <w:rPr>
                <w:sz w:val="18"/>
                <w:szCs w:val="18"/>
              </w:rPr>
              <w:t> </w:t>
            </w:r>
          </w:p>
        </w:tc>
        <w:tc>
          <w:tcPr>
            <w:tcW w:w="709" w:type="dxa"/>
            <w:noWrap/>
            <w:hideMark/>
          </w:tcPr>
          <w:p w14:paraId="4E507EF7" w14:textId="77777777" w:rsidR="008737E8" w:rsidRPr="00DF68BE" w:rsidRDefault="008737E8"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F68BE">
              <w:rPr>
                <w:sz w:val="18"/>
                <w:szCs w:val="18"/>
              </w:rPr>
              <w:t>Q1 Actual</w:t>
            </w:r>
          </w:p>
        </w:tc>
        <w:tc>
          <w:tcPr>
            <w:tcW w:w="708" w:type="dxa"/>
            <w:noWrap/>
            <w:hideMark/>
          </w:tcPr>
          <w:p w14:paraId="0123A047" w14:textId="77777777" w:rsidR="008737E8" w:rsidRPr="00DF68BE" w:rsidRDefault="008737E8"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F68BE">
              <w:rPr>
                <w:sz w:val="18"/>
                <w:szCs w:val="18"/>
              </w:rPr>
              <w:t>Q2 Target</w:t>
            </w:r>
          </w:p>
        </w:tc>
        <w:tc>
          <w:tcPr>
            <w:tcW w:w="709" w:type="dxa"/>
            <w:noWrap/>
            <w:hideMark/>
          </w:tcPr>
          <w:p w14:paraId="4EC86F67" w14:textId="77777777" w:rsidR="008737E8" w:rsidRPr="00DF68BE" w:rsidRDefault="008737E8"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F68BE">
              <w:rPr>
                <w:sz w:val="18"/>
                <w:szCs w:val="18"/>
              </w:rPr>
              <w:t>Q3 Target</w:t>
            </w:r>
          </w:p>
        </w:tc>
        <w:tc>
          <w:tcPr>
            <w:tcW w:w="709" w:type="dxa"/>
            <w:noWrap/>
            <w:hideMark/>
          </w:tcPr>
          <w:p w14:paraId="7A669151" w14:textId="77777777" w:rsidR="008737E8" w:rsidRPr="00DF68BE" w:rsidRDefault="008737E8"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F68BE">
              <w:rPr>
                <w:sz w:val="18"/>
                <w:szCs w:val="18"/>
              </w:rPr>
              <w:t>Q4 Target</w:t>
            </w:r>
          </w:p>
        </w:tc>
        <w:tc>
          <w:tcPr>
            <w:tcW w:w="709" w:type="dxa"/>
            <w:noWrap/>
            <w:hideMark/>
          </w:tcPr>
          <w:p w14:paraId="4BE1BFFE" w14:textId="77777777" w:rsidR="008737E8" w:rsidRPr="00DF68BE" w:rsidRDefault="008737E8"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F68BE">
              <w:rPr>
                <w:sz w:val="18"/>
                <w:szCs w:val="18"/>
              </w:rPr>
              <w:t xml:space="preserve">2023 Target </w:t>
            </w:r>
          </w:p>
        </w:tc>
        <w:tc>
          <w:tcPr>
            <w:tcW w:w="708" w:type="dxa"/>
            <w:noWrap/>
            <w:hideMark/>
          </w:tcPr>
          <w:p w14:paraId="2E8F5EF2" w14:textId="77777777" w:rsidR="008737E8" w:rsidRPr="00DF68BE" w:rsidRDefault="008737E8"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F68BE">
              <w:rPr>
                <w:sz w:val="18"/>
                <w:szCs w:val="18"/>
              </w:rPr>
              <w:t>2022 Actual</w:t>
            </w:r>
          </w:p>
        </w:tc>
        <w:tc>
          <w:tcPr>
            <w:tcW w:w="816" w:type="dxa"/>
            <w:noWrap/>
            <w:hideMark/>
          </w:tcPr>
          <w:p w14:paraId="4D3A446D" w14:textId="77777777" w:rsidR="008737E8" w:rsidRPr="00DF68BE" w:rsidRDefault="008737E8"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F68BE">
              <w:rPr>
                <w:sz w:val="18"/>
                <w:szCs w:val="18"/>
              </w:rPr>
              <w:t>Increase</w:t>
            </w:r>
          </w:p>
        </w:tc>
        <w:tc>
          <w:tcPr>
            <w:tcW w:w="1169" w:type="dxa"/>
            <w:noWrap/>
            <w:hideMark/>
          </w:tcPr>
          <w:p w14:paraId="4F5FF39F" w14:textId="77777777" w:rsidR="008737E8" w:rsidRPr="00DF68BE" w:rsidRDefault="008737E8" w:rsidP="00923467">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DF68BE">
              <w:rPr>
                <w:sz w:val="18"/>
                <w:szCs w:val="18"/>
              </w:rPr>
              <w:t>% Increase</w:t>
            </w:r>
          </w:p>
        </w:tc>
      </w:tr>
      <w:tr w:rsidR="00004B58" w:rsidRPr="00923467" w14:paraId="251CE8D5" w14:textId="77777777" w:rsidTr="00004B5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114" w:type="dxa"/>
            <w:hideMark/>
          </w:tcPr>
          <w:p w14:paraId="5F012831" w14:textId="525450CA" w:rsidR="008737E8" w:rsidRPr="00DF68BE" w:rsidRDefault="008737E8" w:rsidP="00923467">
            <w:pPr>
              <w:rPr>
                <w:b w:val="0"/>
                <w:bCs w:val="0"/>
                <w:sz w:val="18"/>
                <w:szCs w:val="18"/>
              </w:rPr>
            </w:pPr>
            <w:r w:rsidRPr="00DF68BE">
              <w:rPr>
                <w:sz w:val="18"/>
                <w:szCs w:val="18"/>
              </w:rPr>
              <w:t>Total NRA Revenues</w:t>
            </w:r>
          </w:p>
        </w:tc>
        <w:tc>
          <w:tcPr>
            <w:tcW w:w="709" w:type="dxa"/>
            <w:noWrap/>
            <w:hideMark/>
          </w:tcPr>
          <w:p w14:paraId="4A6FD896"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2,279</w:t>
            </w:r>
          </w:p>
        </w:tc>
        <w:tc>
          <w:tcPr>
            <w:tcW w:w="708" w:type="dxa"/>
            <w:noWrap/>
            <w:hideMark/>
          </w:tcPr>
          <w:p w14:paraId="3FD4C4D7"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2,453</w:t>
            </w:r>
          </w:p>
        </w:tc>
        <w:tc>
          <w:tcPr>
            <w:tcW w:w="709" w:type="dxa"/>
            <w:noWrap/>
            <w:hideMark/>
          </w:tcPr>
          <w:p w14:paraId="6090377B"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2,698</w:t>
            </w:r>
          </w:p>
        </w:tc>
        <w:tc>
          <w:tcPr>
            <w:tcW w:w="709" w:type="dxa"/>
            <w:noWrap/>
            <w:hideMark/>
          </w:tcPr>
          <w:p w14:paraId="17AD5F8C"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3,131</w:t>
            </w:r>
          </w:p>
        </w:tc>
        <w:tc>
          <w:tcPr>
            <w:tcW w:w="709" w:type="dxa"/>
            <w:noWrap/>
            <w:hideMark/>
          </w:tcPr>
          <w:p w14:paraId="71374CFB"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10,560</w:t>
            </w:r>
          </w:p>
        </w:tc>
        <w:tc>
          <w:tcPr>
            <w:tcW w:w="708" w:type="dxa"/>
            <w:noWrap/>
            <w:hideMark/>
          </w:tcPr>
          <w:p w14:paraId="71913231"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7,183</w:t>
            </w:r>
          </w:p>
        </w:tc>
        <w:tc>
          <w:tcPr>
            <w:tcW w:w="816" w:type="dxa"/>
            <w:noWrap/>
            <w:hideMark/>
          </w:tcPr>
          <w:p w14:paraId="6A3F6920"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3,378</w:t>
            </w:r>
          </w:p>
        </w:tc>
        <w:tc>
          <w:tcPr>
            <w:tcW w:w="1169" w:type="dxa"/>
            <w:noWrap/>
            <w:hideMark/>
          </w:tcPr>
          <w:p w14:paraId="1DB0DD0C"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47%</w:t>
            </w:r>
          </w:p>
        </w:tc>
      </w:tr>
      <w:tr w:rsidR="00004B58" w:rsidRPr="00923467" w14:paraId="03CA4250" w14:textId="77777777" w:rsidTr="00004B58">
        <w:trPr>
          <w:trHeight w:val="323"/>
        </w:trPr>
        <w:tc>
          <w:tcPr>
            <w:cnfStyle w:val="001000000000" w:firstRow="0" w:lastRow="0" w:firstColumn="1" w:lastColumn="0" w:oddVBand="0" w:evenVBand="0" w:oddHBand="0" w:evenHBand="0" w:firstRowFirstColumn="0" w:firstRowLastColumn="0" w:lastRowFirstColumn="0" w:lastRowLastColumn="0"/>
            <w:tcW w:w="3114" w:type="dxa"/>
            <w:hideMark/>
          </w:tcPr>
          <w:p w14:paraId="611CF431" w14:textId="71F8C242" w:rsidR="008737E8" w:rsidRPr="00DF68BE" w:rsidRDefault="008737E8" w:rsidP="00923467">
            <w:pPr>
              <w:rPr>
                <w:b w:val="0"/>
                <w:bCs w:val="0"/>
                <w:sz w:val="18"/>
                <w:szCs w:val="18"/>
              </w:rPr>
            </w:pPr>
            <w:r w:rsidRPr="00DF68BE">
              <w:rPr>
                <w:sz w:val="18"/>
                <w:szCs w:val="18"/>
              </w:rPr>
              <w:t>Total NRA Revenues (Excl. RUC)</w:t>
            </w:r>
          </w:p>
        </w:tc>
        <w:tc>
          <w:tcPr>
            <w:tcW w:w="709" w:type="dxa"/>
            <w:noWrap/>
            <w:hideMark/>
          </w:tcPr>
          <w:p w14:paraId="2ED0DA36"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2,230</w:t>
            </w:r>
          </w:p>
        </w:tc>
        <w:tc>
          <w:tcPr>
            <w:tcW w:w="708" w:type="dxa"/>
            <w:noWrap/>
            <w:hideMark/>
          </w:tcPr>
          <w:p w14:paraId="1D501E5D"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2,416</w:t>
            </w:r>
          </w:p>
        </w:tc>
        <w:tc>
          <w:tcPr>
            <w:tcW w:w="709" w:type="dxa"/>
            <w:noWrap/>
            <w:hideMark/>
          </w:tcPr>
          <w:p w14:paraId="25A999F9"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2,642</w:t>
            </w:r>
          </w:p>
        </w:tc>
        <w:tc>
          <w:tcPr>
            <w:tcW w:w="709" w:type="dxa"/>
            <w:noWrap/>
            <w:hideMark/>
          </w:tcPr>
          <w:p w14:paraId="7684A42B"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3,074</w:t>
            </w:r>
          </w:p>
        </w:tc>
        <w:tc>
          <w:tcPr>
            <w:tcW w:w="709" w:type="dxa"/>
            <w:noWrap/>
            <w:hideMark/>
          </w:tcPr>
          <w:p w14:paraId="599B0719"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10,363</w:t>
            </w:r>
          </w:p>
        </w:tc>
        <w:tc>
          <w:tcPr>
            <w:tcW w:w="708" w:type="dxa"/>
            <w:noWrap/>
            <w:hideMark/>
          </w:tcPr>
          <w:p w14:paraId="2B6C1F21"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7,010</w:t>
            </w:r>
          </w:p>
        </w:tc>
        <w:tc>
          <w:tcPr>
            <w:tcW w:w="816" w:type="dxa"/>
            <w:noWrap/>
            <w:hideMark/>
          </w:tcPr>
          <w:p w14:paraId="6DF2EEAE"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3,352</w:t>
            </w:r>
          </w:p>
        </w:tc>
        <w:tc>
          <w:tcPr>
            <w:tcW w:w="1169" w:type="dxa"/>
            <w:noWrap/>
            <w:hideMark/>
          </w:tcPr>
          <w:p w14:paraId="1BBB842C"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48%</w:t>
            </w:r>
          </w:p>
        </w:tc>
      </w:tr>
      <w:tr w:rsidR="00004B58" w:rsidRPr="00923467" w14:paraId="3764B55C" w14:textId="77777777" w:rsidTr="00004B5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114" w:type="dxa"/>
          </w:tcPr>
          <w:p w14:paraId="4A1336D2" w14:textId="77777777" w:rsidR="008737E8" w:rsidRPr="00DF68BE" w:rsidRDefault="008737E8" w:rsidP="00923467">
            <w:pPr>
              <w:rPr>
                <w:b w:val="0"/>
                <w:bCs w:val="0"/>
                <w:sz w:val="18"/>
                <w:szCs w:val="18"/>
              </w:rPr>
            </w:pPr>
          </w:p>
        </w:tc>
        <w:tc>
          <w:tcPr>
            <w:tcW w:w="709" w:type="dxa"/>
            <w:noWrap/>
          </w:tcPr>
          <w:p w14:paraId="5E2AF0CD"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708" w:type="dxa"/>
            <w:noWrap/>
          </w:tcPr>
          <w:p w14:paraId="3064D27F"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709" w:type="dxa"/>
            <w:noWrap/>
          </w:tcPr>
          <w:p w14:paraId="26EC2CCD"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709" w:type="dxa"/>
            <w:noWrap/>
          </w:tcPr>
          <w:p w14:paraId="4D7F8612"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709" w:type="dxa"/>
            <w:noWrap/>
          </w:tcPr>
          <w:p w14:paraId="304732F6"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708" w:type="dxa"/>
            <w:noWrap/>
          </w:tcPr>
          <w:p w14:paraId="367AD9B7"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816" w:type="dxa"/>
            <w:noWrap/>
          </w:tcPr>
          <w:p w14:paraId="21FF0CDC"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1169" w:type="dxa"/>
            <w:noWrap/>
          </w:tcPr>
          <w:p w14:paraId="509D236C"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p>
        </w:tc>
      </w:tr>
      <w:tr w:rsidR="00004B58" w:rsidRPr="00923467" w14:paraId="2FA7E3A2" w14:textId="77777777" w:rsidTr="00004B58">
        <w:trPr>
          <w:trHeight w:val="263"/>
        </w:trPr>
        <w:tc>
          <w:tcPr>
            <w:cnfStyle w:val="001000000000" w:firstRow="0" w:lastRow="0" w:firstColumn="1" w:lastColumn="0" w:oddVBand="0" w:evenVBand="0" w:oddHBand="0" w:evenHBand="0" w:firstRowFirstColumn="0" w:firstRowLastColumn="0" w:lastRowFirstColumn="0" w:lastRowLastColumn="0"/>
            <w:tcW w:w="3114" w:type="dxa"/>
            <w:hideMark/>
          </w:tcPr>
          <w:p w14:paraId="015E9EA1" w14:textId="6750FC37" w:rsidR="008737E8" w:rsidRPr="00DF68BE" w:rsidRDefault="008737E8" w:rsidP="00923467">
            <w:pPr>
              <w:rPr>
                <w:b w:val="0"/>
                <w:bCs w:val="0"/>
                <w:sz w:val="18"/>
                <w:szCs w:val="18"/>
              </w:rPr>
            </w:pPr>
            <w:r w:rsidRPr="00DF68BE">
              <w:rPr>
                <w:sz w:val="18"/>
                <w:szCs w:val="18"/>
              </w:rPr>
              <w:t>Domestic Tax Department</w:t>
            </w:r>
            <w:r w:rsidR="00004B58">
              <w:rPr>
                <w:sz w:val="18"/>
                <w:szCs w:val="18"/>
              </w:rPr>
              <w:t xml:space="preserve"> (DTD)</w:t>
            </w:r>
          </w:p>
        </w:tc>
        <w:tc>
          <w:tcPr>
            <w:tcW w:w="709" w:type="dxa"/>
            <w:noWrap/>
            <w:hideMark/>
          </w:tcPr>
          <w:p w14:paraId="25F8365F"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1,310</w:t>
            </w:r>
          </w:p>
        </w:tc>
        <w:tc>
          <w:tcPr>
            <w:tcW w:w="708" w:type="dxa"/>
            <w:noWrap/>
            <w:hideMark/>
          </w:tcPr>
          <w:p w14:paraId="3E4A909D"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1,515</w:t>
            </w:r>
          </w:p>
        </w:tc>
        <w:tc>
          <w:tcPr>
            <w:tcW w:w="709" w:type="dxa"/>
            <w:noWrap/>
            <w:hideMark/>
          </w:tcPr>
          <w:p w14:paraId="4D9A9B8E"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1,581</w:t>
            </w:r>
          </w:p>
        </w:tc>
        <w:tc>
          <w:tcPr>
            <w:tcW w:w="709" w:type="dxa"/>
            <w:noWrap/>
            <w:hideMark/>
          </w:tcPr>
          <w:p w14:paraId="3F4E87E1"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1,842</w:t>
            </w:r>
          </w:p>
        </w:tc>
        <w:tc>
          <w:tcPr>
            <w:tcW w:w="709" w:type="dxa"/>
            <w:noWrap/>
            <w:hideMark/>
          </w:tcPr>
          <w:p w14:paraId="42BF8ECA"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6,248</w:t>
            </w:r>
          </w:p>
        </w:tc>
        <w:tc>
          <w:tcPr>
            <w:tcW w:w="708" w:type="dxa"/>
            <w:noWrap/>
            <w:hideMark/>
          </w:tcPr>
          <w:p w14:paraId="49D5C33C"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4,325</w:t>
            </w:r>
          </w:p>
        </w:tc>
        <w:tc>
          <w:tcPr>
            <w:tcW w:w="816" w:type="dxa"/>
            <w:noWrap/>
            <w:hideMark/>
          </w:tcPr>
          <w:p w14:paraId="28AFA532"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1,923</w:t>
            </w:r>
          </w:p>
        </w:tc>
        <w:tc>
          <w:tcPr>
            <w:tcW w:w="1169" w:type="dxa"/>
            <w:noWrap/>
            <w:hideMark/>
          </w:tcPr>
          <w:p w14:paraId="7561452E"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44%</w:t>
            </w:r>
          </w:p>
        </w:tc>
      </w:tr>
      <w:tr w:rsidR="00004B58" w:rsidRPr="00923467" w14:paraId="49FFC7E3" w14:textId="77777777" w:rsidTr="00004B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6D4834F" w14:textId="2143AC26" w:rsidR="008737E8" w:rsidRPr="00DF68BE" w:rsidRDefault="008737E8" w:rsidP="00923467">
            <w:pPr>
              <w:rPr>
                <w:b w:val="0"/>
                <w:bCs w:val="0"/>
                <w:sz w:val="18"/>
                <w:szCs w:val="18"/>
              </w:rPr>
            </w:pPr>
            <w:r w:rsidRPr="00DF68BE">
              <w:rPr>
                <w:b w:val="0"/>
                <w:bCs w:val="0"/>
                <w:sz w:val="18"/>
                <w:szCs w:val="18"/>
              </w:rPr>
              <w:t xml:space="preserve">Income Tax </w:t>
            </w:r>
          </w:p>
        </w:tc>
        <w:tc>
          <w:tcPr>
            <w:tcW w:w="709" w:type="dxa"/>
            <w:noWrap/>
            <w:hideMark/>
          </w:tcPr>
          <w:p w14:paraId="31BE5627"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861</w:t>
            </w:r>
          </w:p>
        </w:tc>
        <w:tc>
          <w:tcPr>
            <w:tcW w:w="708" w:type="dxa"/>
            <w:noWrap/>
            <w:hideMark/>
          </w:tcPr>
          <w:p w14:paraId="6DFBD195"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1,016</w:t>
            </w:r>
          </w:p>
        </w:tc>
        <w:tc>
          <w:tcPr>
            <w:tcW w:w="709" w:type="dxa"/>
            <w:noWrap/>
            <w:hideMark/>
          </w:tcPr>
          <w:p w14:paraId="70A442E7"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1,015</w:t>
            </w:r>
          </w:p>
        </w:tc>
        <w:tc>
          <w:tcPr>
            <w:tcW w:w="709" w:type="dxa"/>
            <w:noWrap/>
            <w:hideMark/>
          </w:tcPr>
          <w:p w14:paraId="68A788D5"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1,203</w:t>
            </w:r>
          </w:p>
        </w:tc>
        <w:tc>
          <w:tcPr>
            <w:tcW w:w="709" w:type="dxa"/>
            <w:noWrap/>
            <w:hideMark/>
          </w:tcPr>
          <w:p w14:paraId="7E394963"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4,095</w:t>
            </w:r>
          </w:p>
        </w:tc>
        <w:tc>
          <w:tcPr>
            <w:tcW w:w="708" w:type="dxa"/>
            <w:noWrap/>
            <w:hideMark/>
          </w:tcPr>
          <w:p w14:paraId="76C15E63"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2,905</w:t>
            </w:r>
          </w:p>
        </w:tc>
        <w:tc>
          <w:tcPr>
            <w:tcW w:w="816" w:type="dxa"/>
            <w:noWrap/>
            <w:hideMark/>
          </w:tcPr>
          <w:p w14:paraId="734EECE1"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1,190</w:t>
            </w:r>
          </w:p>
        </w:tc>
        <w:tc>
          <w:tcPr>
            <w:tcW w:w="1169" w:type="dxa"/>
            <w:noWrap/>
            <w:hideMark/>
          </w:tcPr>
          <w:p w14:paraId="35E269C0"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41%</w:t>
            </w:r>
          </w:p>
        </w:tc>
      </w:tr>
      <w:tr w:rsidR="00004B58" w:rsidRPr="00923467" w14:paraId="30B13AF7" w14:textId="77777777" w:rsidTr="00004B58">
        <w:trPr>
          <w:trHeight w:val="263"/>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4A420D6" w14:textId="6F415197" w:rsidR="008737E8" w:rsidRPr="00DF68BE" w:rsidRDefault="008737E8" w:rsidP="00923467">
            <w:pPr>
              <w:rPr>
                <w:b w:val="0"/>
                <w:bCs w:val="0"/>
                <w:sz w:val="18"/>
                <w:szCs w:val="18"/>
              </w:rPr>
            </w:pPr>
            <w:r w:rsidRPr="00DF68BE">
              <w:rPr>
                <w:b w:val="0"/>
                <w:bCs w:val="0"/>
                <w:sz w:val="18"/>
                <w:szCs w:val="18"/>
              </w:rPr>
              <w:t xml:space="preserve"> Goods and Services Tax (GST) </w:t>
            </w:r>
          </w:p>
        </w:tc>
        <w:tc>
          <w:tcPr>
            <w:tcW w:w="709" w:type="dxa"/>
            <w:noWrap/>
            <w:hideMark/>
          </w:tcPr>
          <w:p w14:paraId="578C959F"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449</w:t>
            </w:r>
          </w:p>
        </w:tc>
        <w:tc>
          <w:tcPr>
            <w:tcW w:w="708" w:type="dxa"/>
            <w:noWrap/>
            <w:hideMark/>
          </w:tcPr>
          <w:p w14:paraId="4754D38C"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499</w:t>
            </w:r>
          </w:p>
        </w:tc>
        <w:tc>
          <w:tcPr>
            <w:tcW w:w="709" w:type="dxa"/>
            <w:noWrap/>
            <w:hideMark/>
          </w:tcPr>
          <w:p w14:paraId="1C447316"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567</w:t>
            </w:r>
          </w:p>
        </w:tc>
        <w:tc>
          <w:tcPr>
            <w:tcW w:w="709" w:type="dxa"/>
            <w:noWrap/>
            <w:hideMark/>
          </w:tcPr>
          <w:p w14:paraId="08FFC293"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638</w:t>
            </w:r>
          </w:p>
        </w:tc>
        <w:tc>
          <w:tcPr>
            <w:tcW w:w="709" w:type="dxa"/>
            <w:noWrap/>
            <w:hideMark/>
          </w:tcPr>
          <w:p w14:paraId="56D841FD"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2,153</w:t>
            </w:r>
          </w:p>
        </w:tc>
        <w:tc>
          <w:tcPr>
            <w:tcW w:w="708" w:type="dxa"/>
            <w:noWrap/>
            <w:hideMark/>
          </w:tcPr>
          <w:p w14:paraId="416876C7"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1,420</w:t>
            </w:r>
          </w:p>
        </w:tc>
        <w:tc>
          <w:tcPr>
            <w:tcW w:w="816" w:type="dxa"/>
            <w:noWrap/>
            <w:hideMark/>
          </w:tcPr>
          <w:p w14:paraId="5FA19166"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733</w:t>
            </w:r>
          </w:p>
        </w:tc>
        <w:tc>
          <w:tcPr>
            <w:tcW w:w="1169" w:type="dxa"/>
            <w:noWrap/>
            <w:hideMark/>
          </w:tcPr>
          <w:p w14:paraId="5453DF7A"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52%</w:t>
            </w:r>
          </w:p>
        </w:tc>
      </w:tr>
      <w:tr w:rsidR="00004B58" w:rsidRPr="00923467" w14:paraId="63A6BDA8" w14:textId="77777777" w:rsidTr="00004B5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114" w:type="dxa"/>
            <w:noWrap/>
          </w:tcPr>
          <w:p w14:paraId="1C21E464" w14:textId="77777777" w:rsidR="008737E8" w:rsidRPr="00DF68BE" w:rsidRDefault="008737E8" w:rsidP="00923467">
            <w:pPr>
              <w:rPr>
                <w:b w:val="0"/>
                <w:bCs w:val="0"/>
                <w:sz w:val="18"/>
                <w:szCs w:val="18"/>
              </w:rPr>
            </w:pPr>
          </w:p>
        </w:tc>
        <w:tc>
          <w:tcPr>
            <w:tcW w:w="709" w:type="dxa"/>
            <w:noWrap/>
          </w:tcPr>
          <w:p w14:paraId="5B438800"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708" w:type="dxa"/>
            <w:noWrap/>
          </w:tcPr>
          <w:p w14:paraId="48C54044"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709" w:type="dxa"/>
            <w:noWrap/>
          </w:tcPr>
          <w:p w14:paraId="523F497E"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709" w:type="dxa"/>
            <w:noWrap/>
          </w:tcPr>
          <w:p w14:paraId="60F349FA"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709" w:type="dxa"/>
            <w:noWrap/>
          </w:tcPr>
          <w:p w14:paraId="7069E88A"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708" w:type="dxa"/>
            <w:noWrap/>
          </w:tcPr>
          <w:p w14:paraId="2A0AE57A"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816" w:type="dxa"/>
            <w:noWrap/>
          </w:tcPr>
          <w:p w14:paraId="7F125002"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p>
        </w:tc>
        <w:tc>
          <w:tcPr>
            <w:tcW w:w="1169" w:type="dxa"/>
            <w:noWrap/>
          </w:tcPr>
          <w:p w14:paraId="7C9462FF"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p>
        </w:tc>
      </w:tr>
      <w:tr w:rsidR="00004B58" w:rsidRPr="00923467" w14:paraId="01ACC6AA" w14:textId="77777777" w:rsidTr="00004B58">
        <w:trPr>
          <w:trHeight w:val="263"/>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A2FE1EF" w14:textId="37E3F22F" w:rsidR="008737E8" w:rsidRPr="00DF68BE" w:rsidRDefault="008737E8" w:rsidP="00923467">
            <w:pPr>
              <w:rPr>
                <w:sz w:val="18"/>
                <w:szCs w:val="18"/>
              </w:rPr>
            </w:pPr>
            <w:r w:rsidRPr="00DF68BE">
              <w:rPr>
                <w:sz w:val="18"/>
                <w:szCs w:val="18"/>
              </w:rPr>
              <w:t xml:space="preserve"> Customs Service Department (CSD) </w:t>
            </w:r>
          </w:p>
        </w:tc>
        <w:tc>
          <w:tcPr>
            <w:tcW w:w="709" w:type="dxa"/>
            <w:noWrap/>
            <w:hideMark/>
          </w:tcPr>
          <w:p w14:paraId="39FB5D40"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315</w:t>
            </w:r>
          </w:p>
        </w:tc>
        <w:tc>
          <w:tcPr>
            <w:tcW w:w="708" w:type="dxa"/>
            <w:noWrap/>
            <w:hideMark/>
          </w:tcPr>
          <w:p w14:paraId="7B352867"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383</w:t>
            </w:r>
          </w:p>
        </w:tc>
        <w:tc>
          <w:tcPr>
            <w:tcW w:w="709" w:type="dxa"/>
            <w:noWrap/>
            <w:hideMark/>
          </w:tcPr>
          <w:p w14:paraId="415BF48C"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513</w:t>
            </w:r>
          </w:p>
        </w:tc>
        <w:tc>
          <w:tcPr>
            <w:tcW w:w="709" w:type="dxa"/>
            <w:noWrap/>
            <w:hideMark/>
          </w:tcPr>
          <w:p w14:paraId="7FC185E2"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614</w:t>
            </w:r>
          </w:p>
        </w:tc>
        <w:tc>
          <w:tcPr>
            <w:tcW w:w="709" w:type="dxa"/>
            <w:noWrap/>
            <w:hideMark/>
          </w:tcPr>
          <w:p w14:paraId="3E3A25F0"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1,825</w:t>
            </w:r>
          </w:p>
        </w:tc>
        <w:tc>
          <w:tcPr>
            <w:tcW w:w="708" w:type="dxa"/>
            <w:noWrap/>
            <w:hideMark/>
          </w:tcPr>
          <w:p w14:paraId="57CE4552"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1,238</w:t>
            </w:r>
          </w:p>
        </w:tc>
        <w:tc>
          <w:tcPr>
            <w:tcW w:w="816" w:type="dxa"/>
            <w:noWrap/>
            <w:hideMark/>
          </w:tcPr>
          <w:p w14:paraId="1F465287"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587</w:t>
            </w:r>
          </w:p>
        </w:tc>
        <w:tc>
          <w:tcPr>
            <w:tcW w:w="1169" w:type="dxa"/>
            <w:noWrap/>
            <w:hideMark/>
          </w:tcPr>
          <w:p w14:paraId="67D8C28F"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47%</w:t>
            </w:r>
          </w:p>
        </w:tc>
      </w:tr>
      <w:tr w:rsidR="00004B58" w:rsidRPr="00923467" w14:paraId="76377D7A" w14:textId="77777777" w:rsidTr="00004B5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C4E0BA6" w14:textId="69574297" w:rsidR="008737E8" w:rsidRPr="00DF68BE" w:rsidRDefault="008737E8" w:rsidP="00923467">
            <w:pPr>
              <w:rPr>
                <w:b w:val="0"/>
                <w:bCs w:val="0"/>
                <w:sz w:val="18"/>
                <w:szCs w:val="18"/>
              </w:rPr>
            </w:pPr>
            <w:r w:rsidRPr="00DF68BE">
              <w:rPr>
                <w:b w:val="0"/>
                <w:bCs w:val="0"/>
                <w:sz w:val="18"/>
                <w:szCs w:val="18"/>
              </w:rPr>
              <w:t xml:space="preserve"> Import Duties</w:t>
            </w:r>
          </w:p>
        </w:tc>
        <w:tc>
          <w:tcPr>
            <w:tcW w:w="709" w:type="dxa"/>
            <w:noWrap/>
            <w:hideMark/>
          </w:tcPr>
          <w:p w14:paraId="3921B95F"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240</w:t>
            </w:r>
          </w:p>
        </w:tc>
        <w:tc>
          <w:tcPr>
            <w:tcW w:w="708" w:type="dxa"/>
            <w:noWrap/>
            <w:hideMark/>
          </w:tcPr>
          <w:p w14:paraId="5DD148BA"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293</w:t>
            </w:r>
          </w:p>
        </w:tc>
        <w:tc>
          <w:tcPr>
            <w:tcW w:w="709" w:type="dxa"/>
            <w:noWrap/>
            <w:hideMark/>
          </w:tcPr>
          <w:p w14:paraId="40DFF1E5"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299</w:t>
            </w:r>
          </w:p>
        </w:tc>
        <w:tc>
          <w:tcPr>
            <w:tcW w:w="709" w:type="dxa"/>
            <w:noWrap/>
            <w:hideMark/>
          </w:tcPr>
          <w:p w14:paraId="6A4FAE5D"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341</w:t>
            </w:r>
          </w:p>
        </w:tc>
        <w:tc>
          <w:tcPr>
            <w:tcW w:w="709" w:type="dxa"/>
            <w:noWrap/>
            <w:hideMark/>
          </w:tcPr>
          <w:p w14:paraId="0DE10D44"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1,174</w:t>
            </w:r>
          </w:p>
        </w:tc>
        <w:tc>
          <w:tcPr>
            <w:tcW w:w="708" w:type="dxa"/>
            <w:noWrap/>
            <w:hideMark/>
          </w:tcPr>
          <w:p w14:paraId="0DC69743"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849</w:t>
            </w:r>
          </w:p>
        </w:tc>
        <w:tc>
          <w:tcPr>
            <w:tcW w:w="816" w:type="dxa"/>
            <w:noWrap/>
            <w:hideMark/>
          </w:tcPr>
          <w:p w14:paraId="16A5A99A"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325</w:t>
            </w:r>
          </w:p>
        </w:tc>
        <w:tc>
          <w:tcPr>
            <w:tcW w:w="1169" w:type="dxa"/>
            <w:noWrap/>
            <w:hideMark/>
          </w:tcPr>
          <w:p w14:paraId="6C683EA0"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38%</w:t>
            </w:r>
          </w:p>
        </w:tc>
      </w:tr>
      <w:tr w:rsidR="00004B58" w:rsidRPr="00923467" w14:paraId="137ABD79" w14:textId="77777777" w:rsidTr="00004B58">
        <w:trPr>
          <w:trHeight w:val="263"/>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9D5AD2D" w14:textId="3ECED74E" w:rsidR="008737E8" w:rsidRPr="00DF68BE" w:rsidRDefault="008737E8" w:rsidP="00923467">
            <w:pPr>
              <w:rPr>
                <w:b w:val="0"/>
                <w:bCs w:val="0"/>
                <w:sz w:val="18"/>
                <w:szCs w:val="18"/>
              </w:rPr>
            </w:pPr>
            <w:r w:rsidRPr="00DF68BE">
              <w:rPr>
                <w:b w:val="0"/>
                <w:bCs w:val="0"/>
                <w:sz w:val="18"/>
                <w:szCs w:val="18"/>
              </w:rPr>
              <w:t>Excise on Petroleum</w:t>
            </w:r>
          </w:p>
        </w:tc>
        <w:tc>
          <w:tcPr>
            <w:tcW w:w="709" w:type="dxa"/>
            <w:noWrap/>
            <w:hideMark/>
          </w:tcPr>
          <w:p w14:paraId="25617AEE"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57</w:t>
            </w:r>
          </w:p>
        </w:tc>
        <w:tc>
          <w:tcPr>
            <w:tcW w:w="708" w:type="dxa"/>
            <w:noWrap/>
            <w:hideMark/>
          </w:tcPr>
          <w:p w14:paraId="27B5BF4C"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63</w:t>
            </w:r>
          </w:p>
        </w:tc>
        <w:tc>
          <w:tcPr>
            <w:tcW w:w="709" w:type="dxa"/>
            <w:noWrap/>
            <w:hideMark/>
          </w:tcPr>
          <w:p w14:paraId="0278A15A"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181</w:t>
            </w:r>
          </w:p>
        </w:tc>
        <w:tc>
          <w:tcPr>
            <w:tcW w:w="709" w:type="dxa"/>
            <w:noWrap/>
            <w:hideMark/>
          </w:tcPr>
          <w:p w14:paraId="68D2ABE5"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216</w:t>
            </w:r>
          </w:p>
        </w:tc>
        <w:tc>
          <w:tcPr>
            <w:tcW w:w="709" w:type="dxa"/>
            <w:noWrap/>
            <w:hideMark/>
          </w:tcPr>
          <w:p w14:paraId="751964DB"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516</w:t>
            </w:r>
          </w:p>
        </w:tc>
        <w:tc>
          <w:tcPr>
            <w:tcW w:w="708" w:type="dxa"/>
            <w:noWrap/>
            <w:hideMark/>
          </w:tcPr>
          <w:p w14:paraId="6A3F0F48"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311</w:t>
            </w:r>
          </w:p>
        </w:tc>
        <w:tc>
          <w:tcPr>
            <w:tcW w:w="816" w:type="dxa"/>
            <w:noWrap/>
            <w:hideMark/>
          </w:tcPr>
          <w:p w14:paraId="103A2263"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206</w:t>
            </w:r>
          </w:p>
        </w:tc>
        <w:tc>
          <w:tcPr>
            <w:tcW w:w="1169" w:type="dxa"/>
            <w:noWrap/>
            <w:hideMark/>
          </w:tcPr>
          <w:p w14:paraId="2145F2A7"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66%</w:t>
            </w:r>
          </w:p>
        </w:tc>
      </w:tr>
      <w:tr w:rsidR="00004B58" w:rsidRPr="00923467" w14:paraId="64AFA157" w14:textId="77777777" w:rsidTr="00004B5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6C38566" w14:textId="12181C18" w:rsidR="008737E8" w:rsidRPr="00DF68BE" w:rsidRDefault="008737E8" w:rsidP="00923467">
            <w:pPr>
              <w:rPr>
                <w:b w:val="0"/>
                <w:bCs w:val="0"/>
                <w:sz w:val="18"/>
                <w:szCs w:val="18"/>
              </w:rPr>
            </w:pPr>
            <w:r w:rsidRPr="00DF68BE">
              <w:rPr>
                <w:b w:val="0"/>
                <w:bCs w:val="0"/>
                <w:sz w:val="18"/>
                <w:szCs w:val="18"/>
              </w:rPr>
              <w:t>Other Excise</w:t>
            </w:r>
          </w:p>
        </w:tc>
        <w:tc>
          <w:tcPr>
            <w:tcW w:w="709" w:type="dxa"/>
            <w:noWrap/>
            <w:hideMark/>
          </w:tcPr>
          <w:p w14:paraId="75E18DF7"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18</w:t>
            </w:r>
          </w:p>
        </w:tc>
        <w:tc>
          <w:tcPr>
            <w:tcW w:w="708" w:type="dxa"/>
            <w:noWrap/>
            <w:hideMark/>
          </w:tcPr>
          <w:p w14:paraId="69103CDB"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26</w:t>
            </w:r>
          </w:p>
        </w:tc>
        <w:tc>
          <w:tcPr>
            <w:tcW w:w="709" w:type="dxa"/>
            <w:noWrap/>
            <w:hideMark/>
          </w:tcPr>
          <w:p w14:paraId="2EFB8EC7"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34</w:t>
            </w:r>
          </w:p>
        </w:tc>
        <w:tc>
          <w:tcPr>
            <w:tcW w:w="709" w:type="dxa"/>
            <w:noWrap/>
            <w:hideMark/>
          </w:tcPr>
          <w:p w14:paraId="03A12D62"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57</w:t>
            </w:r>
          </w:p>
        </w:tc>
        <w:tc>
          <w:tcPr>
            <w:tcW w:w="709" w:type="dxa"/>
            <w:noWrap/>
            <w:hideMark/>
          </w:tcPr>
          <w:p w14:paraId="5956A7D8"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135</w:t>
            </w:r>
          </w:p>
        </w:tc>
        <w:tc>
          <w:tcPr>
            <w:tcW w:w="708" w:type="dxa"/>
            <w:noWrap/>
            <w:hideMark/>
          </w:tcPr>
          <w:p w14:paraId="6C71FFDA"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79</w:t>
            </w:r>
          </w:p>
        </w:tc>
        <w:tc>
          <w:tcPr>
            <w:tcW w:w="816" w:type="dxa"/>
            <w:noWrap/>
            <w:hideMark/>
          </w:tcPr>
          <w:p w14:paraId="6C714E18"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56</w:t>
            </w:r>
          </w:p>
        </w:tc>
        <w:tc>
          <w:tcPr>
            <w:tcW w:w="1169" w:type="dxa"/>
            <w:noWrap/>
            <w:hideMark/>
          </w:tcPr>
          <w:p w14:paraId="51CDF151"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71%</w:t>
            </w:r>
          </w:p>
        </w:tc>
      </w:tr>
      <w:tr w:rsidR="00004B58" w:rsidRPr="00923467" w14:paraId="5D30DF20" w14:textId="77777777" w:rsidTr="00004B58">
        <w:trPr>
          <w:trHeight w:val="263"/>
        </w:trPr>
        <w:tc>
          <w:tcPr>
            <w:cnfStyle w:val="001000000000" w:firstRow="0" w:lastRow="0" w:firstColumn="1" w:lastColumn="0" w:oddVBand="0" w:evenVBand="0" w:oddHBand="0" w:evenHBand="0" w:firstRowFirstColumn="0" w:firstRowLastColumn="0" w:lastRowFirstColumn="0" w:lastRowLastColumn="0"/>
            <w:tcW w:w="3114" w:type="dxa"/>
            <w:noWrap/>
          </w:tcPr>
          <w:p w14:paraId="58A1B31A" w14:textId="77777777" w:rsidR="008737E8" w:rsidRPr="00DF68BE" w:rsidRDefault="008737E8" w:rsidP="00923467">
            <w:pPr>
              <w:rPr>
                <w:b w:val="0"/>
                <w:bCs w:val="0"/>
                <w:sz w:val="18"/>
                <w:szCs w:val="18"/>
              </w:rPr>
            </w:pPr>
          </w:p>
        </w:tc>
        <w:tc>
          <w:tcPr>
            <w:tcW w:w="709" w:type="dxa"/>
            <w:noWrap/>
          </w:tcPr>
          <w:p w14:paraId="4E60C9A8"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p>
        </w:tc>
        <w:tc>
          <w:tcPr>
            <w:tcW w:w="708" w:type="dxa"/>
            <w:noWrap/>
          </w:tcPr>
          <w:p w14:paraId="72250A5E"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noWrap/>
          </w:tcPr>
          <w:p w14:paraId="120BBE46"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noWrap/>
          </w:tcPr>
          <w:p w14:paraId="678F3C26"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noWrap/>
          </w:tcPr>
          <w:p w14:paraId="7D036AE6"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p>
        </w:tc>
        <w:tc>
          <w:tcPr>
            <w:tcW w:w="708" w:type="dxa"/>
            <w:noWrap/>
          </w:tcPr>
          <w:p w14:paraId="0728E561"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p>
        </w:tc>
        <w:tc>
          <w:tcPr>
            <w:tcW w:w="816" w:type="dxa"/>
            <w:noWrap/>
          </w:tcPr>
          <w:p w14:paraId="46F47C66"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p>
        </w:tc>
        <w:tc>
          <w:tcPr>
            <w:tcW w:w="1169" w:type="dxa"/>
            <w:noWrap/>
          </w:tcPr>
          <w:p w14:paraId="2C553DCE"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p>
        </w:tc>
      </w:tr>
      <w:tr w:rsidR="00004B58" w:rsidRPr="00923467" w14:paraId="2708A2C5" w14:textId="77777777" w:rsidTr="00004B5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0CD7C8B" w14:textId="065C185C" w:rsidR="008737E8" w:rsidRPr="00DF68BE" w:rsidRDefault="008737E8" w:rsidP="00923467">
            <w:pPr>
              <w:rPr>
                <w:sz w:val="18"/>
                <w:szCs w:val="18"/>
              </w:rPr>
            </w:pPr>
            <w:r w:rsidRPr="00DF68BE">
              <w:rPr>
                <w:sz w:val="18"/>
                <w:szCs w:val="18"/>
              </w:rPr>
              <w:t>Non-Tax Revenue Department (NTRD)</w:t>
            </w:r>
          </w:p>
        </w:tc>
        <w:tc>
          <w:tcPr>
            <w:tcW w:w="709" w:type="dxa"/>
            <w:noWrap/>
            <w:hideMark/>
          </w:tcPr>
          <w:p w14:paraId="262FB697"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605</w:t>
            </w:r>
          </w:p>
        </w:tc>
        <w:tc>
          <w:tcPr>
            <w:tcW w:w="708" w:type="dxa"/>
            <w:noWrap/>
            <w:hideMark/>
          </w:tcPr>
          <w:p w14:paraId="0F7C8D62"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518</w:t>
            </w:r>
          </w:p>
        </w:tc>
        <w:tc>
          <w:tcPr>
            <w:tcW w:w="709" w:type="dxa"/>
            <w:noWrap/>
            <w:hideMark/>
          </w:tcPr>
          <w:p w14:paraId="3848A9DD"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547</w:t>
            </w:r>
          </w:p>
        </w:tc>
        <w:tc>
          <w:tcPr>
            <w:tcW w:w="709" w:type="dxa"/>
            <w:noWrap/>
            <w:hideMark/>
          </w:tcPr>
          <w:p w14:paraId="56A96524"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618</w:t>
            </w:r>
          </w:p>
        </w:tc>
        <w:tc>
          <w:tcPr>
            <w:tcW w:w="709" w:type="dxa"/>
            <w:noWrap/>
            <w:hideMark/>
          </w:tcPr>
          <w:p w14:paraId="3B99F876"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2,289</w:t>
            </w:r>
          </w:p>
        </w:tc>
        <w:tc>
          <w:tcPr>
            <w:tcW w:w="708" w:type="dxa"/>
            <w:noWrap/>
            <w:hideMark/>
          </w:tcPr>
          <w:p w14:paraId="1CDD8D4D"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1,447</w:t>
            </w:r>
          </w:p>
        </w:tc>
        <w:tc>
          <w:tcPr>
            <w:tcW w:w="816" w:type="dxa"/>
            <w:noWrap/>
            <w:hideMark/>
          </w:tcPr>
          <w:p w14:paraId="7A8292EB"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841</w:t>
            </w:r>
          </w:p>
        </w:tc>
        <w:tc>
          <w:tcPr>
            <w:tcW w:w="1169" w:type="dxa"/>
            <w:noWrap/>
            <w:hideMark/>
          </w:tcPr>
          <w:p w14:paraId="7E4B3A4D"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58%</w:t>
            </w:r>
          </w:p>
        </w:tc>
      </w:tr>
      <w:tr w:rsidR="00004B58" w:rsidRPr="00923467" w14:paraId="0EA47550" w14:textId="77777777" w:rsidTr="00004B58">
        <w:trPr>
          <w:trHeight w:val="263"/>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15930B8" w14:textId="6B28373F" w:rsidR="008737E8" w:rsidRPr="00DF68BE" w:rsidRDefault="008737E8" w:rsidP="00923467">
            <w:pPr>
              <w:rPr>
                <w:b w:val="0"/>
                <w:bCs w:val="0"/>
                <w:sz w:val="18"/>
                <w:szCs w:val="18"/>
              </w:rPr>
            </w:pPr>
            <w:r w:rsidRPr="00DF68BE">
              <w:rPr>
                <w:b w:val="0"/>
                <w:bCs w:val="0"/>
                <w:sz w:val="18"/>
                <w:szCs w:val="18"/>
              </w:rPr>
              <w:t xml:space="preserve"> Mines Revenue </w:t>
            </w:r>
          </w:p>
        </w:tc>
        <w:tc>
          <w:tcPr>
            <w:tcW w:w="709" w:type="dxa"/>
            <w:noWrap/>
            <w:hideMark/>
          </w:tcPr>
          <w:p w14:paraId="25AEAB75"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170</w:t>
            </w:r>
          </w:p>
        </w:tc>
        <w:tc>
          <w:tcPr>
            <w:tcW w:w="708" w:type="dxa"/>
            <w:noWrap/>
            <w:hideMark/>
          </w:tcPr>
          <w:p w14:paraId="38F46C37"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167</w:t>
            </w:r>
          </w:p>
        </w:tc>
        <w:tc>
          <w:tcPr>
            <w:tcW w:w="709" w:type="dxa"/>
            <w:noWrap/>
            <w:hideMark/>
          </w:tcPr>
          <w:p w14:paraId="13E8431D"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168</w:t>
            </w:r>
          </w:p>
        </w:tc>
        <w:tc>
          <w:tcPr>
            <w:tcW w:w="709" w:type="dxa"/>
            <w:noWrap/>
            <w:hideMark/>
          </w:tcPr>
          <w:p w14:paraId="50636DCD"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194</w:t>
            </w:r>
          </w:p>
        </w:tc>
        <w:tc>
          <w:tcPr>
            <w:tcW w:w="709" w:type="dxa"/>
            <w:noWrap/>
            <w:hideMark/>
          </w:tcPr>
          <w:p w14:paraId="11782924"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699</w:t>
            </w:r>
          </w:p>
        </w:tc>
        <w:tc>
          <w:tcPr>
            <w:tcW w:w="708" w:type="dxa"/>
            <w:noWrap/>
            <w:hideMark/>
          </w:tcPr>
          <w:p w14:paraId="49CF117C"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414</w:t>
            </w:r>
          </w:p>
        </w:tc>
        <w:tc>
          <w:tcPr>
            <w:tcW w:w="816" w:type="dxa"/>
            <w:noWrap/>
            <w:hideMark/>
          </w:tcPr>
          <w:p w14:paraId="27DE9FDC"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284</w:t>
            </w:r>
          </w:p>
        </w:tc>
        <w:tc>
          <w:tcPr>
            <w:tcW w:w="1169" w:type="dxa"/>
            <w:noWrap/>
            <w:hideMark/>
          </w:tcPr>
          <w:p w14:paraId="22A77E49"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69%</w:t>
            </w:r>
          </w:p>
        </w:tc>
      </w:tr>
      <w:tr w:rsidR="00004B58" w:rsidRPr="00923467" w14:paraId="4661516E" w14:textId="77777777" w:rsidTr="00004B5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114" w:type="dxa"/>
            <w:noWrap/>
            <w:hideMark/>
          </w:tcPr>
          <w:p w14:paraId="563539C8" w14:textId="22CCA44C" w:rsidR="008737E8" w:rsidRPr="00DF68BE" w:rsidRDefault="008737E8" w:rsidP="00923467">
            <w:pPr>
              <w:rPr>
                <w:b w:val="0"/>
                <w:bCs w:val="0"/>
                <w:sz w:val="18"/>
                <w:szCs w:val="18"/>
              </w:rPr>
            </w:pPr>
            <w:r w:rsidRPr="00DF68BE">
              <w:rPr>
                <w:b w:val="0"/>
                <w:bCs w:val="0"/>
                <w:sz w:val="18"/>
                <w:szCs w:val="18"/>
              </w:rPr>
              <w:t xml:space="preserve"> Other Departments </w:t>
            </w:r>
          </w:p>
        </w:tc>
        <w:tc>
          <w:tcPr>
            <w:tcW w:w="709" w:type="dxa"/>
            <w:noWrap/>
            <w:hideMark/>
          </w:tcPr>
          <w:p w14:paraId="52F67E94"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435</w:t>
            </w:r>
          </w:p>
        </w:tc>
        <w:tc>
          <w:tcPr>
            <w:tcW w:w="708" w:type="dxa"/>
            <w:noWrap/>
            <w:hideMark/>
          </w:tcPr>
          <w:p w14:paraId="5562D433"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351</w:t>
            </w:r>
          </w:p>
        </w:tc>
        <w:tc>
          <w:tcPr>
            <w:tcW w:w="709" w:type="dxa"/>
            <w:noWrap/>
            <w:hideMark/>
          </w:tcPr>
          <w:p w14:paraId="4B737999"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380</w:t>
            </w:r>
          </w:p>
        </w:tc>
        <w:tc>
          <w:tcPr>
            <w:tcW w:w="709" w:type="dxa"/>
            <w:noWrap/>
            <w:hideMark/>
          </w:tcPr>
          <w:p w14:paraId="280CD0F4"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424</w:t>
            </w:r>
          </w:p>
        </w:tc>
        <w:tc>
          <w:tcPr>
            <w:tcW w:w="709" w:type="dxa"/>
            <w:noWrap/>
            <w:hideMark/>
          </w:tcPr>
          <w:p w14:paraId="0EB8E979"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1,590</w:t>
            </w:r>
          </w:p>
        </w:tc>
        <w:tc>
          <w:tcPr>
            <w:tcW w:w="708" w:type="dxa"/>
            <w:noWrap/>
            <w:hideMark/>
          </w:tcPr>
          <w:p w14:paraId="66E18FB6"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1,033</w:t>
            </w:r>
          </w:p>
        </w:tc>
        <w:tc>
          <w:tcPr>
            <w:tcW w:w="816" w:type="dxa"/>
            <w:noWrap/>
            <w:hideMark/>
          </w:tcPr>
          <w:p w14:paraId="76532144"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557</w:t>
            </w:r>
          </w:p>
        </w:tc>
        <w:tc>
          <w:tcPr>
            <w:tcW w:w="1169" w:type="dxa"/>
            <w:noWrap/>
            <w:hideMark/>
          </w:tcPr>
          <w:p w14:paraId="6E3019F9"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54%</w:t>
            </w:r>
          </w:p>
        </w:tc>
      </w:tr>
      <w:tr w:rsidR="00004B58" w:rsidRPr="00923467" w14:paraId="35EDDAC9" w14:textId="77777777" w:rsidTr="00004B58">
        <w:trPr>
          <w:trHeight w:val="263"/>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E7DB910" w14:textId="161F2CE2" w:rsidR="008737E8" w:rsidRPr="00DF68BE" w:rsidRDefault="008737E8" w:rsidP="00923467">
            <w:pPr>
              <w:rPr>
                <w:b w:val="0"/>
                <w:bCs w:val="0"/>
                <w:sz w:val="18"/>
                <w:szCs w:val="18"/>
              </w:rPr>
            </w:pPr>
            <w:r w:rsidRPr="00DF68BE">
              <w:rPr>
                <w:b w:val="0"/>
                <w:bCs w:val="0"/>
                <w:sz w:val="18"/>
                <w:szCs w:val="18"/>
              </w:rPr>
              <w:t xml:space="preserve"> Royalty On Fisheries</w:t>
            </w:r>
            <w:r w:rsidR="00A42DB0" w:rsidRPr="00DF68BE">
              <w:rPr>
                <w:b w:val="0"/>
                <w:bCs w:val="0"/>
                <w:sz w:val="18"/>
                <w:szCs w:val="18"/>
              </w:rPr>
              <w:t>,</w:t>
            </w:r>
            <w:r w:rsidRPr="00DF68BE">
              <w:rPr>
                <w:b w:val="0"/>
                <w:bCs w:val="0"/>
                <w:sz w:val="18"/>
                <w:szCs w:val="18"/>
              </w:rPr>
              <w:t xml:space="preserve"> </w:t>
            </w:r>
            <w:r w:rsidR="00A42DB0" w:rsidRPr="00DF68BE">
              <w:rPr>
                <w:b w:val="0"/>
                <w:bCs w:val="0"/>
                <w:sz w:val="18"/>
                <w:szCs w:val="18"/>
              </w:rPr>
              <w:t>e</w:t>
            </w:r>
            <w:r w:rsidRPr="00DF68BE">
              <w:rPr>
                <w:b w:val="0"/>
                <w:bCs w:val="0"/>
                <w:sz w:val="18"/>
                <w:szCs w:val="18"/>
              </w:rPr>
              <w:t>tc</w:t>
            </w:r>
            <w:r w:rsidR="00A42DB0" w:rsidRPr="00DF68BE">
              <w:rPr>
                <w:b w:val="0"/>
                <w:bCs w:val="0"/>
                <w:sz w:val="18"/>
                <w:szCs w:val="18"/>
              </w:rPr>
              <w:t>.</w:t>
            </w:r>
          </w:p>
        </w:tc>
        <w:tc>
          <w:tcPr>
            <w:tcW w:w="709" w:type="dxa"/>
            <w:noWrap/>
            <w:hideMark/>
          </w:tcPr>
          <w:p w14:paraId="583154F5"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15</w:t>
            </w:r>
          </w:p>
        </w:tc>
        <w:tc>
          <w:tcPr>
            <w:tcW w:w="708" w:type="dxa"/>
            <w:noWrap/>
            <w:hideMark/>
          </w:tcPr>
          <w:p w14:paraId="7795130B"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73</w:t>
            </w:r>
          </w:p>
        </w:tc>
        <w:tc>
          <w:tcPr>
            <w:tcW w:w="709" w:type="dxa"/>
            <w:noWrap/>
            <w:hideMark/>
          </w:tcPr>
          <w:p w14:paraId="2D08773F"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41</w:t>
            </w:r>
          </w:p>
        </w:tc>
        <w:tc>
          <w:tcPr>
            <w:tcW w:w="709" w:type="dxa"/>
            <w:noWrap/>
            <w:hideMark/>
          </w:tcPr>
          <w:p w14:paraId="38D3753E"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51</w:t>
            </w:r>
          </w:p>
        </w:tc>
        <w:tc>
          <w:tcPr>
            <w:tcW w:w="709" w:type="dxa"/>
            <w:noWrap/>
            <w:hideMark/>
          </w:tcPr>
          <w:p w14:paraId="23459EB2"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179</w:t>
            </w:r>
          </w:p>
        </w:tc>
        <w:tc>
          <w:tcPr>
            <w:tcW w:w="708" w:type="dxa"/>
            <w:noWrap/>
            <w:hideMark/>
          </w:tcPr>
          <w:p w14:paraId="40E5DDF8"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101</w:t>
            </w:r>
          </w:p>
        </w:tc>
        <w:tc>
          <w:tcPr>
            <w:tcW w:w="816" w:type="dxa"/>
            <w:noWrap/>
            <w:hideMark/>
          </w:tcPr>
          <w:p w14:paraId="4D813BA0"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78</w:t>
            </w:r>
          </w:p>
        </w:tc>
        <w:tc>
          <w:tcPr>
            <w:tcW w:w="1169" w:type="dxa"/>
            <w:noWrap/>
            <w:hideMark/>
          </w:tcPr>
          <w:p w14:paraId="71D93C5E"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77%</w:t>
            </w:r>
          </w:p>
        </w:tc>
      </w:tr>
      <w:tr w:rsidR="00004B58" w:rsidRPr="00923467" w14:paraId="5A866305" w14:textId="77777777" w:rsidTr="00004B5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0EF1595" w14:textId="00160B9E" w:rsidR="008737E8" w:rsidRPr="00004B58" w:rsidRDefault="008737E8" w:rsidP="00923467">
            <w:pPr>
              <w:rPr>
                <w:sz w:val="18"/>
                <w:szCs w:val="18"/>
              </w:rPr>
            </w:pPr>
            <w:r w:rsidRPr="00004B58">
              <w:rPr>
                <w:sz w:val="18"/>
                <w:szCs w:val="18"/>
              </w:rPr>
              <w:t xml:space="preserve">Parastatals (Cargo </w:t>
            </w:r>
            <w:proofErr w:type="spellStart"/>
            <w:r w:rsidRPr="00004B58">
              <w:rPr>
                <w:sz w:val="18"/>
                <w:szCs w:val="18"/>
              </w:rPr>
              <w:t>Trk&amp;Bollore</w:t>
            </w:r>
            <w:proofErr w:type="spellEnd"/>
            <w:r w:rsidRPr="00004B58">
              <w:rPr>
                <w:sz w:val="18"/>
                <w:szCs w:val="18"/>
              </w:rPr>
              <w:t>)</w:t>
            </w:r>
          </w:p>
        </w:tc>
        <w:tc>
          <w:tcPr>
            <w:tcW w:w="709" w:type="dxa"/>
            <w:noWrap/>
            <w:hideMark/>
          </w:tcPr>
          <w:p w14:paraId="6F1BB052"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123</w:t>
            </w:r>
          </w:p>
        </w:tc>
        <w:tc>
          <w:tcPr>
            <w:tcW w:w="708" w:type="dxa"/>
            <w:noWrap/>
            <w:hideMark/>
          </w:tcPr>
          <w:p w14:paraId="144826AA"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41</w:t>
            </w:r>
          </w:p>
        </w:tc>
        <w:tc>
          <w:tcPr>
            <w:tcW w:w="709" w:type="dxa"/>
            <w:noWrap/>
            <w:hideMark/>
          </w:tcPr>
          <w:p w14:paraId="2F0003ED"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41</w:t>
            </w:r>
          </w:p>
        </w:tc>
        <w:tc>
          <w:tcPr>
            <w:tcW w:w="709" w:type="dxa"/>
            <w:noWrap/>
            <w:hideMark/>
          </w:tcPr>
          <w:p w14:paraId="2EA36F78"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45</w:t>
            </w:r>
          </w:p>
        </w:tc>
        <w:tc>
          <w:tcPr>
            <w:tcW w:w="709" w:type="dxa"/>
            <w:noWrap/>
            <w:hideMark/>
          </w:tcPr>
          <w:p w14:paraId="4EF8164D"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250</w:t>
            </w:r>
          </w:p>
        </w:tc>
        <w:tc>
          <w:tcPr>
            <w:tcW w:w="708" w:type="dxa"/>
            <w:noWrap/>
            <w:hideMark/>
          </w:tcPr>
          <w:p w14:paraId="1E7C5B4C"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176</w:t>
            </w:r>
          </w:p>
        </w:tc>
        <w:tc>
          <w:tcPr>
            <w:tcW w:w="816" w:type="dxa"/>
            <w:noWrap/>
            <w:hideMark/>
          </w:tcPr>
          <w:p w14:paraId="23C7257D"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74</w:t>
            </w:r>
          </w:p>
        </w:tc>
        <w:tc>
          <w:tcPr>
            <w:tcW w:w="1169" w:type="dxa"/>
            <w:noWrap/>
            <w:hideMark/>
          </w:tcPr>
          <w:p w14:paraId="29F5ECB3"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42%</w:t>
            </w:r>
          </w:p>
        </w:tc>
      </w:tr>
      <w:tr w:rsidR="00004B58" w:rsidRPr="00923467" w14:paraId="79F6F384" w14:textId="77777777" w:rsidTr="00004B58">
        <w:trPr>
          <w:trHeight w:val="255"/>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091A868" w14:textId="67472640" w:rsidR="008737E8" w:rsidRPr="00004B58" w:rsidRDefault="008737E8" w:rsidP="00923467">
            <w:pPr>
              <w:rPr>
                <w:sz w:val="18"/>
                <w:szCs w:val="18"/>
              </w:rPr>
            </w:pPr>
            <w:r w:rsidRPr="00004B58">
              <w:rPr>
                <w:sz w:val="18"/>
                <w:szCs w:val="18"/>
              </w:rPr>
              <w:t>Other Revenues</w:t>
            </w:r>
          </w:p>
        </w:tc>
        <w:tc>
          <w:tcPr>
            <w:tcW w:w="709" w:type="dxa"/>
            <w:noWrap/>
            <w:hideMark/>
          </w:tcPr>
          <w:p w14:paraId="1EF685B6"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297</w:t>
            </w:r>
          </w:p>
        </w:tc>
        <w:tc>
          <w:tcPr>
            <w:tcW w:w="708" w:type="dxa"/>
            <w:noWrap/>
            <w:hideMark/>
          </w:tcPr>
          <w:p w14:paraId="72744831"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238</w:t>
            </w:r>
          </w:p>
        </w:tc>
        <w:tc>
          <w:tcPr>
            <w:tcW w:w="709" w:type="dxa"/>
            <w:noWrap/>
            <w:hideMark/>
          </w:tcPr>
          <w:p w14:paraId="72027F07"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298</w:t>
            </w:r>
          </w:p>
        </w:tc>
        <w:tc>
          <w:tcPr>
            <w:tcW w:w="709" w:type="dxa"/>
            <w:noWrap/>
            <w:hideMark/>
          </w:tcPr>
          <w:p w14:paraId="64D019DD"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328</w:t>
            </w:r>
          </w:p>
        </w:tc>
        <w:tc>
          <w:tcPr>
            <w:tcW w:w="709" w:type="dxa"/>
            <w:noWrap/>
            <w:hideMark/>
          </w:tcPr>
          <w:p w14:paraId="1E7D29E6"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1,161</w:t>
            </w:r>
          </w:p>
        </w:tc>
        <w:tc>
          <w:tcPr>
            <w:tcW w:w="708" w:type="dxa"/>
            <w:noWrap/>
            <w:hideMark/>
          </w:tcPr>
          <w:p w14:paraId="42BD24A3"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756</w:t>
            </w:r>
          </w:p>
        </w:tc>
        <w:tc>
          <w:tcPr>
            <w:tcW w:w="816" w:type="dxa"/>
            <w:noWrap/>
            <w:hideMark/>
          </w:tcPr>
          <w:p w14:paraId="6D335103"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405</w:t>
            </w:r>
          </w:p>
        </w:tc>
        <w:tc>
          <w:tcPr>
            <w:tcW w:w="1169" w:type="dxa"/>
            <w:noWrap/>
            <w:hideMark/>
          </w:tcPr>
          <w:p w14:paraId="64B7CB16"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54%</w:t>
            </w:r>
          </w:p>
        </w:tc>
      </w:tr>
      <w:tr w:rsidR="00004B58" w:rsidRPr="00923467" w14:paraId="139F4601" w14:textId="77777777" w:rsidTr="00004B5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1E8F7B5" w14:textId="45099B10" w:rsidR="008737E8" w:rsidRPr="00004B58" w:rsidRDefault="008737E8" w:rsidP="00923467">
            <w:pPr>
              <w:rPr>
                <w:sz w:val="18"/>
                <w:szCs w:val="18"/>
              </w:rPr>
            </w:pPr>
            <w:r w:rsidRPr="00004B58">
              <w:rPr>
                <w:sz w:val="18"/>
                <w:szCs w:val="18"/>
              </w:rPr>
              <w:t>TSA</w:t>
            </w:r>
          </w:p>
        </w:tc>
        <w:tc>
          <w:tcPr>
            <w:tcW w:w="709" w:type="dxa"/>
            <w:noWrap/>
            <w:hideMark/>
          </w:tcPr>
          <w:p w14:paraId="31738BD5"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240</w:t>
            </w:r>
          </w:p>
        </w:tc>
        <w:tc>
          <w:tcPr>
            <w:tcW w:w="708" w:type="dxa"/>
            <w:noWrap/>
            <w:hideMark/>
          </w:tcPr>
          <w:p w14:paraId="38C8433F"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207</w:t>
            </w:r>
          </w:p>
        </w:tc>
        <w:tc>
          <w:tcPr>
            <w:tcW w:w="709" w:type="dxa"/>
            <w:noWrap/>
            <w:hideMark/>
          </w:tcPr>
          <w:p w14:paraId="75C88BB2"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254</w:t>
            </w:r>
          </w:p>
        </w:tc>
        <w:tc>
          <w:tcPr>
            <w:tcW w:w="709" w:type="dxa"/>
            <w:noWrap/>
            <w:hideMark/>
          </w:tcPr>
          <w:p w14:paraId="29A41444"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275</w:t>
            </w:r>
          </w:p>
        </w:tc>
        <w:tc>
          <w:tcPr>
            <w:tcW w:w="709" w:type="dxa"/>
            <w:noWrap/>
            <w:hideMark/>
          </w:tcPr>
          <w:p w14:paraId="16AA3E10"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975</w:t>
            </w:r>
          </w:p>
        </w:tc>
        <w:tc>
          <w:tcPr>
            <w:tcW w:w="708" w:type="dxa"/>
            <w:noWrap/>
            <w:hideMark/>
          </w:tcPr>
          <w:p w14:paraId="1C1B989F"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613</w:t>
            </w:r>
          </w:p>
        </w:tc>
        <w:tc>
          <w:tcPr>
            <w:tcW w:w="816" w:type="dxa"/>
            <w:noWrap/>
            <w:hideMark/>
          </w:tcPr>
          <w:p w14:paraId="69BAD710"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362</w:t>
            </w:r>
          </w:p>
        </w:tc>
        <w:tc>
          <w:tcPr>
            <w:tcW w:w="1169" w:type="dxa"/>
            <w:noWrap/>
            <w:hideMark/>
          </w:tcPr>
          <w:p w14:paraId="3FD96FB5"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59%</w:t>
            </w:r>
          </w:p>
        </w:tc>
      </w:tr>
      <w:tr w:rsidR="00004B58" w:rsidRPr="00923467" w14:paraId="474A4483" w14:textId="77777777" w:rsidTr="00004B58">
        <w:trPr>
          <w:trHeight w:val="263"/>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04D4045" w14:textId="77777777" w:rsidR="008737E8" w:rsidRPr="00004B58" w:rsidRDefault="008737E8" w:rsidP="00923467">
            <w:pPr>
              <w:rPr>
                <w:sz w:val="18"/>
                <w:szCs w:val="18"/>
              </w:rPr>
            </w:pPr>
            <w:r w:rsidRPr="00004B58">
              <w:rPr>
                <w:sz w:val="18"/>
                <w:szCs w:val="18"/>
              </w:rPr>
              <w:t>Timber</w:t>
            </w:r>
          </w:p>
        </w:tc>
        <w:tc>
          <w:tcPr>
            <w:tcW w:w="709" w:type="dxa"/>
            <w:noWrap/>
            <w:hideMark/>
          </w:tcPr>
          <w:p w14:paraId="0EA781D8"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w:t>
            </w:r>
          </w:p>
        </w:tc>
        <w:tc>
          <w:tcPr>
            <w:tcW w:w="708" w:type="dxa"/>
            <w:noWrap/>
            <w:hideMark/>
          </w:tcPr>
          <w:p w14:paraId="4B2CE8BA"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w:t>
            </w:r>
          </w:p>
        </w:tc>
        <w:tc>
          <w:tcPr>
            <w:tcW w:w="709" w:type="dxa"/>
            <w:noWrap/>
            <w:hideMark/>
          </w:tcPr>
          <w:p w14:paraId="14E8F653"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w:t>
            </w:r>
          </w:p>
        </w:tc>
        <w:tc>
          <w:tcPr>
            <w:tcW w:w="709" w:type="dxa"/>
            <w:noWrap/>
            <w:hideMark/>
          </w:tcPr>
          <w:p w14:paraId="483E7DF5"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w:t>
            </w:r>
          </w:p>
        </w:tc>
        <w:tc>
          <w:tcPr>
            <w:tcW w:w="709" w:type="dxa"/>
            <w:noWrap/>
            <w:hideMark/>
          </w:tcPr>
          <w:p w14:paraId="2072F580"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w:t>
            </w:r>
          </w:p>
        </w:tc>
        <w:tc>
          <w:tcPr>
            <w:tcW w:w="708" w:type="dxa"/>
            <w:noWrap/>
            <w:hideMark/>
          </w:tcPr>
          <w:p w14:paraId="7540ECA3"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59</w:t>
            </w:r>
          </w:p>
        </w:tc>
        <w:tc>
          <w:tcPr>
            <w:tcW w:w="816" w:type="dxa"/>
            <w:noWrap/>
            <w:hideMark/>
          </w:tcPr>
          <w:p w14:paraId="56C331CF"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         59</w:t>
            </w:r>
          </w:p>
        </w:tc>
        <w:tc>
          <w:tcPr>
            <w:tcW w:w="1169" w:type="dxa"/>
            <w:noWrap/>
            <w:hideMark/>
          </w:tcPr>
          <w:p w14:paraId="195AB123"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-100%</w:t>
            </w:r>
          </w:p>
        </w:tc>
      </w:tr>
      <w:tr w:rsidR="00004B58" w:rsidRPr="00923467" w14:paraId="6DAED242" w14:textId="77777777" w:rsidTr="00004B5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733234B" w14:textId="77777777" w:rsidR="008737E8" w:rsidRPr="00004B58" w:rsidRDefault="008737E8" w:rsidP="00923467">
            <w:pPr>
              <w:rPr>
                <w:sz w:val="18"/>
                <w:szCs w:val="18"/>
              </w:rPr>
            </w:pPr>
            <w:r w:rsidRPr="00004B58">
              <w:rPr>
                <w:sz w:val="18"/>
                <w:szCs w:val="18"/>
              </w:rPr>
              <w:t>Other MDAs</w:t>
            </w:r>
          </w:p>
        </w:tc>
        <w:tc>
          <w:tcPr>
            <w:tcW w:w="709" w:type="dxa"/>
            <w:noWrap/>
            <w:hideMark/>
          </w:tcPr>
          <w:p w14:paraId="4FDDB595"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56</w:t>
            </w:r>
          </w:p>
        </w:tc>
        <w:tc>
          <w:tcPr>
            <w:tcW w:w="708" w:type="dxa"/>
            <w:noWrap/>
            <w:hideMark/>
          </w:tcPr>
          <w:p w14:paraId="078BFDF5"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31</w:t>
            </w:r>
          </w:p>
        </w:tc>
        <w:tc>
          <w:tcPr>
            <w:tcW w:w="709" w:type="dxa"/>
            <w:noWrap/>
            <w:hideMark/>
          </w:tcPr>
          <w:p w14:paraId="209A57E7"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45</w:t>
            </w:r>
          </w:p>
        </w:tc>
        <w:tc>
          <w:tcPr>
            <w:tcW w:w="709" w:type="dxa"/>
            <w:noWrap/>
            <w:hideMark/>
          </w:tcPr>
          <w:p w14:paraId="5C2AFFB9"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53</w:t>
            </w:r>
          </w:p>
        </w:tc>
        <w:tc>
          <w:tcPr>
            <w:tcW w:w="709" w:type="dxa"/>
            <w:noWrap/>
            <w:hideMark/>
          </w:tcPr>
          <w:p w14:paraId="78A14EFE"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186</w:t>
            </w:r>
          </w:p>
        </w:tc>
        <w:tc>
          <w:tcPr>
            <w:tcW w:w="708" w:type="dxa"/>
            <w:noWrap/>
            <w:hideMark/>
          </w:tcPr>
          <w:p w14:paraId="5F6070F7"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84</w:t>
            </w:r>
          </w:p>
        </w:tc>
        <w:tc>
          <w:tcPr>
            <w:tcW w:w="816" w:type="dxa"/>
            <w:noWrap/>
            <w:hideMark/>
          </w:tcPr>
          <w:p w14:paraId="11DA95F7"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102</w:t>
            </w:r>
          </w:p>
        </w:tc>
        <w:tc>
          <w:tcPr>
            <w:tcW w:w="1169" w:type="dxa"/>
            <w:noWrap/>
            <w:hideMark/>
          </w:tcPr>
          <w:p w14:paraId="09B7DD3B" w14:textId="77777777" w:rsidR="008737E8" w:rsidRPr="00DF68BE" w:rsidRDefault="008737E8" w:rsidP="00923467">
            <w:pPr>
              <w:cnfStyle w:val="000000100000" w:firstRow="0" w:lastRow="0" w:firstColumn="0" w:lastColumn="0" w:oddVBand="0" w:evenVBand="0" w:oddHBand="1" w:evenHBand="0" w:firstRowFirstColumn="0" w:firstRowLastColumn="0" w:lastRowFirstColumn="0" w:lastRowLastColumn="0"/>
              <w:rPr>
                <w:sz w:val="18"/>
                <w:szCs w:val="18"/>
              </w:rPr>
            </w:pPr>
            <w:r w:rsidRPr="00DF68BE">
              <w:rPr>
                <w:sz w:val="18"/>
                <w:szCs w:val="18"/>
              </w:rPr>
              <w:t>122%</w:t>
            </w:r>
          </w:p>
        </w:tc>
      </w:tr>
      <w:tr w:rsidR="00004B58" w:rsidRPr="00923467" w14:paraId="4F6CBA44" w14:textId="77777777" w:rsidTr="00004B58">
        <w:trPr>
          <w:trHeight w:val="27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6C52629" w14:textId="77777777" w:rsidR="008737E8" w:rsidRPr="00DF68BE" w:rsidRDefault="008737E8" w:rsidP="00923467">
            <w:pPr>
              <w:rPr>
                <w:b w:val="0"/>
                <w:bCs w:val="0"/>
                <w:sz w:val="18"/>
                <w:szCs w:val="18"/>
              </w:rPr>
            </w:pPr>
            <w:r w:rsidRPr="00DF68BE">
              <w:rPr>
                <w:sz w:val="18"/>
                <w:szCs w:val="18"/>
              </w:rPr>
              <w:t>RUC</w:t>
            </w:r>
          </w:p>
        </w:tc>
        <w:tc>
          <w:tcPr>
            <w:tcW w:w="709" w:type="dxa"/>
            <w:noWrap/>
            <w:hideMark/>
          </w:tcPr>
          <w:p w14:paraId="3455DA39"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49</w:t>
            </w:r>
          </w:p>
        </w:tc>
        <w:tc>
          <w:tcPr>
            <w:tcW w:w="708" w:type="dxa"/>
            <w:noWrap/>
            <w:hideMark/>
          </w:tcPr>
          <w:p w14:paraId="5CA182B0"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37</w:t>
            </w:r>
          </w:p>
        </w:tc>
        <w:tc>
          <w:tcPr>
            <w:tcW w:w="709" w:type="dxa"/>
            <w:noWrap/>
            <w:hideMark/>
          </w:tcPr>
          <w:p w14:paraId="3B1F8CCE"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55</w:t>
            </w:r>
          </w:p>
        </w:tc>
        <w:tc>
          <w:tcPr>
            <w:tcW w:w="709" w:type="dxa"/>
            <w:noWrap/>
            <w:hideMark/>
          </w:tcPr>
          <w:p w14:paraId="44697FC5"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57</w:t>
            </w:r>
          </w:p>
        </w:tc>
        <w:tc>
          <w:tcPr>
            <w:tcW w:w="709" w:type="dxa"/>
            <w:noWrap/>
            <w:hideMark/>
          </w:tcPr>
          <w:p w14:paraId="1E57869B"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198</w:t>
            </w:r>
          </w:p>
        </w:tc>
        <w:tc>
          <w:tcPr>
            <w:tcW w:w="708" w:type="dxa"/>
            <w:noWrap/>
            <w:hideMark/>
          </w:tcPr>
          <w:p w14:paraId="1ED39A37"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172</w:t>
            </w:r>
          </w:p>
        </w:tc>
        <w:tc>
          <w:tcPr>
            <w:tcW w:w="816" w:type="dxa"/>
            <w:noWrap/>
            <w:hideMark/>
          </w:tcPr>
          <w:p w14:paraId="36CFE268"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26</w:t>
            </w:r>
          </w:p>
        </w:tc>
        <w:tc>
          <w:tcPr>
            <w:tcW w:w="1169" w:type="dxa"/>
            <w:noWrap/>
            <w:hideMark/>
          </w:tcPr>
          <w:p w14:paraId="602D92FC" w14:textId="77777777" w:rsidR="008737E8" w:rsidRPr="00DF68BE" w:rsidRDefault="008737E8" w:rsidP="00923467">
            <w:pPr>
              <w:cnfStyle w:val="000000000000" w:firstRow="0" w:lastRow="0" w:firstColumn="0" w:lastColumn="0" w:oddVBand="0" w:evenVBand="0" w:oddHBand="0" w:evenHBand="0" w:firstRowFirstColumn="0" w:firstRowLastColumn="0" w:lastRowFirstColumn="0" w:lastRowLastColumn="0"/>
              <w:rPr>
                <w:sz w:val="18"/>
                <w:szCs w:val="18"/>
              </w:rPr>
            </w:pPr>
            <w:r w:rsidRPr="00DF68BE">
              <w:rPr>
                <w:sz w:val="18"/>
                <w:szCs w:val="18"/>
              </w:rPr>
              <w:t>15%</w:t>
            </w:r>
          </w:p>
        </w:tc>
      </w:tr>
    </w:tbl>
    <w:p w14:paraId="36EB2697" w14:textId="4E8BC6EA" w:rsidR="002E29B9" w:rsidRPr="00E12E6B" w:rsidRDefault="00A42DB0" w:rsidP="00E12E6B">
      <w:pPr>
        <w:pStyle w:val="Caption"/>
        <w:rPr>
          <w:b/>
          <w:bCs/>
          <w:color w:val="002060"/>
          <w:sz w:val="28"/>
          <w:szCs w:val="28"/>
        </w:rPr>
      </w:pPr>
      <w:bookmarkStart w:id="119" w:name="_Toc137831163"/>
      <w:r w:rsidRPr="00923467">
        <w:t xml:space="preserve">Table </w:t>
      </w:r>
      <w:r w:rsidRPr="00923467">
        <w:fldChar w:fldCharType="begin"/>
      </w:r>
      <w:r w:rsidRPr="00923467">
        <w:instrText xml:space="preserve"> SEQ Table \* ARABIC </w:instrText>
      </w:r>
      <w:r w:rsidRPr="00923467">
        <w:fldChar w:fldCharType="separate"/>
      </w:r>
      <w:r w:rsidR="00E12E6B">
        <w:rPr>
          <w:noProof/>
        </w:rPr>
        <w:t>34</w:t>
      </w:r>
      <w:r w:rsidRPr="00923467">
        <w:fldChar w:fldCharType="end"/>
      </w:r>
      <w:r w:rsidRPr="00923467">
        <w:t>: Quarterly Profile Target Breakdown of Revised 2023 Revenue Target</w:t>
      </w:r>
      <w:bookmarkEnd w:id="119"/>
    </w:p>
    <w:p w14:paraId="38455BED" w14:textId="77777777" w:rsidR="00004B58" w:rsidRPr="00923467" w:rsidRDefault="00004B58" w:rsidP="00923467"/>
    <w:p w14:paraId="73F2B893" w14:textId="77777777" w:rsidR="0019531F" w:rsidRDefault="0019531F" w:rsidP="00923467">
      <w:pPr>
        <w:pStyle w:val="Heading2"/>
      </w:pPr>
      <w:bookmarkStart w:id="120" w:name="_Toc137831124"/>
    </w:p>
    <w:p w14:paraId="72FC498D" w14:textId="6EACBD9A" w:rsidR="002E29B9" w:rsidRPr="00923467" w:rsidRDefault="002E29B9" w:rsidP="00923467">
      <w:pPr>
        <w:pStyle w:val="Heading2"/>
      </w:pPr>
      <w:r w:rsidRPr="00923467">
        <w:t xml:space="preserve">REVENUE ADMINISTRATION REFORMS AND OUTLOOK </w:t>
      </w:r>
      <w:r w:rsidR="00A42DB0" w:rsidRPr="00923467">
        <w:t xml:space="preserve">IN </w:t>
      </w:r>
      <w:r w:rsidRPr="00923467">
        <w:t>THE MEDIUM TERM</w:t>
      </w:r>
      <w:bookmarkEnd w:id="120"/>
    </w:p>
    <w:p w14:paraId="79FA43D7" w14:textId="300EE248" w:rsidR="00A42DB0" w:rsidRDefault="002E29B9" w:rsidP="00923467">
      <w:r w:rsidRPr="00923467">
        <w:t>Building on the achievement of the last five years, and being cognizant of the challenges outlined above, the NRA is poised to raise revenue administration to levels that provide government with adequate revenues to finance its development projects and effectively run its public service, and ensure the institution is seen as a national and international reference for excellent public and revenue administration. In this section, we outline the revenue administration reforms to be implemented in the short term (2023) and the outlook for revenue administration in the medium term (on to 2027).</w:t>
      </w:r>
    </w:p>
    <w:p w14:paraId="74AD3A5E" w14:textId="77777777" w:rsidR="00004B58" w:rsidRPr="00923467" w:rsidRDefault="00004B58" w:rsidP="00923467"/>
    <w:p w14:paraId="72DD71B7" w14:textId="34D84FBA" w:rsidR="00004B58" w:rsidRPr="00004B58" w:rsidRDefault="002E29B9" w:rsidP="00E12E6B">
      <w:pPr>
        <w:pStyle w:val="Heading3"/>
      </w:pPr>
      <w:bookmarkStart w:id="121" w:name="_Toc137831125"/>
      <w:r w:rsidRPr="00923467">
        <w:t>Reforms to be Completed by December 2023</w:t>
      </w:r>
      <w:bookmarkEnd w:id="121"/>
    </w:p>
    <w:p w14:paraId="690D24B6" w14:textId="649A8621" w:rsidR="002E29B9" w:rsidRDefault="002E29B9" w:rsidP="00923467">
      <w:r w:rsidRPr="00923467">
        <w:rPr>
          <w:b/>
          <w:bCs/>
        </w:rPr>
        <w:t>Development and Implementation of the Medium-Term Revenue Strategy (MTRS)</w:t>
      </w:r>
      <w:r w:rsidR="00A42DB0" w:rsidRPr="00923467">
        <w:t>.</w:t>
      </w:r>
      <w:r w:rsidRPr="00923467">
        <w:t xml:space="preserve"> The NRA together with the Ministry of Finance, with the support of development partners, have developed a Medium-Term Revenue Strategy that outlines the tax policy and tax administration measures for sustainable revenue collection in the medium term. The document was endorsed by Cabinet in April 2023 to commence implementation on to 2027.</w:t>
      </w:r>
    </w:p>
    <w:p w14:paraId="41CCFC61" w14:textId="77777777" w:rsidR="00004B58" w:rsidRPr="00923467" w:rsidRDefault="00004B58" w:rsidP="00923467"/>
    <w:p w14:paraId="384644E4" w14:textId="77777777" w:rsidR="002E29B9" w:rsidRDefault="002E29B9" w:rsidP="00923467">
      <w:r w:rsidRPr="00923467">
        <w:rPr>
          <w:b/>
          <w:bCs/>
        </w:rPr>
        <w:t>Operationalization of a Revenue Court to speedily try tax cases</w:t>
      </w:r>
      <w:r w:rsidRPr="00923467">
        <w:t>. Arrangements are almost concluded between the NRA and the Judiciary for establishment and commencement of the Revenue Court. A Compendium of offences, penalties and fines was completed in 2022 to guide the judges on tax matters brought before them. A study tour to Rwanda was carried out in 2022 to understand how a similar court operates and is set up, to better guide Sierra Leone’s preparation. Space has been provided for the said court and judges allocated. We are hoping to commence court sittings before the close of 2023.</w:t>
      </w:r>
    </w:p>
    <w:p w14:paraId="405A273D" w14:textId="77777777" w:rsidR="00004B58" w:rsidRPr="00923467" w:rsidRDefault="00004B58" w:rsidP="00923467"/>
    <w:p w14:paraId="7ACDB272" w14:textId="3D474DC6" w:rsidR="002E29B9" w:rsidRDefault="002E29B9" w:rsidP="00923467">
      <w:r w:rsidRPr="00923467">
        <w:rPr>
          <w:b/>
          <w:bCs/>
        </w:rPr>
        <w:t>Expansion of Mobile Payment A</w:t>
      </w:r>
      <w:r w:rsidR="00AE55EE" w:rsidRPr="00923467">
        <w:rPr>
          <w:b/>
          <w:bCs/>
        </w:rPr>
        <w:t>pp</w:t>
      </w:r>
      <w:r w:rsidRPr="00923467">
        <w:rPr>
          <w:b/>
          <w:bCs/>
        </w:rPr>
        <w:t xml:space="preserve"> to SMEs to capture the swift payment of domestic taxes by this set of taxpayers</w:t>
      </w:r>
      <w:r w:rsidRPr="00923467">
        <w:t xml:space="preserve">. Following the development and operationalisation of the </w:t>
      </w:r>
      <w:r w:rsidR="00AE55EE" w:rsidRPr="00923467">
        <w:t>M</w:t>
      </w:r>
      <w:r w:rsidRPr="00923467">
        <w:t xml:space="preserve">obile </w:t>
      </w:r>
      <w:r w:rsidR="00AE55EE" w:rsidRPr="00923467">
        <w:t>P</w:t>
      </w:r>
      <w:r w:rsidRPr="00923467">
        <w:t xml:space="preserve">ayment App for NTR payers in 2022, the Authority has </w:t>
      </w:r>
      <w:r w:rsidR="00AE55EE" w:rsidRPr="00923467">
        <w:t xml:space="preserve">begun </w:t>
      </w:r>
      <w:r w:rsidRPr="00923467">
        <w:t xml:space="preserve">working with the vendors to expand the use of the App to SMEs in their payments of domestic taxes and customs duties at the borders particularly. Implementation is set to commence with income tax payment by owners of vehicles, </w:t>
      </w:r>
      <w:proofErr w:type="spellStart"/>
      <w:r w:rsidRPr="00923467">
        <w:t>Kekes</w:t>
      </w:r>
      <w:proofErr w:type="spellEnd"/>
      <w:r w:rsidRPr="00923467">
        <w:t xml:space="preserve"> and motorbikes before rolling ou</w:t>
      </w:r>
      <w:r w:rsidR="00AE55EE" w:rsidRPr="00923467">
        <w:t>t</w:t>
      </w:r>
      <w:r w:rsidRPr="00923467">
        <w:t xml:space="preserve"> to other sectors.</w:t>
      </w:r>
    </w:p>
    <w:p w14:paraId="081A4ACC" w14:textId="77777777" w:rsidR="00004B58" w:rsidRPr="00923467" w:rsidRDefault="00004B58" w:rsidP="00923467"/>
    <w:p w14:paraId="4043B487" w14:textId="77777777" w:rsidR="002E29B9" w:rsidRDefault="002E29B9" w:rsidP="00923467">
      <w:r w:rsidRPr="00923467">
        <w:rPr>
          <w:b/>
          <w:bCs/>
        </w:rPr>
        <w:t>Make use of the National Switch system to ensure all tax payments are done electronically</w:t>
      </w:r>
      <w:r w:rsidRPr="00923467">
        <w:t>. With support from World Bank, the Bank of Sierra Leone is rolling out the National Switch system that will ensure swift interbank transactions but also the swift transfer of revenue payments to the Consolidated Revenue Fund, without the usual deliberate delays through, and by, the transit banks. By close of 2023, all revenue payments made via POS or through the transit banks will be swiftly relayed to the central bank thus ensuring transparent payment of taxes and easier monitoring of payment compliance.</w:t>
      </w:r>
    </w:p>
    <w:p w14:paraId="5F8DCC1D" w14:textId="77777777" w:rsidR="00004B58" w:rsidRPr="00923467" w:rsidRDefault="00004B58" w:rsidP="00923467"/>
    <w:p w14:paraId="0071754A" w14:textId="276DD869" w:rsidR="002E29B9" w:rsidRPr="00923467" w:rsidRDefault="002E29B9" w:rsidP="00923467">
      <w:r w:rsidRPr="00923467">
        <w:rPr>
          <w:b/>
          <w:bCs/>
        </w:rPr>
        <w:t xml:space="preserve">Completion of the Data </w:t>
      </w:r>
      <w:r w:rsidR="00AE55EE" w:rsidRPr="00923467">
        <w:rPr>
          <w:b/>
          <w:bCs/>
        </w:rPr>
        <w:t>W</w:t>
      </w:r>
      <w:r w:rsidRPr="00923467">
        <w:rPr>
          <w:b/>
          <w:bCs/>
        </w:rPr>
        <w:t>arehouse system</w:t>
      </w:r>
      <w:r w:rsidRPr="00923467">
        <w:t xml:space="preserve">. Following the progress made in the creation of the </w:t>
      </w:r>
      <w:r w:rsidR="00AE55EE" w:rsidRPr="00923467">
        <w:t>D</w:t>
      </w:r>
      <w:r w:rsidRPr="00923467">
        <w:t xml:space="preserve">ata </w:t>
      </w:r>
      <w:r w:rsidR="00AE55EE" w:rsidRPr="00923467">
        <w:t>W</w:t>
      </w:r>
      <w:r w:rsidRPr="00923467">
        <w:t xml:space="preserve">arehouse system in recent months, the NRA with the support of the FCDO expert is hoping to complete the system by September 2023 to serve as a central repository of tax administration data and support compliance enhancement through productive data analytics. Staff of the ICT </w:t>
      </w:r>
      <w:r w:rsidR="00AE55EE" w:rsidRPr="00923467">
        <w:t xml:space="preserve">Department </w:t>
      </w:r>
      <w:r w:rsidRPr="00923467">
        <w:t xml:space="preserve">and Data Analytics </w:t>
      </w:r>
      <w:r w:rsidR="00AE55EE" w:rsidRPr="00923467">
        <w:t xml:space="preserve">Project </w:t>
      </w:r>
      <w:r w:rsidRPr="00923467">
        <w:t xml:space="preserve">Team are being </w:t>
      </w:r>
      <w:r w:rsidR="00AE55EE" w:rsidRPr="00923467">
        <w:t xml:space="preserve">trained </w:t>
      </w:r>
      <w:r w:rsidRPr="00923467">
        <w:t xml:space="preserve">to ensure they </w:t>
      </w:r>
      <w:proofErr w:type="gramStart"/>
      <w:r w:rsidRPr="00923467">
        <w:t>are able to</w:t>
      </w:r>
      <w:proofErr w:type="gramEnd"/>
      <w:r w:rsidRPr="00923467">
        <w:t xml:space="preserve"> independently manage the system after completion of the first phase of the project involving the centralisation of data from the internal revenue systems. This </w:t>
      </w:r>
      <w:r w:rsidR="00AE55EE" w:rsidRPr="00923467">
        <w:t>will enable</w:t>
      </w:r>
      <w:r w:rsidRPr="00923467">
        <w:t xml:space="preserve"> the NRA </w:t>
      </w:r>
      <w:r w:rsidR="00AE55EE" w:rsidRPr="00923467">
        <w:t xml:space="preserve">to </w:t>
      </w:r>
      <w:r w:rsidRPr="00923467">
        <w:t xml:space="preserve">independently </w:t>
      </w:r>
      <w:r w:rsidR="00AE55EE" w:rsidRPr="00923467">
        <w:t>maintain and continue to build out</w:t>
      </w:r>
      <w:r w:rsidRPr="00923467">
        <w:t xml:space="preserve"> the databases </w:t>
      </w:r>
      <w:r w:rsidR="00AE55EE" w:rsidRPr="00923467">
        <w:t xml:space="preserve">for </w:t>
      </w:r>
      <w:r w:rsidRPr="00923467">
        <w:t xml:space="preserve">other internal systems on the verge of being rolled out as well as drawing data from databases of external stakeholders </w:t>
      </w:r>
      <w:proofErr w:type="gramStart"/>
      <w:r w:rsidRPr="00923467">
        <w:t>in the near future</w:t>
      </w:r>
      <w:proofErr w:type="gramEnd"/>
      <w:r w:rsidRPr="00923467">
        <w:t xml:space="preserve">. The NRA is also working on ensuring that the current Data Analytics Project Team is escalated to a Unit under the Research and Planning </w:t>
      </w:r>
      <w:r w:rsidR="00AE55EE" w:rsidRPr="00923467">
        <w:t>D</w:t>
      </w:r>
      <w:r w:rsidRPr="00923467">
        <w:t>epartment.</w:t>
      </w:r>
    </w:p>
    <w:p w14:paraId="1BAD4DFC" w14:textId="77777777" w:rsidR="002E29B9" w:rsidRPr="00923467" w:rsidRDefault="002E29B9" w:rsidP="00923467">
      <w:pPr>
        <w:pStyle w:val="ListParagraph"/>
      </w:pPr>
    </w:p>
    <w:p w14:paraId="62957591" w14:textId="3C13F841" w:rsidR="002E29B9" w:rsidRPr="00923467" w:rsidRDefault="002E29B9" w:rsidP="00EF2D32">
      <w:pPr>
        <w:pStyle w:val="Heading3"/>
      </w:pPr>
      <w:bookmarkStart w:id="122" w:name="_Toc137831126"/>
      <w:r w:rsidRPr="00923467">
        <w:t>Outlook of Revenue Administration for the Medium Term</w:t>
      </w:r>
      <w:bookmarkEnd w:id="122"/>
    </w:p>
    <w:p w14:paraId="1ACC29C9" w14:textId="43F339DE" w:rsidR="002E29B9" w:rsidRDefault="002E29B9" w:rsidP="00923467">
      <w:r w:rsidRPr="00923467">
        <w:t xml:space="preserve">In the medium term, the outlook for revenue administration is bright as the government, through the NRA, will implement the ambitious 5-year Medium Term Revenue Strategy (MTRS) that will bring in estimated additional revenues of 6% of GDP on to 2027. The NRA is mandated to implement the tax policy proposals in that strategy which will be legislated in subsequent Finance Acts. Within this period, the NRA will </w:t>
      </w:r>
      <w:r w:rsidR="00D52A11" w:rsidRPr="00923467">
        <w:t xml:space="preserve">also </w:t>
      </w:r>
      <w:r w:rsidRPr="00923467">
        <w:t xml:space="preserve">be implementing its Strategic Plan 2023-27, whose revenue measures are aligned with the MTRS, but with further reforms on revenue administration that will ensure the Authority is seen as a modern institution of excellence and a reference for public and revenue administration. Service excellence to our valued taxpayers and integrity improvement while pursuing adequacy in revenue mobilization will be the critical goals of revenue administration. </w:t>
      </w:r>
    </w:p>
    <w:p w14:paraId="69F670AE" w14:textId="77777777" w:rsidR="00004B58" w:rsidRPr="00923467" w:rsidRDefault="00004B58" w:rsidP="00923467"/>
    <w:p w14:paraId="256BC79B" w14:textId="77777777" w:rsidR="002E29B9" w:rsidRPr="00923467" w:rsidRDefault="002E29B9" w:rsidP="00923467">
      <w:r w:rsidRPr="00923467">
        <w:t xml:space="preserve">Specifically, the MTRS and NRA Strategic Plan over the medium term will pursue the following key reforms: </w:t>
      </w:r>
    </w:p>
    <w:p w14:paraId="75746C07" w14:textId="77777777" w:rsidR="00004B58" w:rsidRDefault="00004B58" w:rsidP="00923467">
      <w:pPr>
        <w:rPr>
          <w:b/>
          <w:bCs/>
        </w:rPr>
      </w:pPr>
    </w:p>
    <w:p w14:paraId="32D55901" w14:textId="2E4DB062" w:rsidR="002E29B9" w:rsidRDefault="002E29B9" w:rsidP="00923467">
      <w:pPr>
        <w:rPr>
          <w:color w:val="242424"/>
          <w:shd w:val="clear" w:color="auto" w:fill="FFFFFF"/>
        </w:rPr>
      </w:pPr>
      <w:r w:rsidRPr="00923467">
        <w:rPr>
          <w:b/>
          <w:bCs/>
        </w:rPr>
        <w:t xml:space="preserve">Integration of NRA Systems, and with External Stakeholders. </w:t>
      </w:r>
      <w:r w:rsidRPr="00923467">
        <w:t xml:space="preserve">Given that the implemented revenue systems are all operating in silos, there is </w:t>
      </w:r>
      <w:r w:rsidR="00C7050C" w:rsidRPr="00923467">
        <w:t xml:space="preserve">a </w:t>
      </w:r>
      <w:r w:rsidRPr="00923467">
        <w:t>need to integrate</w:t>
      </w:r>
      <w:r w:rsidR="00C7050C" w:rsidRPr="00923467">
        <w:t xml:space="preserve"> them</w:t>
      </w:r>
      <w:r w:rsidRPr="00923467">
        <w:t xml:space="preserve"> </w:t>
      </w:r>
      <w:r w:rsidRPr="00923467">
        <w:rPr>
          <w:color w:val="242424"/>
          <w:shd w:val="clear" w:color="auto" w:fill="FFFFFF"/>
        </w:rPr>
        <w:t>for the purpose of having a single view of the taxpayer. Further integration will be explored with systems of external stakeholders to enhance data availability for matching and compliance improvement. Integration would also ensure a single payment point that will make reconciliation easier. This would also feed into enterprise-wide risk management profiling.</w:t>
      </w:r>
    </w:p>
    <w:p w14:paraId="3ED9230F" w14:textId="77777777" w:rsidR="00217EAA" w:rsidRPr="00923467" w:rsidRDefault="00217EAA" w:rsidP="00923467"/>
    <w:p w14:paraId="3DC45115" w14:textId="5ECCADAC" w:rsidR="002E29B9" w:rsidRPr="00004B58" w:rsidRDefault="00C7050C" w:rsidP="00004B58">
      <w:r w:rsidRPr="00004B58">
        <w:rPr>
          <w:b/>
          <w:bCs/>
        </w:rPr>
        <w:t>Strengthen functionality of existing systems.</w:t>
      </w:r>
      <w:r w:rsidRPr="00004B58">
        <w:t xml:space="preserve"> </w:t>
      </w:r>
      <w:r w:rsidR="002E29B9" w:rsidRPr="00004B58">
        <w:t xml:space="preserve">An essential element of the implementation of the ITAS will be the capability to provide the management of Domestic Taxes with accurate and timely data about operational performance. Taxpayer Services Module of the ITAS, including its suite of management information will comprise comprehensive data about taxpayer service across all channels. This will enable NRA to track its performance against key performance indicators </w:t>
      </w:r>
      <w:r w:rsidR="00D52A11" w:rsidRPr="00004B58">
        <w:t xml:space="preserve">for </w:t>
      </w:r>
      <w:r w:rsidR="002E29B9" w:rsidRPr="00004B58">
        <w:t>customer service. Similarly, ITAS will provide managers with real-time information about the progress and results of compliance activit</w:t>
      </w:r>
      <w:r w:rsidR="00D52A11" w:rsidRPr="00004B58">
        <w:t>ies</w:t>
      </w:r>
      <w:r w:rsidR="002E29B9" w:rsidRPr="00004B58">
        <w:t xml:space="preserve">. Further, there are key modules within ASYCUDA that are yet to be operationalized including the </w:t>
      </w:r>
      <w:r w:rsidRPr="00004B58">
        <w:t>D</w:t>
      </w:r>
      <w:r w:rsidR="002E29B9" w:rsidRPr="00004B58">
        <w:t xml:space="preserve">ebt </w:t>
      </w:r>
      <w:r w:rsidRPr="00004B58">
        <w:t>M</w:t>
      </w:r>
      <w:r w:rsidR="002E29B9" w:rsidRPr="00004B58">
        <w:t xml:space="preserve">anagement </w:t>
      </w:r>
      <w:r w:rsidRPr="00004B58">
        <w:t>M</w:t>
      </w:r>
      <w:r w:rsidR="002E29B9" w:rsidRPr="00004B58">
        <w:t xml:space="preserve">odule, the </w:t>
      </w:r>
      <w:r w:rsidRPr="00004B58">
        <w:t>V</w:t>
      </w:r>
      <w:r w:rsidR="002E29B9" w:rsidRPr="00004B58">
        <w:t xml:space="preserve">aluation </w:t>
      </w:r>
      <w:r w:rsidRPr="00004B58">
        <w:t>M</w:t>
      </w:r>
      <w:r w:rsidR="002E29B9" w:rsidRPr="00004B58">
        <w:t>odule. This is also true of the ECR system, which currently does not have a stock management function. Hence, expanding on the functionality of these systems to ensure they deliver what they were designed to do will be a key reform to be pursued by the NRA in the medium term.</w:t>
      </w:r>
    </w:p>
    <w:p w14:paraId="2F6764AD" w14:textId="77777777" w:rsidR="002E29B9" w:rsidRPr="00923467" w:rsidRDefault="002E29B9" w:rsidP="00923467"/>
    <w:p w14:paraId="2C8E16B8" w14:textId="6CE9669F" w:rsidR="002E29B9" w:rsidRPr="00923467" w:rsidRDefault="002E29B9" w:rsidP="00923467">
      <w:r w:rsidRPr="00923467">
        <w:rPr>
          <w:b/>
          <w:bCs/>
        </w:rPr>
        <w:t xml:space="preserve">Establishment of Taxpayer Service Centres and </w:t>
      </w:r>
      <w:r w:rsidR="00923467" w:rsidRPr="00923467">
        <w:rPr>
          <w:b/>
          <w:bCs/>
        </w:rPr>
        <w:t>c</w:t>
      </w:r>
      <w:r w:rsidRPr="00923467">
        <w:rPr>
          <w:b/>
          <w:bCs/>
        </w:rPr>
        <w:t xml:space="preserve">onduct of Regional Block Registration. </w:t>
      </w:r>
      <w:r w:rsidRPr="00923467">
        <w:t xml:space="preserve">Following the conduct of block registration exercise in the Western Area of Sierra Leone in 2021, a good number of registered businesses were identified, and many more existing taxpayers had their information verified and updated for registration into the new ITAS. In the medium term, the NRA will extend the block registration exercise to the regional cities of Bo, Kenema, Makeni and Koidu starting in 2023. Additionally, the Authority, with support from development partners, will establish taxpayer service centres in the </w:t>
      </w:r>
      <w:r w:rsidR="004D2CF0" w:rsidRPr="00923467">
        <w:t>newly created</w:t>
      </w:r>
      <w:r w:rsidRPr="00923467">
        <w:t xml:space="preserve"> blocks to help complete the registration of new taxpayers into the ITAS and serve as centres for taxpayer services. Tax administration services including filing of tax returns, handling complaints, tax education and taxpayer services will be catered for at these centres, which will be also closer to the premises of the taxpayers.</w:t>
      </w:r>
    </w:p>
    <w:p w14:paraId="620A4A76" w14:textId="77777777" w:rsidR="002E29B9" w:rsidRDefault="002E29B9" w:rsidP="00923467">
      <w:r w:rsidRPr="00923467">
        <w:t xml:space="preserve">Relatedly, the NRA will also strengthen taxpayer engagements for better tax compliance through working with taxpayer agents/audit firms. </w:t>
      </w:r>
    </w:p>
    <w:p w14:paraId="259DA226" w14:textId="77777777" w:rsidR="00004B58" w:rsidRPr="00923467" w:rsidRDefault="00004B58" w:rsidP="00923467"/>
    <w:p w14:paraId="3FD784DB" w14:textId="7621FC4C" w:rsidR="002E29B9" w:rsidRDefault="00923467" w:rsidP="00923467">
      <w:r w:rsidRPr="00923467">
        <w:rPr>
          <w:b/>
          <w:bCs/>
        </w:rPr>
        <w:t>Increased online interaction with taxpayers</w:t>
      </w:r>
      <w:r w:rsidR="00004B58">
        <w:rPr>
          <w:b/>
          <w:bCs/>
        </w:rPr>
        <w:t>.</w:t>
      </w:r>
      <w:r w:rsidRPr="00923467">
        <w:rPr>
          <w:b/>
          <w:bCs/>
        </w:rPr>
        <w:t xml:space="preserve"> </w:t>
      </w:r>
      <w:r w:rsidR="002E29B9" w:rsidRPr="00923467">
        <w:t xml:space="preserve">The importance of taxpayer education for revenue collection cannot be over-emphasized, as it helps to improve the compliance of taxpayers. Whilst the traditional methods of taxpayer education may still be relevant given the high illiteracy rate among small taxpayers, the expansion of technological innovations calls for a focus on modern forms of taxpayer education, particularly online and digital. In the medium term therefore, the NRA will invest resources in the use of digital or online interactive platforms for communicating </w:t>
      </w:r>
      <w:r w:rsidR="00C7050C" w:rsidRPr="00923467">
        <w:t>with</w:t>
      </w:r>
      <w:r w:rsidR="002E29B9" w:rsidRPr="00923467">
        <w:t xml:space="preserve"> taxpayers and engaging with their tax administration inquiries. In particular, the Authority will develop and operationalize an e-portal platform as a centralised online source for communicating with taxpayers and providing them with vital tax related information to enhance compliance. Further, the Authority will build on the existing call centre to expand its use by the public as well as serving as an important source for reaching out to taxpayers. Also, the NRA will in the </w:t>
      </w:r>
      <w:r w:rsidR="00C7050C" w:rsidRPr="00923467">
        <w:t>medium-term</w:t>
      </w:r>
      <w:r w:rsidR="002E29B9" w:rsidRPr="00923467">
        <w:t xml:space="preserve"> digitise the tax guide for easier use and understanding by the taxpayers. </w:t>
      </w:r>
    </w:p>
    <w:p w14:paraId="3D87BF7F" w14:textId="77777777" w:rsidR="00C37B58" w:rsidRPr="00923467" w:rsidRDefault="00C37B58" w:rsidP="00923467"/>
    <w:p w14:paraId="4A10A64A" w14:textId="713928A1" w:rsidR="002E29B9" w:rsidRDefault="00923467" w:rsidP="00923467">
      <w:r w:rsidRPr="00923467">
        <w:rPr>
          <w:b/>
          <w:bCs/>
        </w:rPr>
        <w:t>Automation of real-time access to gambling and betting and telecoms transaction data for revenue assessments</w:t>
      </w:r>
      <w:r w:rsidRPr="00923467">
        <w:t xml:space="preserve">. </w:t>
      </w:r>
      <w:r w:rsidR="002E29B9" w:rsidRPr="00923467">
        <w:t>In early 2023, government contracted the services o</w:t>
      </w:r>
      <w:r w:rsidR="00C7050C" w:rsidRPr="00923467">
        <w:t>f</w:t>
      </w:r>
      <w:r w:rsidR="002E29B9" w:rsidRPr="00923467">
        <w:t xml:space="preserve"> an international reputable firm to provide automated real</w:t>
      </w:r>
      <w:r w:rsidR="00C7050C" w:rsidRPr="00923467">
        <w:t>-</w:t>
      </w:r>
      <w:r w:rsidR="002E29B9" w:rsidRPr="00923467">
        <w:t>time access to transaction data relating to telecoms, and gambling and betting for more accurate assessment of revenues due. It is no secret that digital information is hard to get for revenue administrations with less sophisticated tax administration systems. Therefore, partnering with private sector specialized firms in getting real time access to such digital transactions data is crucial for enhanced revenue mobilization. This is what the Government and NRA will pursue in the medium term starting in 2023.</w:t>
      </w:r>
    </w:p>
    <w:p w14:paraId="69785E25" w14:textId="77777777" w:rsidR="00004B58" w:rsidRPr="00923467" w:rsidRDefault="00004B58" w:rsidP="00923467"/>
    <w:p w14:paraId="7BC851D3" w14:textId="2B8585DE" w:rsidR="002E29B9" w:rsidRDefault="00923467" w:rsidP="00923467">
      <w:r w:rsidRPr="00923467">
        <w:rPr>
          <w:b/>
          <w:bCs/>
        </w:rPr>
        <w:t>Operationalizing the excise stamp and fuel marking scheme to control technical and physical smuggling</w:t>
      </w:r>
      <w:r w:rsidRPr="00923467">
        <w:t xml:space="preserve">. </w:t>
      </w:r>
      <w:r w:rsidR="002E29B9" w:rsidRPr="00923467">
        <w:t xml:space="preserve">In 2023, the NRA will commence operationalisation of </w:t>
      </w:r>
      <w:r w:rsidR="00C7050C" w:rsidRPr="00923467">
        <w:t>e</w:t>
      </w:r>
      <w:r w:rsidR="002E29B9" w:rsidRPr="00923467">
        <w:t>xcise stamp</w:t>
      </w:r>
      <w:r w:rsidR="00C7050C" w:rsidRPr="00923467">
        <w:t>s</w:t>
      </w:r>
      <w:r w:rsidR="002E29B9" w:rsidRPr="00923467">
        <w:t xml:space="preserve"> and </w:t>
      </w:r>
      <w:r w:rsidR="00C7050C" w:rsidRPr="00923467">
        <w:t xml:space="preserve">a </w:t>
      </w:r>
      <w:r w:rsidR="002E29B9" w:rsidRPr="00923467">
        <w:t xml:space="preserve">fuel marking scheme, whose implementation started with the legislation of the scheme in the 2019 Finance Act, the approval and signing of the contract with the reputable international firm in 2022, the ratification of the Excise Stamp Regulations in early 2023, the establishment of a local office in Freetown and setting up of the project team for operationalisation of the scheme in 2023. Once the machines and equipment are imported in mid-2023, the NRA is hopeful </w:t>
      </w:r>
      <w:r w:rsidR="00C7050C" w:rsidRPr="00923467">
        <w:t xml:space="preserve">that it will be put into </w:t>
      </w:r>
      <w:r w:rsidR="002E29B9" w:rsidRPr="00923467">
        <w:t>operation</w:t>
      </w:r>
      <w:r w:rsidR="00C7050C" w:rsidRPr="00923467">
        <w:t xml:space="preserve"> </w:t>
      </w:r>
      <w:r w:rsidR="002E29B9" w:rsidRPr="00923467">
        <w:t xml:space="preserve">before the close of 2023. </w:t>
      </w:r>
    </w:p>
    <w:p w14:paraId="7B6132AD" w14:textId="77777777" w:rsidR="00004B58" w:rsidRPr="00923467" w:rsidRDefault="00004B58" w:rsidP="00923467"/>
    <w:p w14:paraId="4EF80FE6" w14:textId="58D4B174" w:rsidR="002E29B9" w:rsidRPr="00923467" w:rsidRDefault="00923467" w:rsidP="00923467">
      <w:r w:rsidRPr="00923467">
        <w:t xml:space="preserve">Further enhance the capacity of the internal affairs unit of the NRA to fight any corrupt practices within the institution. </w:t>
      </w:r>
      <w:r w:rsidR="002E29B9" w:rsidRPr="00923467">
        <w:t xml:space="preserve">In 2019, the NRA established the Internal Affairs Unit reporting directly to the Commissioner General with the mandate to prevent and track integrity issues and any corrupt practices at the NRA.  In the medium term, the Authority will further </w:t>
      </w:r>
      <w:r w:rsidRPr="00923467">
        <w:t xml:space="preserve">enhance the capacity of </w:t>
      </w:r>
      <w:r w:rsidR="002E29B9" w:rsidRPr="00923467">
        <w:t>this unit with more staff, budgetary resources, and seek development partner funding for implementation of a project relating to integrity improvement at the NRA. Engagements have already been made with the Swedish Tax Agency and a project will be hopefully approved before the close of 2023 with support from the Swedish International Development Agency.</w:t>
      </w:r>
      <w:r w:rsidR="002471AC">
        <w:t xml:space="preserve"> </w:t>
      </w:r>
    </w:p>
    <w:p w14:paraId="57799198" w14:textId="6DD35B18" w:rsidR="00CB6FB0" w:rsidRPr="00923467" w:rsidRDefault="00CB6FB0" w:rsidP="00923467">
      <w:r w:rsidRPr="00923467">
        <w:tab/>
      </w:r>
    </w:p>
    <w:p w14:paraId="0D6AE2A1" w14:textId="77777777" w:rsidR="00CB6FB0" w:rsidRPr="00923467" w:rsidRDefault="00CB6FB0" w:rsidP="00923467"/>
    <w:p w14:paraId="766272CA" w14:textId="77777777" w:rsidR="00CB6FB0" w:rsidRPr="00923467" w:rsidRDefault="00CB6FB0" w:rsidP="00923467"/>
    <w:p w14:paraId="2FDFF0C8" w14:textId="77777777" w:rsidR="00004B58" w:rsidRDefault="00004B58">
      <w:pPr>
        <w:spacing w:after="160" w:line="259" w:lineRule="auto"/>
        <w:jc w:val="left"/>
        <w:rPr>
          <w:b/>
          <w:bCs/>
          <w:sz w:val="36"/>
          <w:szCs w:val="36"/>
        </w:rPr>
      </w:pPr>
      <w:r>
        <w:br w:type="page"/>
      </w:r>
    </w:p>
    <w:p w14:paraId="07DEBD6F" w14:textId="5AE21F84" w:rsidR="00CB6FB0" w:rsidRPr="00004B58" w:rsidRDefault="00CB6FB0" w:rsidP="00004B58">
      <w:pPr>
        <w:pStyle w:val="Heading1"/>
      </w:pPr>
      <w:bookmarkStart w:id="123" w:name="_Toc137831127"/>
      <w:r w:rsidRPr="00004B58">
        <w:t>APPENDICES</w:t>
      </w:r>
      <w:bookmarkEnd w:id="123"/>
    </w:p>
    <w:p w14:paraId="1A30F4CA" w14:textId="53DFBE4D" w:rsidR="00DF5F60" w:rsidRPr="00004B58" w:rsidRDefault="00DF5F60" w:rsidP="00004B58">
      <w:pPr>
        <w:pStyle w:val="Heading2"/>
      </w:pPr>
      <w:bookmarkStart w:id="124" w:name="_Toc137831128"/>
      <w:r w:rsidRPr="00004B58">
        <w:t>Appendix</w:t>
      </w:r>
      <w:r w:rsidR="00923467" w:rsidRPr="00004B58">
        <w:t xml:space="preserve"> A</w:t>
      </w:r>
      <w:r w:rsidRPr="00004B58">
        <w:t xml:space="preserve">: Abridged Version of the </w:t>
      </w:r>
      <w:r w:rsidR="00747861">
        <w:t>2020-</w:t>
      </w:r>
      <w:r w:rsidRPr="00004B58">
        <w:t>20</w:t>
      </w:r>
      <w:r w:rsidR="00291FE2">
        <w:t>22</w:t>
      </w:r>
      <w:r w:rsidRPr="00004B58">
        <w:t xml:space="preserve"> </w:t>
      </w:r>
      <w:r w:rsidR="00EB6E60">
        <w:t xml:space="preserve">Audited </w:t>
      </w:r>
      <w:r w:rsidRPr="00004B58">
        <w:t>Financial Statement of the NRA</w:t>
      </w:r>
      <w:bookmarkEnd w:id="124"/>
    </w:p>
    <w:p w14:paraId="5029DB35" w14:textId="19C5C433" w:rsidR="00DF5F60" w:rsidRDefault="00DF5F60" w:rsidP="00923467"/>
    <w:p w14:paraId="6F8A76FC" w14:textId="77777777" w:rsidR="00403651" w:rsidRPr="002E6453" w:rsidRDefault="00403651" w:rsidP="00403651">
      <w:pPr>
        <w:jc w:val="center"/>
      </w:pPr>
      <w:r w:rsidRPr="002E6453">
        <w:rPr>
          <w:rFonts w:eastAsia="Times New Roman" w:cs="Arial"/>
          <w:b/>
          <w:bCs/>
          <w:color w:val="000000"/>
          <w:sz w:val="24"/>
          <w:szCs w:val="24"/>
          <w:lang w:eastAsia="en-GB"/>
        </w:rPr>
        <w:t>STATEMENT OF COMPREHENSIVE INCOME</w:t>
      </w:r>
    </w:p>
    <w:p w14:paraId="25A5FDAF" w14:textId="77777777" w:rsidR="00D42130" w:rsidRDefault="00D42130" w:rsidP="00923467"/>
    <w:tbl>
      <w:tblPr>
        <w:tblW w:w="9208" w:type="dxa"/>
        <w:jc w:val="center"/>
        <w:tblLook w:val="04A0" w:firstRow="1" w:lastRow="0" w:firstColumn="1" w:lastColumn="0" w:noHBand="0" w:noVBand="1"/>
      </w:tblPr>
      <w:tblGrid>
        <w:gridCol w:w="4049"/>
        <w:gridCol w:w="2173"/>
        <w:gridCol w:w="1525"/>
        <w:gridCol w:w="1461"/>
      </w:tblGrid>
      <w:tr w:rsidR="00B108A7" w:rsidRPr="00AF0EC2" w14:paraId="5208A7E5" w14:textId="77777777" w:rsidTr="0080117F">
        <w:trPr>
          <w:trHeight w:val="255"/>
          <w:jc w:val="center"/>
        </w:trPr>
        <w:tc>
          <w:tcPr>
            <w:tcW w:w="4049" w:type="dxa"/>
            <w:shd w:val="clear" w:color="auto" w:fill="auto"/>
            <w:noWrap/>
            <w:vAlign w:val="bottom"/>
            <w:hideMark/>
          </w:tcPr>
          <w:p w14:paraId="7A9202C3" w14:textId="77777777" w:rsidR="00B108A7" w:rsidRPr="00AF0EC2" w:rsidRDefault="00B108A7" w:rsidP="00176253">
            <w:pPr>
              <w:rPr>
                <w:rFonts w:eastAsia="Times New Roman"/>
                <w:sz w:val="24"/>
                <w:szCs w:val="24"/>
                <w:lang w:eastAsia="en-GB"/>
              </w:rPr>
            </w:pPr>
          </w:p>
        </w:tc>
        <w:tc>
          <w:tcPr>
            <w:tcW w:w="2173" w:type="dxa"/>
            <w:shd w:val="clear" w:color="auto" w:fill="auto"/>
            <w:noWrap/>
            <w:vAlign w:val="bottom"/>
            <w:hideMark/>
          </w:tcPr>
          <w:p w14:paraId="41C55817" w14:textId="68396E4C" w:rsidR="00B108A7" w:rsidRPr="00AF0EC2" w:rsidRDefault="00B108A7" w:rsidP="00176253">
            <w:pPr>
              <w:jc w:val="center"/>
              <w:rPr>
                <w:rFonts w:eastAsia="Times New Roman" w:cs="Arial"/>
                <w:b/>
                <w:bCs/>
                <w:color w:val="000000"/>
                <w:sz w:val="24"/>
                <w:szCs w:val="24"/>
                <w:lang w:eastAsia="en-GB"/>
              </w:rPr>
            </w:pPr>
            <w:r w:rsidRPr="00AF0EC2">
              <w:rPr>
                <w:rFonts w:eastAsia="Times New Roman" w:cs="Arial"/>
                <w:b/>
                <w:bCs/>
                <w:color w:val="000000"/>
                <w:sz w:val="24"/>
                <w:szCs w:val="24"/>
                <w:lang w:eastAsia="en-GB"/>
              </w:rPr>
              <w:t>2022</w:t>
            </w:r>
          </w:p>
        </w:tc>
        <w:tc>
          <w:tcPr>
            <w:tcW w:w="1525" w:type="dxa"/>
            <w:shd w:val="clear" w:color="auto" w:fill="auto"/>
            <w:noWrap/>
            <w:vAlign w:val="bottom"/>
            <w:hideMark/>
          </w:tcPr>
          <w:p w14:paraId="5A7C94F6" w14:textId="43F5E678" w:rsidR="00B108A7" w:rsidRPr="00AF0EC2" w:rsidRDefault="00B108A7" w:rsidP="00176253">
            <w:pPr>
              <w:jc w:val="center"/>
              <w:rPr>
                <w:rFonts w:eastAsia="Times New Roman" w:cs="Arial"/>
                <w:b/>
                <w:bCs/>
                <w:color w:val="000000"/>
                <w:sz w:val="24"/>
                <w:szCs w:val="24"/>
                <w:lang w:eastAsia="en-GB"/>
              </w:rPr>
            </w:pPr>
            <w:r w:rsidRPr="00AF0EC2">
              <w:rPr>
                <w:rFonts w:eastAsia="Times New Roman" w:cs="Arial"/>
                <w:b/>
                <w:bCs/>
                <w:color w:val="000000"/>
                <w:sz w:val="24"/>
                <w:szCs w:val="24"/>
                <w:lang w:eastAsia="en-GB"/>
              </w:rPr>
              <w:t>2021</w:t>
            </w:r>
          </w:p>
        </w:tc>
        <w:tc>
          <w:tcPr>
            <w:tcW w:w="1461" w:type="dxa"/>
          </w:tcPr>
          <w:p w14:paraId="786B938E" w14:textId="47497798" w:rsidR="00B108A7" w:rsidRPr="00AF0EC2" w:rsidRDefault="00B108A7" w:rsidP="00176253">
            <w:pPr>
              <w:jc w:val="center"/>
              <w:rPr>
                <w:rFonts w:eastAsia="Times New Roman" w:cs="Arial"/>
                <w:b/>
                <w:bCs/>
                <w:color w:val="000000"/>
                <w:sz w:val="24"/>
                <w:szCs w:val="24"/>
                <w:lang w:eastAsia="en-GB"/>
              </w:rPr>
            </w:pPr>
            <w:r w:rsidRPr="00AF0EC2">
              <w:rPr>
                <w:rFonts w:eastAsia="Times New Roman" w:cs="Arial"/>
                <w:b/>
                <w:bCs/>
                <w:color w:val="000000"/>
                <w:sz w:val="24"/>
                <w:szCs w:val="24"/>
                <w:lang w:eastAsia="en-GB"/>
              </w:rPr>
              <w:t>2020</w:t>
            </w:r>
          </w:p>
        </w:tc>
      </w:tr>
      <w:tr w:rsidR="00B108A7" w:rsidRPr="00AF0EC2" w14:paraId="05315C61" w14:textId="77777777" w:rsidTr="0080117F">
        <w:trPr>
          <w:trHeight w:val="255"/>
          <w:jc w:val="center"/>
        </w:trPr>
        <w:tc>
          <w:tcPr>
            <w:tcW w:w="4049" w:type="dxa"/>
            <w:shd w:val="clear" w:color="auto" w:fill="auto"/>
            <w:noWrap/>
            <w:vAlign w:val="bottom"/>
            <w:hideMark/>
          </w:tcPr>
          <w:p w14:paraId="311DD907" w14:textId="77777777" w:rsidR="00B108A7" w:rsidRPr="00AF0EC2" w:rsidRDefault="00B108A7" w:rsidP="00176253">
            <w:pPr>
              <w:jc w:val="center"/>
              <w:rPr>
                <w:rFonts w:eastAsia="Times New Roman" w:cs="Arial"/>
                <w:b/>
                <w:bCs/>
                <w:color w:val="000000"/>
                <w:sz w:val="24"/>
                <w:szCs w:val="24"/>
                <w:lang w:eastAsia="en-GB"/>
              </w:rPr>
            </w:pPr>
          </w:p>
        </w:tc>
        <w:tc>
          <w:tcPr>
            <w:tcW w:w="2173" w:type="dxa"/>
            <w:shd w:val="clear" w:color="auto" w:fill="auto"/>
            <w:noWrap/>
            <w:vAlign w:val="bottom"/>
            <w:hideMark/>
          </w:tcPr>
          <w:p w14:paraId="003E0CC9" w14:textId="77777777" w:rsidR="00B108A7" w:rsidRPr="00AF0EC2" w:rsidRDefault="00B108A7" w:rsidP="00176253">
            <w:pPr>
              <w:jc w:val="center"/>
              <w:rPr>
                <w:rFonts w:eastAsia="Times New Roman" w:cs="Arial"/>
                <w:b/>
                <w:bCs/>
                <w:color w:val="000000"/>
                <w:sz w:val="24"/>
                <w:szCs w:val="24"/>
                <w:lang w:eastAsia="en-GB"/>
              </w:rPr>
            </w:pPr>
            <w:r w:rsidRPr="00AF0EC2">
              <w:rPr>
                <w:rFonts w:eastAsia="Times New Roman" w:cs="Arial"/>
                <w:b/>
                <w:bCs/>
                <w:color w:val="000000"/>
                <w:sz w:val="24"/>
                <w:szCs w:val="24"/>
                <w:lang w:eastAsia="en-GB"/>
              </w:rPr>
              <w:t>Le.'000</w:t>
            </w:r>
          </w:p>
        </w:tc>
        <w:tc>
          <w:tcPr>
            <w:tcW w:w="1525" w:type="dxa"/>
            <w:shd w:val="clear" w:color="auto" w:fill="auto"/>
            <w:noWrap/>
            <w:vAlign w:val="bottom"/>
            <w:hideMark/>
          </w:tcPr>
          <w:p w14:paraId="48EEE9FD" w14:textId="77777777" w:rsidR="00B108A7" w:rsidRPr="00AF0EC2" w:rsidRDefault="00B108A7" w:rsidP="00176253">
            <w:pPr>
              <w:jc w:val="center"/>
              <w:rPr>
                <w:rFonts w:eastAsia="Times New Roman" w:cs="Arial"/>
                <w:b/>
                <w:bCs/>
                <w:color w:val="000000"/>
                <w:sz w:val="24"/>
                <w:szCs w:val="24"/>
                <w:lang w:eastAsia="en-GB"/>
              </w:rPr>
            </w:pPr>
            <w:r w:rsidRPr="00AF0EC2">
              <w:rPr>
                <w:rFonts w:eastAsia="Times New Roman" w:cs="Arial"/>
                <w:b/>
                <w:bCs/>
                <w:color w:val="000000"/>
                <w:sz w:val="24"/>
                <w:szCs w:val="24"/>
                <w:lang w:eastAsia="en-GB"/>
              </w:rPr>
              <w:t>Le.'000</w:t>
            </w:r>
          </w:p>
        </w:tc>
        <w:tc>
          <w:tcPr>
            <w:tcW w:w="1461" w:type="dxa"/>
          </w:tcPr>
          <w:p w14:paraId="10937D0F" w14:textId="77777777" w:rsidR="00B108A7" w:rsidRPr="00AF0EC2" w:rsidRDefault="00B108A7" w:rsidP="00176253">
            <w:pPr>
              <w:jc w:val="center"/>
              <w:rPr>
                <w:rFonts w:eastAsia="Times New Roman" w:cs="Arial"/>
                <w:b/>
                <w:bCs/>
                <w:color w:val="000000"/>
                <w:sz w:val="24"/>
                <w:szCs w:val="24"/>
                <w:lang w:eastAsia="en-GB"/>
              </w:rPr>
            </w:pPr>
            <w:r w:rsidRPr="00AF0EC2">
              <w:rPr>
                <w:rFonts w:eastAsia="Times New Roman" w:cs="Arial"/>
                <w:b/>
                <w:bCs/>
                <w:color w:val="000000"/>
                <w:sz w:val="24"/>
                <w:szCs w:val="24"/>
                <w:lang w:eastAsia="en-GB"/>
              </w:rPr>
              <w:t>Le.'000</w:t>
            </w:r>
          </w:p>
        </w:tc>
      </w:tr>
      <w:tr w:rsidR="00B108A7" w:rsidRPr="00AF0EC2" w14:paraId="1E7F5247" w14:textId="77777777" w:rsidTr="0080117F">
        <w:trPr>
          <w:trHeight w:val="255"/>
          <w:jc w:val="center"/>
        </w:trPr>
        <w:tc>
          <w:tcPr>
            <w:tcW w:w="4049" w:type="dxa"/>
            <w:shd w:val="clear" w:color="auto" w:fill="auto"/>
            <w:noWrap/>
            <w:vAlign w:val="bottom"/>
          </w:tcPr>
          <w:p w14:paraId="51B1A3FE" w14:textId="1B00DB27" w:rsidR="00B108A7" w:rsidRPr="00AF0EC2" w:rsidRDefault="00B108A7" w:rsidP="00D067E0">
            <w:pPr>
              <w:rPr>
                <w:rFonts w:eastAsia="Times New Roman" w:cs="Arial"/>
                <w:b/>
                <w:bCs/>
                <w:color w:val="000000"/>
                <w:sz w:val="24"/>
                <w:szCs w:val="24"/>
                <w:lang w:eastAsia="en-GB"/>
              </w:rPr>
            </w:pPr>
            <w:r w:rsidRPr="00AF0EC2">
              <w:rPr>
                <w:b/>
                <w:bCs/>
                <w:color w:val="000000"/>
                <w:sz w:val="24"/>
                <w:szCs w:val="24"/>
                <w:lang w:val="en-US"/>
              </w:rPr>
              <w:t>INCOME</w:t>
            </w:r>
          </w:p>
        </w:tc>
        <w:tc>
          <w:tcPr>
            <w:tcW w:w="2173" w:type="dxa"/>
            <w:shd w:val="clear" w:color="auto" w:fill="auto"/>
            <w:noWrap/>
            <w:vAlign w:val="bottom"/>
          </w:tcPr>
          <w:p w14:paraId="74161071" w14:textId="77777777" w:rsidR="00B108A7" w:rsidRPr="00AF0EC2" w:rsidRDefault="00B108A7" w:rsidP="00D067E0">
            <w:pPr>
              <w:jc w:val="center"/>
              <w:rPr>
                <w:rFonts w:eastAsia="Times New Roman"/>
                <w:sz w:val="24"/>
                <w:szCs w:val="24"/>
                <w:lang w:eastAsia="en-GB"/>
              </w:rPr>
            </w:pPr>
          </w:p>
        </w:tc>
        <w:tc>
          <w:tcPr>
            <w:tcW w:w="1525" w:type="dxa"/>
            <w:shd w:val="clear" w:color="auto" w:fill="auto"/>
            <w:noWrap/>
            <w:vAlign w:val="bottom"/>
          </w:tcPr>
          <w:p w14:paraId="460BACEE" w14:textId="77777777" w:rsidR="00B108A7" w:rsidRPr="00AF0EC2" w:rsidRDefault="00B108A7" w:rsidP="00D067E0">
            <w:pPr>
              <w:jc w:val="center"/>
              <w:rPr>
                <w:rFonts w:eastAsia="Times New Roman"/>
                <w:sz w:val="24"/>
                <w:szCs w:val="24"/>
                <w:lang w:eastAsia="en-GB"/>
              </w:rPr>
            </w:pPr>
          </w:p>
        </w:tc>
        <w:tc>
          <w:tcPr>
            <w:tcW w:w="1461" w:type="dxa"/>
          </w:tcPr>
          <w:p w14:paraId="48F5F330" w14:textId="77777777" w:rsidR="00B108A7" w:rsidRPr="00AF0EC2" w:rsidRDefault="00B108A7" w:rsidP="00D067E0">
            <w:pPr>
              <w:jc w:val="center"/>
              <w:rPr>
                <w:rFonts w:eastAsia="Times New Roman"/>
                <w:sz w:val="24"/>
                <w:szCs w:val="24"/>
                <w:lang w:eastAsia="en-GB"/>
              </w:rPr>
            </w:pPr>
          </w:p>
        </w:tc>
      </w:tr>
      <w:tr w:rsidR="00B108A7" w:rsidRPr="00AF0EC2" w14:paraId="2745D63B" w14:textId="77777777" w:rsidTr="0080117F">
        <w:trPr>
          <w:trHeight w:val="255"/>
          <w:jc w:val="center"/>
        </w:trPr>
        <w:tc>
          <w:tcPr>
            <w:tcW w:w="4049" w:type="dxa"/>
            <w:shd w:val="clear" w:color="auto" w:fill="auto"/>
            <w:noWrap/>
            <w:vAlign w:val="bottom"/>
          </w:tcPr>
          <w:p w14:paraId="15843F78" w14:textId="0AE416C0" w:rsidR="00B108A7" w:rsidRPr="00AF0EC2" w:rsidRDefault="00B108A7" w:rsidP="007960A7">
            <w:pPr>
              <w:rPr>
                <w:rFonts w:eastAsia="Times New Roman" w:cs="Arial"/>
                <w:color w:val="000000"/>
                <w:sz w:val="24"/>
                <w:szCs w:val="24"/>
                <w:lang w:eastAsia="en-GB"/>
              </w:rPr>
            </w:pPr>
            <w:r w:rsidRPr="00AF0EC2">
              <w:rPr>
                <w:color w:val="000000"/>
                <w:sz w:val="24"/>
                <w:szCs w:val="24"/>
                <w:lang w:val="en-US"/>
              </w:rPr>
              <w:t>Revenue</w:t>
            </w:r>
          </w:p>
        </w:tc>
        <w:tc>
          <w:tcPr>
            <w:tcW w:w="2173" w:type="dxa"/>
            <w:shd w:val="clear" w:color="auto" w:fill="auto"/>
            <w:noWrap/>
            <w:vAlign w:val="bottom"/>
          </w:tcPr>
          <w:p w14:paraId="0B764EFE" w14:textId="1D3CC9C6" w:rsidR="00B108A7" w:rsidRPr="00AF0EC2" w:rsidRDefault="00B108A7" w:rsidP="007960A7">
            <w:pPr>
              <w:jc w:val="center"/>
              <w:rPr>
                <w:rFonts w:eastAsia="Times New Roman" w:cs="Arial"/>
                <w:color w:val="000000"/>
                <w:sz w:val="24"/>
                <w:szCs w:val="24"/>
                <w:lang w:eastAsia="en-GB"/>
              </w:rPr>
            </w:pPr>
            <w:r w:rsidRPr="00AF0EC2">
              <w:rPr>
                <w:color w:val="000000"/>
                <w:sz w:val="24"/>
                <w:szCs w:val="24"/>
                <w:lang w:val="en-US"/>
              </w:rPr>
              <w:t xml:space="preserve">   191,130,000 </w:t>
            </w:r>
          </w:p>
        </w:tc>
        <w:tc>
          <w:tcPr>
            <w:tcW w:w="1525" w:type="dxa"/>
            <w:shd w:val="clear" w:color="auto" w:fill="auto"/>
            <w:noWrap/>
            <w:vAlign w:val="bottom"/>
          </w:tcPr>
          <w:p w14:paraId="0CE944BD" w14:textId="47003A58" w:rsidR="00B108A7" w:rsidRPr="00AF0EC2" w:rsidRDefault="00B108A7" w:rsidP="007960A7">
            <w:pPr>
              <w:jc w:val="center"/>
              <w:rPr>
                <w:rFonts w:eastAsia="Times New Roman" w:cs="Arial"/>
                <w:color w:val="000000"/>
                <w:sz w:val="24"/>
                <w:szCs w:val="24"/>
                <w:lang w:eastAsia="en-GB"/>
              </w:rPr>
            </w:pPr>
            <w:r w:rsidRPr="00AF0EC2">
              <w:rPr>
                <w:rFonts w:eastAsia="Times New Roman" w:cs="Arial"/>
                <w:color w:val="000000"/>
                <w:sz w:val="24"/>
                <w:szCs w:val="24"/>
                <w:lang w:eastAsia="en-GB"/>
              </w:rPr>
              <w:t>207,171,235</w:t>
            </w:r>
          </w:p>
        </w:tc>
        <w:tc>
          <w:tcPr>
            <w:tcW w:w="1461" w:type="dxa"/>
          </w:tcPr>
          <w:p w14:paraId="6BFEC12D" w14:textId="48243739" w:rsidR="00B108A7" w:rsidRPr="00AF0EC2" w:rsidRDefault="00B108A7" w:rsidP="007960A7">
            <w:pPr>
              <w:jc w:val="center"/>
              <w:rPr>
                <w:rFonts w:eastAsia="Times New Roman" w:cs="Arial"/>
                <w:color w:val="000000"/>
                <w:sz w:val="24"/>
                <w:szCs w:val="24"/>
                <w:lang w:eastAsia="en-GB"/>
              </w:rPr>
            </w:pPr>
            <w:r>
              <w:rPr>
                <w:rFonts w:eastAsia="Times New Roman" w:cs="Arial"/>
                <w:color w:val="000000"/>
                <w:sz w:val="20"/>
                <w:szCs w:val="20"/>
                <w:lang w:eastAsia="en-GB"/>
              </w:rPr>
              <w:t>148,810,250</w:t>
            </w:r>
          </w:p>
        </w:tc>
      </w:tr>
      <w:tr w:rsidR="00B108A7" w:rsidRPr="00AF0EC2" w14:paraId="2B92BD95" w14:textId="77777777" w:rsidTr="0080117F">
        <w:trPr>
          <w:trHeight w:val="255"/>
          <w:jc w:val="center"/>
        </w:trPr>
        <w:tc>
          <w:tcPr>
            <w:tcW w:w="4049" w:type="dxa"/>
            <w:shd w:val="clear" w:color="auto" w:fill="auto"/>
            <w:noWrap/>
            <w:vAlign w:val="bottom"/>
          </w:tcPr>
          <w:p w14:paraId="3D386B14" w14:textId="6B498456" w:rsidR="00B108A7" w:rsidRPr="00AF0EC2" w:rsidRDefault="00B108A7" w:rsidP="007960A7">
            <w:pPr>
              <w:rPr>
                <w:rFonts w:eastAsia="Times New Roman" w:cs="Arial"/>
                <w:color w:val="000000"/>
                <w:sz w:val="24"/>
                <w:szCs w:val="24"/>
                <w:lang w:eastAsia="en-GB"/>
              </w:rPr>
            </w:pPr>
            <w:r w:rsidRPr="00AF0EC2">
              <w:rPr>
                <w:color w:val="000000"/>
                <w:sz w:val="24"/>
                <w:szCs w:val="24"/>
                <w:lang w:val="en-US"/>
              </w:rPr>
              <w:t>Other Operating Income</w:t>
            </w:r>
          </w:p>
        </w:tc>
        <w:tc>
          <w:tcPr>
            <w:tcW w:w="2173" w:type="dxa"/>
            <w:shd w:val="clear" w:color="auto" w:fill="auto"/>
            <w:noWrap/>
            <w:vAlign w:val="bottom"/>
          </w:tcPr>
          <w:p w14:paraId="551D6EF5" w14:textId="4015726B" w:rsidR="00B108A7" w:rsidRPr="00AF0EC2" w:rsidRDefault="00B108A7" w:rsidP="007960A7">
            <w:pPr>
              <w:jc w:val="center"/>
              <w:rPr>
                <w:rFonts w:eastAsia="Times New Roman" w:cs="Arial"/>
                <w:color w:val="000000"/>
                <w:sz w:val="24"/>
                <w:szCs w:val="24"/>
                <w:lang w:eastAsia="en-GB"/>
              </w:rPr>
            </w:pPr>
            <w:r w:rsidRPr="00AF0EC2">
              <w:rPr>
                <w:color w:val="000000"/>
                <w:sz w:val="24"/>
                <w:szCs w:val="24"/>
                <w:lang w:val="en-US"/>
              </w:rPr>
              <w:t xml:space="preserve">       5,394,119 </w:t>
            </w:r>
          </w:p>
        </w:tc>
        <w:tc>
          <w:tcPr>
            <w:tcW w:w="1525" w:type="dxa"/>
            <w:shd w:val="clear" w:color="auto" w:fill="auto"/>
            <w:noWrap/>
            <w:vAlign w:val="bottom"/>
          </w:tcPr>
          <w:p w14:paraId="78BD342E" w14:textId="6499E0BD" w:rsidR="00B108A7" w:rsidRPr="00AF0EC2" w:rsidRDefault="00B108A7" w:rsidP="007960A7">
            <w:pPr>
              <w:jc w:val="center"/>
              <w:rPr>
                <w:rFonts w:eastAsia="Times New Roman" w:cs="Arial"/>
                <w:color w:val="000000"/>
                <w:sz w:val="24"/>
                <w:szCs w:val="24"/>
                <w:lang w:eastAsia="en-GB"/>
              </w:rPr>
            </w:pPr>
            <w:r w:rsidRPr="00AF0EC2">
              <w:rPr>
                <w:rFonts w:eastAsia="Times New Roman" w:cs="Arial"/>
                <w:color w:val="000000"/>
                <w:sz w:val="24"/>
                <w:szCs w:val="24"/>
                <w:lang w:eastAsia="en-GB"/>
              </w:rPr>
              <w:t>7,259,575</w:t>
            </w:r>
          </w:p>
        </w:tc>
        <w:tc>
          <w:tcPr>
            <w:tcW w:w="1461" w:type="dxa"/>
          </w:tcPr>
          <w:p w14:paraId="0D87BE0D" w14:textId="3067695D" w:rsidR="00B108A7" w:rsidRPr="00AF0EC2" w:rsidRDefault="00B108A7" w:rsidP="007960A7">
            <w:pPr>
              <w:jc w:val="center"/>
              <w:rPr>
                <w:rFonts w:eastAsia="Times New Roman" w:cs="Arial"/>
                <w:color w:val="000000"/>
                <w:sz w:val="24"/>
                <w:szCs w:val="24"/>
                <w:lang w:eastAsia="en-GB"/>
              </w:rPr>
            </w:pPr>
            <w:r>
              <w:rPr>
                <w:rFonts w:eastAsia="Times New Roman" w:cs="Arial"/>
                <w:color w:val="000000"/>
                <w:sz w:val="20"/>
                <w:szCs w:val="20"/>
                <w:lang w:eastAsia="en-GB"/>
              </w:rPr>
              <w:t>11,180,956</w:t>
            </w:r>
          </w:p>
        </w:tc>
      </w:tr>
      <w:tr w:rsidR="00B108A7" w:rsidRPr="00AF0EC2" w14:paraId="7AD0C0BF" w14:textId="77777777" w:rsidTr="0080117F">
        <w:trPr>
          <w:trHeight w:val="270"/>
          <w:jc w:val="center"/>
        </w:trPr>
        <w:tc>
          <w:tcPr>
            <w:tcW w:w="4049" w:type="dxa"/>
            <w:shd w:val="clear" w:color="auto" w:fill="auto"/>
            <w:noWrap/>
            <w:vAlign w:val="bottom"/>
          </w:tcPr>
          <w:p w14:paraId="377FD432" w14:textId="352C2BFF" w:rsidR="00B108A7" w:rsidRPr="00AF0EC2" w:rsidRDefault="00B108A7" w:rsidP="007960A7">
            <w:pPr>
              <w:rPr>
                <w:rFonts w:eastAsia="Times New Roman" w:cs="Arial"/>
                <w:b/>
                <w:bCs/>
                <w:color w:val="000000"/>
                <w:sz w:val="24"/>
                <w:szCs w:val="24"/>
                <w:lang w:eastAsia="en-GB"/>
              </w:rPr>
            </w:pPr>
            <w:r w:rsidRPr="00AF0EC2">
              <w:rPr>
                <w:rFonts w:eastAsia="Times New Roman" w:cs="Arial"/>
                <w:b/>
                <w:bCs/>
                <w:color w:val="000000"/>
                <w:sz w:val="24"/>
                <w:szCs w:val="24"/>
                <w:lang w:eastAsia="en-GB"/>
              </w:rPr>
              <w:t>TOTAL INCOME</w:t>
            </w:r>
          </w:p>
        </w:tc>
        <w:tc>
          <w:tcPr>
            <w:tcW w:w="2173" w:type="dxa"/>
            <w:shd w:val="clear" w:color="auto" w:fill="auto"/>
            <w:noWrap/>
            <w:vAlign w:val="bottom"/>
          </w:tcPr>
          <w:p w14:paraId="15C41FA4" w14:textId="11D34346" w:rsidR="00B108A7" w:rsidRPr="00AF0EC2" w:rsidRDefault="00B108A7" w:rsidP="007960A7">
            <w:pPr>
              <w:jc w:val="center"/>
              <w:rPr>
                <w:rFonts w:eastAsia="Times New Roman" w:cs="Arial"/>
                <w:color w:val="000000"/>
                <w:sz w:val="24"/>
                <w:szCs w:val="24"/>
                <w:lang w:eastAsia="en-GB"/>
              </w:rPr>
            </w:pPr>
            <w:r w:rsidRPr="00AF0EC2">
              <w:rPr>
                <w:b/>
                <w:bCs/>
                <w:color w:val="000000"/>
                <w:sz w:val="24"/>
                <w:szCs w:val="24"/>
                <w:lang w:val="en-US"/>
              </w:rPr>
              <w:t xml:space="preserve">  196,524,119 </w:t>
            </w:r>
          </w:p>
        </w:tc>
        <w:tc>
          <w:tcPr>
            <w:tcW w:w="1525" w:type="dxa"/>
            <w:shd w:val="clear" w:color="auto" w:fill="auto"/>
            <w:noWrap/>
            <w:vAlign w:val="bottom"/>
          </w:tcPr>
          <w:p w14:paraId="04F17685" w14:textId="6887A2ED" w:rsidR="00B108A7" w:rsidRPr="00AF0EC2" w:rsidRDefault="00B108A7" w:rsidP="007960A7">
            <w:pPr>
              <w:jc w:val="center"/>
              <w:rPr>
                <w:rFonts w:eastAsia="Times New Roman" w:cs="Arial"/>
                <w:color w:val="000000"/>
                <w:sz w:val="24"/>
                <w:szCs w:val="24"/>
                <w:lang w:eastAsia="en-GB"/>
              </w:rPr>
            </w:pPr>
            <w:r w:rsidRPr="00AF0EC2">
              <w:rPr>
                <w:rFonts w:eastAsia="Times New Roman" w:cs="Arial"/>
                <w:color w:val="000000"/>
                <w:sz w:val="24"/>
                <w:szCs w:val="24"/>
                <w:lang w:eastAsia="en-GB"/>
              </w:rPr>
              <w:t>214</w:t>
            </w:r>
            <w:r w:rsidRPr="00AF0EC2">
              <w:rPr>
                <w:rFonts w:eastAsia="Times New Roman" w:cs="Arial"/>
                <w:b/>
                <w:bCs/>
                <w:color w:val="000000"/>
                <w:sz w:val="24"/>
                <w:szCs w:val="24"/>
                <w:lang w:eastAsia="en-GB"/>
              </w:rPr>
              <w:t>,430,810</w:t>
            </w:r>
          </w:p>
        </w:tc>
        <w:tc>
          <w:tcPr>
            <w:tcW w:w="1461" w:type="dxa"/>
          </w:tcPr>
          <w:p w14:paraId="3E5C6D0F" w14:textId="0A41DE98" w:rsidR="00B108A7" w:rsidRPr="00AF0EC2" w:rsidRDefault="00B108A7" w:rsidP="007960A7">
            <w:pPr>
              <w:jc w:val="center"/>
              <w:rPr>
                <w:rFonts w:eastAsia="Times New Roman" w:cs="Arial"/>
                <w:color w:val="000000"/>
                <w:sz w:val="24"/>
                <w:szCs w:val="24"/>
                <w:lang w:eastAsia="en-GB"/>
              </w:rPr>
            </w:pPr>
            <w:r w:rsidRPr="00957464">
              <w:rPr>
                <w:rFonts w:eastAsia="Times New Roman" w:cs="Arial"/>
                <w:b/>
                <w:bCs/>
                <w:color w:val="000000"/>
                <w:sz w:val="20"/>
                <w:szCs w:val="20"/>
                <w:lang w:eastAsia="en-GB"/>
              </w:rPr>
              <w:t>159,991,206</w:t>
            </w:r>
          </w:p>
        </w:tc>
      </w:tr>
      <w:tr w:rsidR="00B108A7" w:rsidRPr="00AF0EC2" w14:paraId="38E3E4F3" w14:textId="77777777" w:rsidTr="0080117F">
        <w:trPr>
          <w:trHeight w:val="270"/>
          <w:jc w:val="center"/>
        </w:trPr>
        <w:tc>
          <w:tcPr>
            <w:tcW w:w="4049" w:type="dxa"/>
            <w:shd w:val="clear" w:color="auto" w:fill="auto"/>
            <w:noWrap/>
            <w:vAlign w:val="bottom"/>
          </w:tcPr>
          <w:p w14:paraId="357F5999" w14:textId="77777777" w:rsidR="00B108A7" w:rsidRPr="00AF0EC2" w:rsidRDefault="00B108A7" w:rsidP="007960A7">
            <w:pPr>
              <w:rPr>
                <w:rFonts w:eastAsia="Times New Roman" w:cs="Arial"/>
                <w:color w:val="000000"/>
                <w:sz w:val="24"/>
                <w:szCs w:val="24"/>
                <w:lang w:eastAsia="en-GB"/>
              </w:rPr>
            </w:pPr>
          </w:p>
        </w:tc>
        <w:tc>
          <w:tcPr>
            <w:tcW w:w="2173" w:type="dxa"/>
            <w:shd w:val="clear" w:color="auto" w:fill="auto"/>
            <w:noWrap/>
            <w:vAlign w:val="bottom"/>
          </w:tcPr>
          <w:p w14:paraId="2F13DE0D" w14:textId="77777777" w:rsidR="00B108A7" w:rsidRPr="00AF0EC2" w:rsidRDefault="00B108A7" w:rsidP="007960A7">
            <w:pPr>
              <w:jc w:val="center"/>
              <w:rPr>
                <w:rFonts w:eastAsia="Times New Roman"/>
                <w:sz w:val="24"/>
                <w:szCs w:val="24"/>
                <w:lang w:eastAsia="en-GB"/>
              </w:rPr>
            </w:pPr>
          </w:p>
        </w:tc>
        <w:tc>
          <w:tcPr>
            <w:tcW w:w="1525" w:type="dxa"/>
            <w:shd w:val="clear" w:color="auto" w:fill="auto"/>
            <w:noWrap/>
            <w:vAlign w:val="bottom"/>
          </w:tcPr>
          <w:p w14:paraId="6435DC66" w14:textId="77777777" w:rsidR="00B108A7" w:rsidRPr="00AF0EC2" w:rsidRDefault="00B108A7" w:rsidP="007960A7">
            <w:pPr>
              <w:jc w:val="center"/>
              <w:rPr>
                <w:rFonts w:eastAsia="Times New Roman"/>
                <w:sz w:val="24"/>
                <w:szCs w:val="24"/>
                <w:lang w:eastAsia="en-GB"/>
              </w:rPr>
            </w:pPr>
          </w:p>
        </w:tc>
        <w:tc>
          <w:tcPr>
            <w:tcW w:w="1461" w:type="dxa"/>
            <w:vAlign w:val="bottom"/>
          </w:tcPr>
          <w:p w14:paraId="01551A70" w14:textId="77777777" w:rsidR="00B108A7" w:rsidRPr="00AF0EC2" w:rsidRDefault="00B108A7" w:rsidP="007960A7">
            <w:pPr>
              <w:jc w:val="center"/>
              <w:rPr>
                <w:rFonts w:eastAsia="Times New Roman"/>
                <w:sz w:val="24"/>
                <w:szCs w:val="24"/>
                <w:lang w:eastAsia="en-GB"/>
              </w:rPr>
            </w:pPr>
          </w:p>
        </w:tc>
      </w:tr>
      <w:tr w:rsidR="00B108A7" w:rsidRPr="00AF0EC2" w14:paraId="5EB793FE" w14:textId="77777777" w:rsidTr="0080117F">
        <w:trPr>
          <w:trHeight w:val="255"/>
          <w:jc w:val="center"/>
        </w:trPr>
        <w:tc>
          <w:tcPr>
            <w:tcW w:w="4049" w:type="dxa"/>
            <w:shd w:val="clear" w:color="auto" w:fill="auto"/>
            <w:noWrap/>
            <w:vAlign w:val="bottom"/>
          </w:tcPr>
          <w:p w14:paraId="19D302D7" w14:textId="7E66C71B" w:rsidR="00B108A7" w:rsidRPr="00AF0EC2" w:rsidRDefault="00B108A7" w:rsidP="007960A7">
            <w:pPr>
              <w:rPr>
                <w:rFonts w:eastAsia="Times New Roman" w:cs="Arial"/>
                <w:b/>
                <w:bCs/>
                <w:color w:val="000000"/>
                <w:sz w:val="24"/>
                <w:szCs w:val="24"/>
                <w:lang w:eastAsia="en-GB"/>
              </w:rPr>
            </w:pPr>
            <w:r w:rsidRPr="00AF0EC2">
              <w:rPr>
                <w:b/>
                <w:bCs/>
                <w:color w:val="000000"/>
                <w:sz w:val="24"/>
                <w:szCs w:val="24"/>
                <w:lang w:val="en-US"/>
              </w:rPr>
              <w:t>EXPENDITURE:</w:t>
            </w:r>
          </w:p>
        </w:tc>
        <w:tc>
          <w:tcPr>
            <w:tcW w:w="2173" w:type="dxa"/>
            <w:shd w:val="clear" w:color="auto" w:fill="auto"/>
            <w:noWrap/>
            <w:vAlign w:val="bottom"/>
          </w:tcPr>
          <w:p w14:paraId="355CF5B2" w14:textId="77777777" w:rsidR="00B108A7" w:rsidRPr="00AF0EC2" w:rsidRDefault="00B108A7" w:rsidP="007960A7">
            <w:pPr>
              <w:jc w:val="center"/>
              <w:rPr>
                <w:rFonts w:eastAsia="Times New Roman"/>
                <w:sz w:val="24"/>
                <w:szCs w:val="24"/>
                <w:lang w:eastAsia="en-GB"/>
              </w:rPr>
            </w:pPr>
          </w:p>
        </w:tc>
        <w:tc>
          <w:tcPr>
            <w:tcW w:w="1525" w:type="dxa"/>
            <w:shd w:val="clear" w:color="auto" w:fill="auto"/>
            <w:noWrap/>
            <w:vAlign w:val="bottom"/>
          </w:tcPr>
          <w:p w14:paraId="254C136C" w14:textId="77777777" w:rsidR="00B108A7" w:rsidRPr="00AF0EC2" w:rsidRDefault="00B108A7" w:rsidP="007960A7">
            <w:pPr>
              <w:jc w:val="center"/>
              <w:rPr>
                <w:rFonts w:eastAsia="Times New Roman"/>
                <w:sz w:val="24"/>
                <w:szCs w:val="24"/>
                <w:lang w:eastAsia="en-GB"/>
              </w:rPr>
            </w:pPr>
          </w:p>
        </w:tc>
        <w:tc>
          <w:tcPr>
            <w:tcW w:w="1461" w:type="dxa"/>
            <w:vAlign w:val="bottom"/>
          </w:tcPr>
          <w:p w14:paraId="7291CECD" w14:textId="77777777" w:rsidR="00B108A7" w:rsidRPr="00AF0EC2" w:rsidRDefault="00B108A7" w:rsidP="007960A7">
            <w:pPr>
              <w:jc w:val="center"/>
              <w:rPr>
                <w:rFonts w:eastAsia="Times New Roman"/>
                <w:sz w:val="24"/>
                <w:szCs w:val="24"/>
                <w:lang w:eastAsia="en-GB"/>
              </w:rPr>
            </w:pPr>
          </w:p>
        </w:tc>
      </w:tr>
      <w:tr w:rsidR="00B108A7" w:rsidRPr="00AF0EC2" w14:paraId="1708BA73" w14:textId="77777777" w:rsidTr="0080117F">
        <w:trPr>
          <w:trHeight w:val="255"/>
          <w:jc w:val="center"/>
        </w:trPr>
        <w:tc>
          <w:tcPr>
            <w:tcW w:w="4049" w:type="dxa"/>
            <w:shd w:val="clear" w:color="auto" w:fill="auto"/>
            <w:noWrap/>
            <w:vAlign w:val="bottom"/>
          </w:tcPr>
          <w:p w14:paraId="43B56B7D" w14:textId="47F15E5B" w:rsidR="00B108A7" w:rsidRPr="00AF0EC2" w:rsidRDefault="00B108A7" w:rsidP="007960A7">
            <w:pPr>
              <w:rPr>
                <w:rFonts w:eastAsia="Times New Roman" w:cs="Arial"/>
                <w:color w:val="000000"/>
                <w:sz w:val="24"/>
                <w:szCs w:val="24"/>
                <w:lang w:eastAsia="en-GB"/>
              </w:rPr>
            </w:pPr>
            <w:r w:rsidRPr="00AF0EC2">
              <w:rPr>
                <w:color w:val="000000"/>
                <w:sz w:val="24"/>
                <w:szCs w:val="24"/>
                <w:lang w:val="en-US"/>
              </w:rPr>
              <w:t>Governance Costs</w:t>
            </w:r>
          </w:p>
        </w:tc>
        <w:tc>
          <w:tcPr>
            <w:tcW w:w="2173" w:type="dxa"/>
            <w:shd w:val="clear" w:color="auto" w:fill="auto"/>
            <w:noWrap/>
            <w:vAlign w:val="bottom"/>
          </w:tcPr>
          <w:p w14:paraId="12883F29" w14:textId="70C88415" w:rsidR="00B108A7" w:rsidRPr="00AF0EC2" w:rsidRDefault="00B108A7" w:rsidP="007960A7">
            <w:pPr>
              <w:jc w:val="center"/>
              <w:rPr>
                <w:rFonts w:eastAsia="Times New Roman" w:cs="Arial"/>
                <w:color w:val="000000"/>
                <w:sz w:val="24"/>
                <w:szCs w:val="24"/>
                <w:lang w:eastAsia="en-GB"/>
              </w:rPr>
            </w:pPr>
            <w:r w:rsidRPr="00AF0EC2">
              <w:rPr>
                <w:color w:val="000000"/>
                <w:sz w:val="24"/>
                <w:szCs w:val="24"/>
                <w:lang w:val="en-US"/>
              </w:rPr>
              <w:t xml:space="preserve">       6,468,860 </w:t>
            </w:r>
          </w:p>
        </w:tc>
        <w:tc>
          <w:tcPr>
            <w:tcW w:w="1525" w:type="dxa"/>
            <w:shd w:val="clear" w:color="auto" w:fill="auto"/>
            <w:noWrap/>
            <w:vAlign w:val="bottom"/>
          </w:tcPr>
          <w:p w14:paraId="62465442" w14:textId="3225CFFD" w:rsidR="00B108A7" w:rsidRPr="00AF0EC2" w:rsidRDefault="00B108A7" w:rsidP="007960A7">
            <w:pPr>
              <w:jc w:val="center"/>
              <w:rPr>
                <w:rFonts w:eastAsia="Times New Roman" w:cs="Arial"/>
                <w:color w:val="000000"/>
                <w:sz w:val="24"/>
                <w:szCs w:val="24"/>
                <w:lang w:eastAsia="en-GB"/>
              </w:rPr>
            </w:pPr>
            <w:r w:rsidRPr="00AF0EC2">
              <w:rPr>
                <w:rFonts w:eastAsia="Times New Roman" w:cs="Arial"/>
                <w:color w:val="000000"/>
                <w:sz w:val="24"/>
                <w:szCs w:val="24"/>
                <w:lang w:eastAsia="en-GB"/>
              </w:rPr>
              <w:t>9,262,118</w:t>
            </w:r>
          </w:p>
        </w:tc>
        <w:tc>
          <w:tcPr>
            <w:tcW w:w="1461" w:type="dxa"/>
          </w:tcPr>
          <w:p w14:paraId="3F1B57EB" w14:textId="2365A86F" w:rsidR="00B108A7" w:rsidRPr="00AF0EC2" w:rsidRDefault="00B108A7" w:rsidP="007960A7">
            <w:pPr>
              <w:jc w:val="center"/>
              <w:rPr>
                <w:rFonts w:eastAsia="Times New Roman" w:cs="Arial"/>
                <w:color w:val="000000"/>
                <w:sz w:val="24"/>
                <w:szCs w:val="24"/>
                <w:lang w:eastAsia="en-GB"/>
              </w:rPr>
            </w:pPr>
            <w:r w:rsidRPr="00AF0EC2">
              <w:rPr>
                <w:rFonts w:eastAsia="Times New Roman" w:cs="Arial"/>
                <w:color w:val="000000"/>
                <w:sz w:val="24"/>
                <w:szCs w:val="24"/>
                <w:lang w:eastAsia="en-GB"/>
              </w:rPr>
              <w:t>4,692,267</w:t>
            </w:r>
          </w:p>
        </w:tc>
      </w:tr>
      <w:tr w:rsidR="00B108A7" w:rsidRPr="00AF0EC2" w14:paraId="4FB3B91D" w14:textId="77777777" w:rsidTr="0080117F">
        <w:trPr>
          <w:trHeight w:val="255"/>
          <w:jc w:val="center"/>
        </w:trPr>
        <w:tc>
          <w:tcPr>
            <w:tcW w:w="4049" w:type="dxa"/>
            <w:shd w:val="clear" w:color="auto" w:fill="auto"/>
            <w:noWrap/>
            <w:vAlign w:val="bottom"/>
          </w:tcPr>
          <w:p w14:paraId="44E58CB8" w14:textId="11BD932A" w:rsidR="00B108A7" w:rsidRPr="00AF0EC2" w:rsidRDefault="00B108A7" w:rsidP="007960A7">
            <w:pPr>
              <w:rPr>
                <w:rFonts w:eastAsia="Times New Roman" w:cs="Arial"/>
                <w:color w:val="000000"/>
                <w:sz w:val="24"/>
                <w:szCs w:val="24"/>
                <w:lang w:eastAsia="en-GB"/>
              </w:rPr>
            </w:pPr>
            <w:r w:rsidRPr="00AF0EC2">
              <w:rPr>
                <w:color w:val="000000"/>
                <w:sz w:val="24"/>
                <w:szCs w:val="24"/>
                <w:lang w:val="en-US"/>
              </w:rPr>
              <w:t>Staff Costs</w:t>
            </w:r>
          </w:p>
        </w:tc>
        <w:tc>
          <w:tcPr>
            <w:tcW w:w="2173" w:type="dxa"/>
            <w:shd w:val="clear" w:color="auto" w:fill="auto"/>
            <w:noWrap/>
            <w:vAlign w:val="bottom"/>
          </w:tcPr>
          <w:p w14:paraId="7B084F2D" w14:textId="5780078C" w:rsidR="00B108A7" w:rsidRPr="00AF0EC2" w:rsidRDefault="00B108A7" w:rsidP="007960A7">
            <w:pPr>
              <w:jc w:val="center"/>
              <w:rPr>
                <w:rFonts w:eastAsia="Times New Roman" w:cs="Arial"/>
                <w:color w:val="000000"/>
                <w:sz w:val="24"/>
                <w:szCs w:val="24"/>
                <w:lang w:eastAsia="en-GB"/>
              </w:rPr>
            </w:pPr>
            <w:r w:rsidRPr="00AF0EC2">
              <w:rPr>
                <w:color w:val="000000"/>
                <w:sz w:val="24"/>
                <w:szCs w:val="24"/>
                <w:lang w:val="en-US"/>
              </w:rPr>
              <w:t xml:space="preserve">   144,416,424 </w:t>
            </w:r>
          </w:p>
        </w:tc>
        <w:tc>
          <w:tcPr>
            <w:tcW w:w="1525" w:type="dxa"/>
            <w:shd w:val="clear" w:color="auto" w:fill="auto"/>
            <w:noWrap/>
            <w:vAlign w:val="bottom"/>
          </w:tcPr>
          <w:p w14:paraId="0D74B34D" w14:textId="6FA8D8ED" w:rsidR="00B108A7" w:rsidRPr="00AF0EC2" w:rsidRDefault="00B108A7" w:rsidP="007960A7">
            <w:pPr>
              <w:jc w:val="center"/>
              <w:rPr>
                <w:rFonts w:eastAsia="Times New Roman" w:cs="Arial"/>
                <w:color w:val="000000"/>
                <w:sz w:val="24"/>
                <w:szCs w:val="24"/>
                <w:lang w:eastAsia="en-GB"/>
              </w:rPr>
            </w:pPr>
            <w:r w:rsidRPr="00AF0EC2">
              <w:rPr>
                <w:rFonts w:eastAsia="Times New Roman" w:cs="Arial"/>
                <w:color w:val="000000"/>
                <w:sz w:val="24"/>
                <w:szCs w:val="24"/>
                <w:lang w:eastAsia="en-GB"/>
              </w:rPr>
              <w:t>128,554,442</w:t>
            </w:r>
          </w:p>
        </w:tc>
        <w:tc>
          <w:tcPr>
            <w:tcW w:w="1461" w:type="dxa"/>
          </w:tcPr>
          <w:p w14:paraId="510F36BC" w14:textId="0DFB7747" w:rsidR="00B108A7" w:rsidRPr="00AF0EC2" w:rsidRDefault="00B108A7" w:rsidP="007960A7">
            <w:pPr>
              <w:jc w:val="center"/>
              <w:rPr>
                <w:rFonts w:eastAsia="Times New Roman" w:cs="Arial"/>
                <w:color w:val="000000"/>
                <w:sz w:val="24"/>
                <w:szCs w:val="24"/>
                <w:lang w:eastAsia="en-GB"/>
              </w:rPr>
            </w:pPr>
            <w:r w:rsidRPr="00AF0EC2">
              <w:rPr>
                <w:rFonts w:eastAsia="Times New Roman" w:cs="Arial"/>
                <w:color w:val="000000"/>
                <w:sz w:val="24"/>
                <w:szCs w:val="24"/>
                <w:lang w:eastAsia="en-GB"/>
              </w:rPr>
              <w:t>125,299,141</w:t>
            </w:r>
          </w:p>
        </w:tc>
      </w:tr>
      <w:tr w:rsidR="00B108A7" w:rsidRPr="00AF0EC2" w14:paraId="18F893C0" w14:textId="77777777" w:rsidTr="0080117F">
        <w:trPr>
          <w:trHeight w:val="255"/>
          <w:jc w:val="center"/>
        </w:trPr>
        <w:tc>
          <w:tcPr>
            <w:tcW w:w="4049" w:type="dxa"/>
            <w:shd w:val="clear" w:color="auto" w:fill="auto"/>
            <w:noWrap/>
            <w:vAlign w:val="bottom"/>
          </w:tcPr>
          <w:p w14:paraId="3CD1802D" w14:textId="30C37E63" w:rsidR="00B108A7" w:rsidRPr="00AF0EC2" w:rsidRDefault="00B108A7" w:rsidP="007960A7">
            <w:pPr>
              <w:rPr>
                <w:rFonts w:eastAsia="Times New Roman" w:cs="Arial"/>
                <w:color w:val="000000"/>
                <w:sz w:val="24"/>
                <w:szCs w:val="24"/>
                <w:lang w:eastAsia="en-GB"/>
              </w:rPr>
            </w:pPr>
            <w:r w:rsidRPr="00AF0EC2">
              <w:rPr>
                <w:color w:val="000000"/>
                <w:sz w:val="24"/>
                <w:szCs w:val="24"/>
                <w:lang w:val="en-US"/>
              </w:rPr>
              <w:t>Communication Costs</w:t>
            </w:r>
          </w:p>
        </w:tc>
        <w:tc>
          <w:tcPr>
            <w:tcW w:w="2173" w:type="dxa"/>
            <w:shd w:val="clear" w:color="auto" w:fill="auto"/>
            <w:noWrap/>
            <w:vAlign w:val="bottom"/>
          </w:tcPr>
          <w:p w14:paraId="453B810F" w14:textId="65AE71AE" w:rsidR="00B108A7" w:rsidRPr="00AF0EC2" w:rsidRDefault="00B108A7" w:rsidP="007960A7">
            <w:pPr>
              <w:jc w:val="center"/>
              <w:rPr>
                <w:rFonts w:eastAsia="Times New Roman" w:cs="Arial"/>
                <w:color w:val="000000"/>
                <w:sz w:val="24"/>
                <w:szCs w:val="24"/>
                <w:lang w:eastAsia="en-GB"/>
              </w:rPr>
            </w:pPr>
            <w:r w:rsidRPr="00AF0EC2">
              <w:rPr>
                <w:color w:val="000000"/>
                <w:sz w:val="24"/>
                <w:szCs w:val="24"/>
                <w:lang w:val="en-US"/>
              </w:rPr>
              <w:t xml:space="preserve">       5,846,930 </w:t>
            </w:r>
          </w:p>
        </w:tc>
        <w:tc>
          <w:tcPr>
            <w:tcW w:w="1525" w:type="dxa"/>
            <w:shd w:val="clear" w:color="auto" w:fill="auto"/>
            <w:noWrap/>
            <w:vAlign w:val="bottom"/>
          </w:tcPr>
          <w:p w14:paraId="35D7CB36" w14:textId="3B96E8E5" w:rsidR="00B108A7" w:rsidRPr="00AF0EC2" w:rsidRDefault="00B108A7" w:rsidP="007960A7">
            <w:pPr>
              <w:jc w:val="center"/>
              <w:rPr>
                <w:rFonts w:eastAsia="Times New Roman"/>
                <w:sz w:val="24"/>
                <w:szCs w:val="24"/>
                <w:lang w:eastAsia="en-GB"/>
              </w:rPr>
            </w:pPr>
            <w:r w:rsidRPr="00AF0EC2">
              <w:rPr>
                <w:rFonts w:eastAsia="Times New Roman" w:cs="Arial"/>
                <w:color w:val="000000"/>
                <w:sz w:val="24"/>
                <w:szCs w:val="24"/>
                <w:lang w:eastAsia="en-GB"/>
              </w:rPr>
              <w:t>6,841,728</w:t>
            </w:r>
          </w:p>
        </w:tc>
        <w:tc>
          <w:tcPr>
            <w:tcW w:w="1461" w:type="dxa"/>
          </w:tcPr>
          <w:p w14:paraId="329BAAEA" w14:textId="031BA72E" w:rsidR="00B108A7" w:rsidRPr="00AF0EC2" w:rsidRDefault="00B108A7" w:rsidP="007960A7">
            <w:pPr>
              <w:jc w:val="center"/>
              <w:rPr>
                <w:rFonts w:eastAsia="Times New Roman"/>
                <w:sz w:val="24"/>
                <w:szCs w:val="24"/>
                <w:lang w:eastAsia="en-GB"/>
              </w:rPr>
            </w:pPr>
            <w:r w:rsidRPr="00AF0EC2">
              <w:rPr>
                <w:rFonts w:eastAsia="Times New Roman" w:cs="Arial"/>
                <w:color w:val="000000"/>
                <w:sz w:val="24"/>
                <w:szCs w:val="24"/>
                <w:lang w:eastAsia="en-GB"/>
              </w:rPr>
              <w:t>7,920,047</w:t>
            </w:r>
          </w:p>
        </w:tc>
      </w:tr>
      <w:tr w:rsidR="00B108A7" w:rsidRPr="00AF0EC2" w14:paraId="093CC310" w14:textId="77777777" w:rsidTr="0080117F">
        <w:trPr>
          <w:trHeight w:val="255"/>
          <w:jc w:val="center"/>
        </w:trPr>
        <w:tc>
          <w:tcPr>
            <w:tcW w:w="4049" w:type="dxa"/>
            <w:shd w:val="clear" w:color="auto" w:fill="auto"/>
            <w:noWrap/>
            <w:vAlign w:val="bottom"/>
          </w:tcPr>
          <w:p w14:paraId="1348DDD5" w14:textId="56D4646B" w:rsidR="00B108A7" w:rsidRPr="00AF0EC2" w:rsidRDefault="00B108A7" w:rsidP="007960A7">
            <w:pPr>
              <w:rPr>
                <w:rFonts w:eastAsia="Times New Roman" w:cs="Arial"/>
                <w:color w:val="000000"/>
                <w:sz w:val="24"/>
                <w:szCs w:val="24"/>
                <w:lang w:eastAsia="en-GB"/>
              </w:rPr>
            </w:pPr>
            <w:r w:rsidRPr="00AF0EC2">
              <w:rPr>
                <w:color w:val="000000"/>
                <w:sz w:val="24"/>
                <w:szCs w:val="24"/>
                <w:lang w:val="en-US"/>
              </w:rPr>
              <w:t>Promotion Costs</w:t>
            </w:r>
          </w:p>
        </w:tc>
        <w:tc>
          <w:tcPr>
            <w:tcW w:w="2173" w:type="dxa"/>
            <w:shd w:val="clear" w:color="auto" w:fill="auto"/>
            <w:noWrap/>
            <w:vAlign w:val="bottom"/>
          </w:tcPr>
          <w:p w14:paraId="6C102FE9" w14:textId="704C08A9" w:rsidR="00B108A7" w:rsidRPr="00AF0EC2" w:rsidRDefault="00B108A7" w:rsidP="007960A7">
            <w:pPr>
              <w:jc w:val="center"/>
              <w:rPr>
                <w:rFonts w:eastAsia="Times New Roman" w:cs="Arial"/>
                <w:color w:val="000000"/>
                <w:sz w:val="24"/>
                <w:szCs w:val="24"/>
                <w:lang w:eastAsia="en-GB"/>
              </w:rPr>
            </w:pPr>
            <w:r w:rsidRPr="00AF0EC2">
              <w:rPr>
                <w:color w:val="000000"/>
                <w:sz w:val="24"/>
                <w:szCs w:val="24"/>
                <w:lang w:val="en-US"/>
              </w:rPr>
              <w:t xml:space="preserve">       2,087,319 </w:t>
            </w:r>
          </w:p>
        </w:tc>
        <w:tc>
          <w:tcPr>
            <w:tcW w:w="1525" w:type="dxa"/>
            <w:shd w:val="clear" w:color="auto" w:fill="auto"/>
            <w:noWrap/>
            <w:vAlign w:val="bottom"/>
          </w:tcPr>
          <w:p w14:paraId="7132A82F" w14:textId="27716924" w:rsidR="00B108A7" w:rsidRPr="00AF0EC2" w:rsidRDefault="00B108A7" w:rsidP="007960A7">
            <w:pPr>
              <w:jc w:val="center"/>
              <w:rPr>
                <w:rFonts w:eastAsia="Times New Roman" w:cs="Arial"/>
                <w:color w:val="000000"/>
                <w:sz w:val="24"/>
                <w:szCs w:val="24"/>
                <w:lang w:eastAsia="en-GB"/>
              </w:rPr>
            </w:pPr>
            <w:r w:rsidRPr="00AF0EC2">
              <w:rPr>
                <w:rFonts w:eastAsia="Times New Roman" w:cs="Arial"/>
                <w:color w:val="000000"/>
                <w:sz w:val="24"/>
                <w:szCs w:val="24"/>
                <w:lang w:eastAsia="en-GB"/>
              </w:rPr>
              <w:t>1,495,949</w:t>
            </w:r>
          </w:p>
        </w:tc>
        <w:tc>
          <w:tcPr>
            <w:tcW w:w="1461" w:type="dxa"/>
          </w:tcPr>
          <w:p w14:paraId="3F6B0F75" w14:textId="56E92EA8" w:rsidR="00B108A7" w:rsidRPr="00AF0EC2" w:rsidRDefault="00B108A7" w:rsidP="007960A7">
            <w:pPr>
              <w:jc w:val="center"/>
              <w:rPr>
                <w:rFonts w:eastAsia="Times New Roman" w:cs="Arial"/>
                <w:color w:val="000000"/>
                <w:sz w:val="24"/>
                <w:szCs w:val="24"/>
                <w:lang w:eastAsia="en-GB"/>
              </w:rPr>
            </w:pPr>
            <w:r w:rsidRPr="00AF0EC2">
              <w:rPr>
                <w:rFonts w:eastAsia="Times New Roman" w:cs="Arial"/>
                <w:color w:val="000000"/>
                <w:sz w:val="24"/>
                <w:szCs w:val="24"/>
                <w:lang w:eastAsia="en-GB"/>
              </w:rPr>
              <w:t>1,982,612</w:t>
            </w:r>
          </w:p>
        </w:tc>
      </w:tr>
      <w:tr w:rsidR="00B108A7" w:rsidRPr="00AF0EC2" w14:paraId="2173DBC2" w14:textId="77777777" w:rsidTr="0080117F">
        <w:trPr>
          <w:trHeight w:val="255"/>
          <w:jc w:val="center"/>
        </w:trPr>
        <w:tc>
          <w:tcPr>
            <w:tcW w:w="4049" w:type="dxa"/>
            <w:shd w:val="clear" w:color="auto" w:fill="auto"/>
            <w:noWrap/>
            <w:vAlign w:val="bottom"/>
          </w:tcPr>
          <w:p w14:paraId="7B140231" w14:textId="2D1D4F83" w:rsidR="00B108A7" w:rsidRPr="00AF0EC2" w:rsidRDefault="00B108A7" w:rsidP="007960A7">
            <w:pPr>
              <w:rPr>
                <w:rFonts w:eastAsia="Times New Roman" w:cs="Arial"/>
                <w:color w:val="000000"/>
                <w:sz w:val="24"/>
                <w:szCs w:val="24"/>
                <w:lang w:eastAsia="en-GB"/>
              </w:rPr>
            </w:pPr>
            <w:r w:rsidRPr="00AF0EC2">
              <w:rPr>
                <w:color w:val="000000"/>
                <w:sz w:val="24"/>
                <w:szCs w:val="24"/>
                <w:lang w:val="en-US"/>
              </w:rPr>
              <w:t>Establishment Costs</w:t>
            </w:r>
          </w:p>
        </w:tc>
        <w:tc>
          <w:tcPr>
            <w:tcW w:w="2173" w:type="dxa"/>
            <w:shd w:val="clear" w:color="auto" w:fill="auto"/>
            <w:noWrap/>
            <w:vAlign w:val="bottom"/>
          </w:tcPr>
          <w:p w14:paraId="5DD5B4EB" w14:textId="2FF51D2D" w:rsidR="00B108A7" w:rsidRPr="00AF0EC2" w:rsidRDefault="00B108A7" w:rsidP="007960A7">
            <w:pPr>
              <w:jc w:val="center"/>
              <w:rPr>
                <w:rFonts w:eastAsia="Times New Roman" w:cs="Arial"/>
                <w:color w:val="000000"/>
                <w:sz w:val="24"/>
                <w:szCs w:val="24"/>
                <w:lang w:eastAsia="en-GB"/>
              </w:rPr>
            </w:pPr>
            <w:r w:rsidRPr="00AF0EC2">
              <w:rPr>
                <w:color w:val="000000"/>
                <w:sz w:val="24"/>
                <w:szCs w:val="24"/>
                <w:lang w:val="en-US"/>
              </w:rPr>
              <w:t xml:space="preserve">     15,169,875 </w:t>
            </w:r>
          </w:p>
        </w:tc>
        <w:tc>
          <w:tcPr>
            <w:tcW w:w="1525" w:type="dxa"/>
            <w:shd w:val="clear" w:color="auto" w:fill="auto"/>
            <w:noWrap/>
            <w:vAlign w:val="bottom"/>
          </w:tcPr>
          <w:p w14:paraId="5DF8BC31" w14:textId="44DB5CA6" w:rsidR="00B108A7" w:rsidRPr="00AF0EC2" w:rsidRDefault="00B108A7" w:rsidP="007960A7">
            <w:pPr>
              <w:jc w:val="center"/>
              <w:rPr>
                <w:rFonts w:eastAsia="Times New Roman" w:cs="Arial"/>
                <w:color w:val="000000"/>
                <w:sz w:val="24"/>
                <w:szCs w:val="24"/>
                <w:lang w:eastAsia="en-GB"/>
              </w:rPr>
            </w:pPr>
            <w:r w:rsidRPr="00AF0EC2">
              <w:rPr>
                <w:rFonts w:eastAsia="Times New Roman" w:cs="Arial"/>
                <w:color w:val="000000"/>
                <w:sz w:val="24"/>
                <w:szCs w:val="24"/>
                <w:lang w:eastAsia="en-GB"/>
              </w:rPr>
              <w:t>17,237,847</w:t>
            </w:r>
          </w:p>
        </w:tc>
        <w:tc>
          <w:tcPr>
            <w:tcW w:w="1461" w:type="dxa"/>
          </w:tcPr>
          <w:p w14:paraId="2A58885B" w14:textId="4AAFBD8C" w:rsidR="00B108A7" w:rsidRPr="00AF0EC2" w:rsidRDefault="00B108A7" w:rsidP="007960A7">
            <w:pPr>
              <w:jc w:val="center"/>
              <w:rPr>
                <w:rFonts w:eastAsia="Times New Roman" w:cs="Arial"/>
                <w:color w:val="000000"/>
                <w:sz w:val="24"/>
                <w:szCs w:val="24"/>
                <w:lang w:eastAsia="en-GB"/>
              </w:rPr>
            </w:pPr>
            <w:r w:rsidRPr="00AF0EC2">
              <w:rPr>
                <w:rFonts w:eastAsia="Times New Roman" w:cs="Arial"/>
                <w:color w:val="000000"/>
                <w:sz w:val="24"/>
                <w:szCs w:val="24"/>
                <w:lang w:eastAsia="en-GB"/>
              </w:rPr>
              <w:t>14,364,683</w:t>
            </w:r>
          </w:p>
        </w:tc>
      </w:tr>
      <w:tr w:rsidR="00B108A7" w:rsidRPr="00AF0EC2" w14:paraId="663D5D05" w14:textId="77777777" w:rsidTr="0080117F">
        <w:trPr>
          <w:trHeight w:val="270"/>
          <w:jc w:val="center"/>
        </w:trPr>
        <w:tc>
          <w:tcPr>
            <w:tcW w:w="4049" w:type="dxa"/>
            <w:shd w:val="clear" w:color="auto" w:fill="auto"/>
            <w:noWrap/>
            <w:vAlign w:val="bottom"/>
          </w:tcPr>
          <w:p w14:paraId="74C26D00" w14:textId="58802AFB" w:rsidR="00B108A7" w:rsidRPr="00AF0EC2" w:rsidRDefault="00B108A7" w:rsidP="007960A7">
            <w:pPr>
              <w:rPr>
                <w:rFonts w:eastAsia="Times New Roman" w:cs="Arial"/>
                <w:b/>
                <w:bCs/>
                <w:color w:val="000000"/>
                <w:sz w:val="24"/>
                <w:szCs w:val="24"/>
                <w:lang w:eastAsia="en-GB"/>
              </w:rPr>
            </w:pPr>
            <w:r w:rsidRPr="00AF0EC2">
              <w:rPr>
                <w:color w:val="000000"/>
                <w:sz w:val="24"/>
                <w:szCs w:val="24"/>
                <w:lang w:val="en-US"/>
              </w:rPr>
              <w:t>ICT Maintenance Costs</w:t>
            </w:r>
          </w:p>
        </w:tc>
        <w:tc>
          <w:tcPr>
            <w:tcW w:w="2173" w:type="dxa"/>
            <w:shd w:val="clear" w:color="auto" w:fill="auto"/>
            <w:noWrap/>
            <w:vAlign w:val="bottom"/>
          </w:tcPr>
          <w:p w14:paraId="67782B6D" w14:textId="696D22D5" w:rsidR="00B108A7" w:rsidRPr="00AF0EC2" w:rsidRDefault="00B108A7" w:rsidP="007960A7">
            <w:pPr>
              <w:jc w:val="center"/>
              <w:rPr>
                <w:rFonts w:eastAsia="Times New Roman" w:cs="Arial"/>
                <w:color w:val="000000"/>
                <w:sz w:val="24"/>
                <w:szCs w:val="24"/>
                <w:lang w:eastAsia="en-GB"/>
              </w:rPr>
            </w:pPr>
            <w:r w:rsidRPr="00AF0EC2">
              <w:rPr>
                <w:color w:val="000000"/>
                <w:sz w:val="24"/>
                <w:szCs w:val="24"/>
                <w:lang w:val="en-US"/>
              </w:rPr>
              <w:t xml:space="preserve">       7,690,274 </w:t>
            </w:r>
          </w:p>
        </w:tc>
        <w:tc>
          <w:tcPr>
            <w:tcW w:w="1525" w:type="dxa"/>
            <w:shd w:val="clear" w:color="auto" w:fill="auto"/>
            <w:noWrap/>
            <w:vAlign w:val="bottom"/>
          </w:tcPr>
          <w:p w14:paraId="599E4D3D" w14:textId="2E7E2C97" w:rsidR="00B108A7" w:rsidRPr="00AF0EC2" w:rsidRDefault="00B108A7" w:rsidP="007960A7">
            <w:pPr>
              <w:jc w:val="center"/>
              <w:rPr>
                <w:rFonts w:eastAsia="Times New Roman" w:cs="Arial"/>
                <w:color w:val="000000"/>
                <w:sz w:val="24"/>
                <w:szCs w:val="24"/>
                <w:lang w:eastAsia="en-GB"/>
              </w:rPr>
            </w:pPr>
            <w:r w:rsidRPr="00AF0EC2">
              <w:rPr>
                <w:rFonts w:eastAsia="Times New Roman" w:cs="Arial"/>
                <w:color w:val="000000"/>
                <w:sz w:val="24"/>
                <w:szCs w:val="24"/>
                <w:lang w:eastAsia="en-GB"/>
              </w:rPr>
              <w:t>11,274,060</w:t>
            </w:r>
          </w:p>
        </w:tc>
        <w:tc>
          <w:tcPr>
            <w:tcW w:w="1461" w:type="dxa"/>
          </w:tcPr>
          <w:p w14:paraId="29060011" w14:textId="53077E86" w:rsidR="00B108A7" w:rsidRPr="00AF0EC2" w:rsidRDefault="00B108A7" w:rsidP="007960A7">
            <w:pPr>
              <w:jc w:val="center"/>
              <w:rPr>
                <w:rFonts w:eastAsia="Times New Roman" w:cs="Arial"/>
                <w:color w:val="000000"/>
                <w:sz w:val="24"/>
                <w:szCs w:val="24"/>
                <w:lang w:eastAsia="en-GB"/>
              </w:rPr>
            </w:pPr>
            <w:r w:rsidRPr="00AF0EC2">
              <w:rPr>
                <w:rFonts w:eastAsia="Times New Roman" w:cs="Arial"/>
                <w:color w:val="000000"/>
                <w:sz w:val="24"/>
                <w:szCs w:val="24"/>
                <w:lang w:eastAsia="en-GB"/>
              </w:rPr>
              <w:t>5,134,048</w:t>
            </w:r>
          </w:p>
        </w:tc>
      </w:tr>
      <w:tr w:rsidR="00B108A7" w:rsidRPr="00AF0EC2" w14:paraId="261BB8F7" w14:textId="77777777" w:rsidTr="0080117F">
        <w:trPr>
          <w:trHeight w:val="255"/>
          <w:jc w:val="center"/>
        </w:trPr>
        <w:tc>
          <w:tcPr>
            <w:tcW w:w="4049" w:type="dxa"/>
            <w:shd w:val="clear" w:color="auto" w:fill="auto"/>
            <w:noWrap/>
            <w:vAlign w:val="bottom"/>
          </w:tcPr>
          <w:p w14:paraId="5B2688A5" w14:textId="47FDC995" w:rsidR="00B108A7" w:rsidRPr="00AF0EC2" w:rsidRDefault="00B108A7" w:rsidP="007960A7">
            <w:pPr>
              <w:rPr>
                <w:rFonts w:eastAsia="Times New Roman" w:cs="Arial"/>
                <w:color w:val="000000"/>
                <w:sz w:val="24"/>
                <w:szCs w:val="24"/>
                <w:lang w:eastAsia="en-GB"/>
              </w:rPr>
            </w:pPr>
            <w:r w:rsidRPr="00AF0EC2">
              <w:rPr>
                <w:color w:val="000000"/>
                <w:sz w:val="24"/>
                <w:szCs w:val="24"/>
                <w:lang w:val="en-US"/>
              </w:rPr>
              <w:t>Repairs &amp; Renewals Cost</w:t>
            </w:r>
          </w:p>
        </w:tc>
        <w:tc>
          <w:tcPr>
            <w:tcW w:w="2173" w:type="dxa"/>
            <w:shd w:val="clear" w:color="auto" w:fill="auto"/>
            <w:noWrap/>
            <w:vAlign w:val="bottom"/>
          </w:tcPr>
          <w:p w14:paraId="0699C15A" w14:textId="1ADE3D44" w:rsidR="00B108A7" w:rsidRPr="00AF0EC2" w:rsidRDefault="00B108A7" w:rsidP="007960A7">
            <w:pPr>
              <w:jc w:val="center"/>
              <w:rPr>
                <w:rFonts w:eastAsia="Times New Roman"/>
                <w:sz w:val="24"/>
                <w:szCs w:val="24"/>
                <w:lang w:eastAsia="en-GB"/>
              </w:rPr>
            </w:pPr>
            <w:r w:rsidRPr="00AF0EC2">
              <w:rPr>
                <w:color w:val="000000"/>
                <w:sz w:val="24"/>
                <w:szCs w:val="24"/>
                <w:lang w:val="en-US"/>
              </w:rPr>
              <w:t xml:space="preserve">     10,114,063 </w:t>
            </w:r>
          </w:p>
        </w:tc>
        <w:tc>
          <w:tcPr>
            <w:tcW w:w="1525" w:type="dxa"/>
            <w:shd w:val="clear" w:color="auto" w:fill="auto"/>
            <w:noWrap/>
            <w:vAlign w:val="bottom"/>
          </w:tcPr>
          <w:p w14:paraId="05E6F9F0" w14:textId="39815FFE" w:rsidR="00B108A7" w:rsidRPr="00AF0EC2" w:rsidRDefault="00B108A7" w:rsidP="007960A7">
            <w:pPr>
              <w:jc w:val="center"/>
              <w:rPr>
                <w:rFonts w:eastAsia="Times New Roman"/>
                <w:sz w:val="24"/>
                <w:szCs w:val="24"/>
                <w:lang w:eastAsia="en-GB"/>
              </w:rPr>
            </w:pPr>
            <w:r w:rsidRPr="00AF0EC2">
              <w:rPr>
                <w:rFonts w:eastAsia="Times New Roman" w:cs="Arial"/>
                <w:color w:val="000000"/>
                <w:sz w:val="24"/>
                <w:szCs w:val="24"/>
                <w:lang w:eastAsia="en-GB"/>
              </w:rPr>
              <w:t>9,095,986</w:t>
            </w:r>
          </w:p>
        </w:tc>
        <w:tc>
          <w:tcPr>
            <w:tcW w:w="1461" w:type="dxa"/>
          </w:tcPr>
          <w:p w14:paraId="090F2C1B" w14:textId="618DAC46" w:rsidR="00B108A7" w:rsidRPr="00AF0EC2" w:rsidRDefault="00B108A7" w:rsidP="007960A7">
            <w:pPr>
              <w:jc w:val="center"/>
              <w:rPr>
                <w:rFonts w:eastAsia="Times New Roman"/>
                <w:sz w:val="24"/>
                <w:szCs w:val="24"/>
                <w:lang w:eastAsia="en-GB"/>
              </w:rPr>
            </w:pPr>
            <w:r w:rsidRPr="00AF0EC2">
              <w:rPr>
                <w:rFonts w:eastAsia="Times New Roman" w:cs="Arial"/>
                <w:color w:val="000000"/>
                <w:sz w:val="24"/>
                <w:szCs w:val="24"/>
                <w:lang w:eastAsia="en-GB"/>
              </w:rPr>
              <w:t>6,704,946</w:t>
            </w:r>
          </w:p>
        </w:tc>
      </w:tr>
      <w:tr w:rsidR="00B108A7" w:rsidRPr="00AF0EC2" w14:paraId="479F00A6" w14:textId="77777777" w:rsidTr="0080117F">
        <w:trPr>
          <w:trHeight w:val="255"/>
          <w:jc w:val="center"/>
        </w:trPr>
        <w:tc>
          <w:tcPr>
            <w:tcW w:w="4049" w:type="dxa"/>
            <w:shd w:val="clear" w:color="auto" w:fill="auto"/>
            <w:noWrap/>
            <w:vAlign w:val="bottom"/>
          </w:tcPr>
          <w:p w14:paraId="10939534" w14:textId="6E2B3045" w:rsidR="00B108A7" w:rsidRPr="00AF0EC2" w:rsidRDefault="00B108A7" w:rsidP="007960A7">
            <w:pPr>
              <w:rPr>
                <w:rFonts w:eastAsia="Times New Roman" w:cs="Arial"/>
                <w:b/>
                <w:bCs/>
                <w:color w:val="000000"/>
                <w:sz w:val="24"/>
                <w:szCs w:val="24"/>
                <w:lang w:eastAsia="en-GB"/>
              </w:rPr>
            </w:pPr>
            <w:r w:rsidRPr="00AF0EC2">
              <w:rPr>
                <w:color w:val="000000"/>
                <w:sz w:val="24"/>
                <w:szCs w:val="24"/>
                <w:lang w:val="en-US"/>
              </w:rPr>
              <w:t>Legal &amp; Professional Cost</w:t>
            </w:r>
          </w:p>
        </w:tc>
        <w:tc>
          <w:tcPr>
            <w:tcW w:w="2173" w:type="dxa"/>
            <w:shd w:val="clear" w:color="auto" w:fill="auto"/>
            <w:noWrap/>
            <w:vAlign w:val="bottom"/>
          </w:tcPr>
          <w:p w14:paraId="21F635BE" w14:textId="5AE12528" w:rsidR="00B108A7" w:rsidRPr="00AF0EC2" w:rsidRDefault="00B108A7" w:rsidP="007960A7">
            <w:pPr>
              <w:jc w:val="center"/>
              <w:rPr>
                <w:rFonts w:eastAsia="Times New Roman" w:cs="Arial"/>
                <w:color w:val="000000"/>
                <w:sz w:val="24"/>
                <w:szCs w:val="24"/>
                <w:lang w:eastAsia="en-GB"/>
              </w:rPr>
            </w:pPr>
            <w:r w:rsidRPr="00AF0EC2">
              <w:rPr>
                <w:color w:val="000000"/>
                <w:sz w:val="24"/>
                <w:szCs w:val="24"/>
                <w:lang w:val="en-US"/>
              </w:rPr>
              <w:t xml:space="preserve">       3,536,165 </w:t>
            </w:r>
          </w:p>
        </w:tc>
        <w:tc>
          <w:tcPr>
            <w:tcW w:w="1525" w:type="dxa"/>
            <w:shd w:val="clear" w:color="auto" w:fill="auto"/>
            <w:noWrap/>
            <w:vAlign w:val="bottom"/>
          </w:tcPr>
          <w:p w14:paraId="12CDD97D" w14:textId="334C6386" w:rsidR="00B108A7" w:rsidRPr="00AF0EC2" w:rsidRDefault="00B108A7" w:rsidP="007960A7">
            <w:pPr>
              <w:jc w:val="center"/>
              <w:rPr>
                <w:rFonts w:eastAsia="Times New Roman" w:cs="Arial"/>
                <w:color w:val="000000"/>
                <w:sz w:val="24"/>
                <w:szCs w:val="24"/>
                <w:lang w:eastAsia="en-GB"/>
              </w:rPr>
            </w:pPr>
            <w:r w:rsidRPr="00AF0EC2">
              <w:rPr>
                <w:rFonts w:eastAsia="Times New Roman" w:cs="Arial"/>
                <w:color w:val="000000"/>
                <w:sz w:val="24"/>
                <w:szCs w:val="24"/>
                <w:lang w:eastAsia="en-GB"/>
              </w:rPr>
              <w:t>2,272,319</w:t>
            </w:r>
          </w:p>
        </w:tc>
        <w:tc>
          <w:tcPr>
            <w:tcW w:w="1461" w:type="dxa"/>
          </w:tcPr>
          <w:p w14:paraId="7E1D5DA8" w14:textId="1316F238" w:rsidR="00B108A7" w:rsidRPr="00AF0EC2" w:rsidRDefault="00B108A7" w:rsidP="007960A7">
            <w:pPr>
              <w:jc w:val="center"/>
              <w:rPr>
                <w:rFonts w:eastAsia="Times New Roman" w:cs="Arial"/>
                <w:color w:val="000000"/>
                <w:sz w:val="24"/>
                <w:szCs w:val="24"/>
                <w:lang w:eastAsia="en-GB"/>
              </w:rPr>
            </w:pPr>
            <w:r w:rsidRPr="00AF0EC2">
              <w:rPr>
                <w:rFonts w:eastAsia="Times New Roman" w:cs="Arial"/>
                <w:color w:val="000000"/>
                <w:sz w:val="24"/>
                <w:szCs w:val="24"/>
                <w:lang w:eastAsia="en-GB"/>
              </w:rPr>
              <w:t>2,035,440</w:t>
            </w:r>
          </w:p>
        </w:tc>
      </w:tr>
      <w:tr w:rsidR="00B108A7" w:rsidRPr="00AF0EC2" w14:paraId="39A348F3" w14:textId="77777777" w:rsidTr="0080117F">
        <w:trPr>
          <w:trHeight w:val="255"/>
          <w:jc w:val="center"/>
        </w:trPr>
        <w:tc>
          <w:tcPr>
            <w:tcW w:w="4049" w:type="dxa"/>
            <w:shd w:val="clear" w:color="auto" w:fill="auto"/>
            <w:noWrap/>
            <w:vAlign w:val="bottom"/>
          </w:tcPr>
          <w:p w14:paraId="39E8BBA5" w14:textId="09E7AA6D" w:rsidR="00B108A7" w:rsidRPr="00AF0EC2" w:rsidRDefault="00B108A7" w:rsidP="007960A7">
            <w:pPr>
              <w:rPr>
                <w:rFonts w:eastAsia="Times New Roman" w:cs="Arial"/>
                <w:color w:val="000000"/>
                <w:sz w:val="24"/>
                <w:szCs w:val="24"/>
                <w:lang w:eastAsia="en-GB"/>
              </w:rPr>
            </w:pPr>
            <w:r w:rsidRPr="00AF0EC2">
              <w:rPr>
                <w:color w:val="000000"/>
                <w:sz w:val="24"/>
                <w:szCs w:val="24"/>
                <w:lang w:val="en-US"/>
              </w:rPr>
              <w:t>Taxpayer Costs</w:t>
            </w:r>
          </w:p>
        </w:tc>
        <w:tc>
          <w:tcPr>
            <w:tcW w:w="2173" w:type="dxa"/>
            <w:shd w:val="clear" w:color="auto" w:fill="auto"/>
            <w:noWrap/>
            <w:vAlign w:val="bottom"/>
          </w:tcPr>
          <w:p w14:paraId="57174ABD" w14:textId="0A5B4601" w:rsidR="00B108A7" w:rsidRPr="00AF0EC2" w:rsidRDefault="00B108A7" w:rsidP="007960A7">
            <w:pPr>
              <w:jc w:val="center"/>
              <w:rPr>
                <w:rFonts w:eastAsia="Times New Roman"/>
                <w:sz w:val="24"/>
                <w:szCs w:val="24"/>
                <w:lang w:eastAsia="en-GB"/>
              </w:rPr>
            </w:pPr>
            <w:r w:rsidRPr="00AF0EC2">
              <w:rPr>
                <w:color w:val="000000"/>
                <w:sz w:val="24"/>
                <w:szCs w:val="24"/>
                <w:lang w:val="en-US"/>
              </w:rPr>
              <w:t xml:space="preserve">     10,018,479 </w:t>
            </w:r>
          </w:p>
        </w:tc>
        <w:tc>
          <w:tcPr>
            <w:tcW w:w="1525" w:type="dxa"/>
            <w:shd w:val="clear" w:color="auto" w:fill="auto"/>
            <w:noWrap/>
            <w:vAlign w:val="bottom"/>
          </w:tcPr>
          <w:p w14:paraId="5DE9FD49" w14:textId="1492D3C4" w:rsidR="00B108A7" w:rsidRPr="00AF0EC2" w:rsidRDefault="00B108A7" w:rsidP="007960A7">
            <w:pPr>
              <w:jc w:val="center"/>
              <w:rPr>
                <w:rFonts w:eastAsia="Times New Roman"/>
                <w:sz w:val="24"/>
                <w:szCs w:val="24"/>
                <w:lang w:eastAsia="en-GB"/>
              </w:rPr>
            </w:pPr>
            <w:r w:rsidRPr="00AF0EC2">
              <w:rPr>
                <w:rFonts w:eastAsia="Times New Roman" w:cs="Arial"/>
                <w:color w:val="000000"/>
                <w:sz w:val="24"/>
                <w:szCs w:val="24"/>
                <w:lang w:eastAsia="en-GB"/>
              </w:rPr>
              <w:t>16,021,171</w:t>
            </w:r>
          </w:p>
        </w:tc>
        <w:tc>
          <w:tcPr>
            <w:tcW w:w="1461" w:type="dxa"/>
          </w:tcPr>
          <w:p w14:paraId="74A6AF62" w14:textId="7256FA53" w:rsidR="00B108A7" w:rsidRPr="00AF0EC2" w:rsidRDefault="00B108A7" w:rsidP="007960A7">
            <w:pPr>
              <w:jc w:val="center"/>
              <w:rPr>
                <w:rFonts w:eastAsia="Times New Roman"/>
                <w:sz w:val="24"/>
                <w:szCs w:val="24"/>
                <w:lang w:eastAsia="en-GB"/>
              </w:rPr>
            </w:pPr>
            <w:r w:rsidRPr="00AF0EC2">
              <w:rPr>
                <w:rFonts w:eastAsia="Times New Roman" w:cs="Arial"/>
                <w:color w:val="000000"/>
                <w:sz w:val="24"/>
                <w:szCs w:val="24"/>
                <w:lang w:eastAsia="en-GB"/>
              </w:rPr>
              <w:t>1,213,338</w:t>
            </w:r>
          </w:p>
        </w:tc>
      </w:tr>
      <w:tr w:rsidR="00B108A7" w:rsidRPr="00AF0EC2" w14:paraId="4CEFB83B" w14:textId="77777777" w:rsidTr="0080117F">
        <w:trPr>
          <w:trHeight w:val="255"/>
          <w:jc w:val="center"/>
        </w:trPr>
        <w:tc>
          <w:tcPr>
            <w:tcW w:w="4049" w:type="dxa"/>
            <w:shd w:val="clear" w:color="auto" w:fill="auto"/>
            <w:noWrap/>
            <w:vAlign w:val="bottom"/>
          </w:tcPr>
          <w:p w14:paraId="738841FA" w14:textId="237B98A3" w:rsidR="00B108A7" w:rsidRPr="00AF0EC2" w:rsidRDefault="00B108A7" w:rsidP="007960A7">
            <w:pPr>
              <w:rPr>
                <w:color w:val="000000"/>
                <w:sz w:val="24"/>
                <w:szCs w:val="24"/>
                <w:lang w:val="en-US"/>
              </w:rPr>
            </w:pPr>
            <w:r w:rsidRPr="00AF0EC2">
              <w:rPr>
                <w:color w:val="000000"/>
                <w:sz w:val="24"/>
                <w:szCs w:val="24"/>
                <w:lang w:val="en-US"/>
              </w:rPr>
              <w:t>Other Costs</w:t>
            </w:r>
          </w:p>
        </w:tc>
        <w:tc>
          <w:tcPr>
            <w:tcW w:w="2173" w:type="dxa"/>
            <w:shd w:val="clear" w:color="auto" w:fill="auto"/>
            <w:noWrap/>
            <w:vAlign w:val="bottom"/>
          </w:tcPr>
          <w:p w14:paraId="4680C1E0" w14:textId="6A993900" w:rsidR="00B108A7" w:rsidRPr="00AF0EC2" w:rsidRDefault="00B108A7" w:rsidP="007960A7">
            <w:pPr>
              <w:jc w:val="center"/>
              <w:rPr>
                <w:rFonts w:eastAsia="Times New Roman"/>
                <w:sz w:val="24"/>
                <w:szCs w:val="24"/>
                <w:lang w:eastAsia="en-GB"/>
              </w:rPr>
            </w:pPr>
            <w:r w:rsidRPr="00AF0EC2">
              <w:rPr>
                <w:color w:val="000000"/>
                <w:sz w:val="24"/>
                <w:szCs w:val="24"/>
                <w:lang w:val="en-US"/>
              </w:rPr>
              <w:t xml:space="preserve">       3,522,643 </w:t>
            </w:r>
          </w:p>
        </w:tc>
        <w:tc>
          <w:tcPr>
            <w:tcW w:w="1525" w:type="dxa"/>
            <w:shd w:val="clear" w:color="auto" w:fill="auto"/>
            <w:noWrap/>
            <w:vAlign w:val="bottom"/>
          </w:tcPr>
          <w:p w14:paraId="480C5048" w14:textId="5FD2AFA3" w:rsidR="00B108A7" w:rsidRPr="00AF0EC2" w:rsidRDefault="00B108A7" w:rsidP="007960A7">
            <w:pPr>
              <w:jc w:val="center"/>
              <w:rPr>
                <w:rFonts w:eastAsia="Times New Roman"/>
                <w:sz w:val="24"/>
                <w:szCs w:val="24"/>
                <w:lang w:eastAsia="en-GB"/>
              </w:rPr>
            </w:pPr>
            <w:r w:rsidRPr="00AF0EC2">
              <w:rPr>
                <w:rFonts w:eastAsia="Times New Roman" w:cs="Arial"/>
                <w:color w:val="000000"/>
                <w:sz w:val="24"/>
                <w:szCs w:val="24"/>
                <w:lang w:eastAsia="en-GB"/>
              </w:rPr>
              <w:t>2,220,749</w:t>
            </w:r>
          </w:p>
        </w:tc>
        <w:tc>
          <w:tcPr>
            <w:tcW w:w="1461" w:type="dxa"/>
          </w:tcPr>
          <w:p w14:paraId="1B70AED4" w14:textId="0DCE33E6" w:rsidR="00B108A7" w:rsidRPr="00AF0EC2" w:rsidRDefault="00B108A7" w:rsidP="007960A7">
            <w:pPr>
              <w:jc w:val="center"/>
              <w:rPr>
                <w:rFonts w:eastAsia="Times New Roman"/>
                <w:sz w:val="24"/>
                <w:szCs w:val="24"/>
                <w:lang w:eastAsia="en-GB"/>
              </w:rPr>
            </w:pPr>
            <w:r w:rsidRPr="00AF0EC2">
              <w:rPr>
                <w:rFonts w:eastAsia="Times New Roman" w:cs="Arial"/>
                <w:color w:val="000000"/>
                <w:sz w:val="24"/>
                <w:szCs w:val="24"/>
                <w:lang w:eastAsia="en-GB"/>
              </w:rPr>
              <w:t>1,429,015</w:t>
            </w:r>
          </w:p>
        </w:tc>
      </w:tr>
      <w:tr w:rsidR="00B108A7" w:rsidRPr="00AF0EC2" w14:paraId="51EDD450" w14:textId="77777777" w:rsidTr="0080117F">
        <w:trPr>
          <w:trHeight w:val="255"/>
          <w:jc w:val="center"/>
        </w:trPr>
        <w:tc>
          <w:tcPr>
            <w:tcW w:w="4049" w:type="dxa"/>
            <w:shd w:val="clear" w:color="auto" w:fill="auto"/>
            <w:noWrap/>
            <w:vAlign w:val="bottom"/>
          </w:tcPr>
          <w:p w14:paraId="5A48D3A9" w14:textId="2BF6E52B" w:rsidR="00B108A7" w:rsidRPr="00AF0EC2" w:rsidRDefault="00B108A7" w:rsidP="007960A7">
            <w:pPr>
              <w:rPr>
                <w:color w:val="000000"/>
                <w:sz w:val="24"/>
                <w:szCs w:val="24"/>
                <w:lang w:val="en-US"/>
              </w:rPr>
            </w:pPr>
            <w:r w:rsidRPr="00AF0EC2">
              <w:rPr>
                <w:color w:val="000000"/>
                <w:sz w:val="24"/>
                <w:szCs w:val="24"/>
                <w:lang w:val="en-US"/>
              </w:rPr>
              <w:t>Finance Cost</w:t>
            </w:r>
          </w:p>
        </w:tc>
        <w:tc>
          <w:tcPr>
            <w:tcW w:w="2173" w:type="dxa"/>
            <w:shd w:val="clear" w:color="auto" w:fill="auto"/>
            <w:noWrap/>
            <w:vAlign w:val="bottom"/>
          </w:tcPr>
          <w:p w14:paraId="3923561D" w14:textId="132CAE63" w:rsidR="00B108A7" w:rsidRPr="00AF0EC2" w:rsidRDefault="00B108A7" w:rsidP="007960A7">
            <w:pPr>
              <w:jc w:val="center"/>
              <w:rPr>
                <w:rFonts w:eastAsia="Times New Roman"/>
                <w:sz w:val="24"/>
                <w:szCs w:val="24"/>
                <w:lang w:eastAsia="en-GB"/>
              </w:rPr>
            </w:pPr>
            <w:r w:rsidRPr="00AF0EC2">
              <w:rPr>
                <w:color w:val="000000"/>
                <w:sz w:val="24"/>
                <w:szCs w:val="24"/>
                <w:lang w:val="en-US"/>
              </w:rPr>
              <w:t xml:space="preserve">       3,486,119 </w:t>
            </w:r>
          </w:p>
        </w:tc>
        <w:tc>
          <w:tcPr>
            <w:tcW w:w="1525" w:type="dxa"/>
            <w:shd w:val="clear" w:color="auto" w:fill="auto"/>
            <w:noWrap/>
            <w:vAlign w:val="bottom"/>
          </w:tcPr>
          <w:p w14:paraId="18BB5ECD" w14:textId="30A8EB37" w:rsidR="00B108A7" w:rsidRPr="00AF0EC2" w:rsidRDefault="00B108A7" w:rsidP="007960A7">
            <w:pPr>
              <w:jc w:val="center"/>
              <w:rPr>
                <w:rFonts w:eastAsia="Times New Roman"/>
                <w:sz w:val="24"/>
                <w:szCs w:val="24"/>
                <w:lang w:eastAsia="en-GB"/>
              </w:rPr>
            </w:pPr>
            <w:r w:rsidRPr="00AF0EC2">
              <w:rPr>
                <w:rFonts w:eastAsia="Times New Roman" w:cs="Arial"/>
                <w:color w:val="000000"/>
                <w:sz w:val="24"/>
                <w:szCs w:val="24"/>
                <w:lang w:eastAsia="en-GB"/>
              </w:rPr>
              <w:t>3,456,741</w:t>
            </w:r>
          </w:p>
        </w:tc>
        <w:tc>
          <w:tcPr>
            <w:tcW w:w="1461" w:type="dxa"/>
          </w:tcPr>
          <w:p w14:paraId="6730B071" w14:textId="3AA9A7D7" w:rsidR="00B108A7" w:rsidRPr="00AF0EC2" w:rsidRDefault="00B108A7" w:rsidP="007960A7">
            <w:pPr>
              <w:jc w:val="center"/>
              <w:rPr>
                <w:rFonts w:eastAsia="Times New Roman"/>
                <w:sz w:val="24"/>
                <w:szCs w:val="24"/>
                <w:lang w:eastAsia="en-GB"/>
              </w:rPr>
            </w:pPr>
            <w:r w:rsidRPr="00AF0EC2">
              <w:rPr>
                <w:rFonts w:eastAsia="Times New Roman" w:cs="Arial"/>
                <w:color w:val="000000"/>
                <w:sz w:val="24"/>
                <w:szCs w:val="24"/>
                <w:lang w:eastAsia="en-GB"/>
              </w:rPr>
              <w:t>3,378,923</w:t>
            </w:r>
          </w:p>
        </w:tc>
      </w:tr>
      <w:tr w:rsidR="00B108A7" w:rsidRPr="00AF0EC2" w14:paraId="29FF15B8" w14:textId="77777777" w:rsidTr="0080117F">
        <w:trPr>
          <w:trHeight w:val="255"/>
          <w:jc w:val="center"/>
        </w:trPr>
        <w:tc>
          <w:tcPr>
            <w:tcW w:w="4049" w:type="dxa"/>
            <w:shd w:val="clear" w:color="auto" w:fill="auto"/>
            <w:noWrap/>
            <w:vAlign w:val="bottom"/>
          </w:tcPr>
          <w:p w14:paraId="43ED4606" w14:textId="39F0EF56" w:rsidR="00B108A7" w:rsidRPr="00AF0EC2" w:rsidRDefault="00B108A7" w:rsidP="007960A7">
            <w:pPr>
              <w:rPr>
                <w:color w:val="000000"/>
                <w:sz w:val="24"/>
                <w:szCs w:val="24"/>
                <w:lang w:val="en-US"/>
              </w:rPr>
            </w:pPr>
            <w:r w:rsidRPr="00AF0EC2">
              <w:rPr>
                <w:color w:val="000000"/>
                <w:sz w:val="24"/>
                <w:szCs w:val="24"/>
                <w:lang w:val="en-US"/>
              </w:rPr>
              <w:t>Depreciation &amp; Amortisation</w:t>
            </w:r>
          </w:p>
        </w:tc>
        <w:tc>
          <w:tcPr>
            <w:tcW w:w="2173" w:type="dxa"/>
            <w:shd w:val="clear" w:color="auto" w:fill="auto"/>
            <w:noWrap/>
            <w:vAlign w:val="bottom"/>
          </w:tcPr>
          <w:p w14:paraId="34D40F82" w14:textId="342AC955" w:rsidR="00B108A7" w:rsidRPr="00AF0EC2" w:rsidRDefault="00B108A7" w:rsidP="007960A7">
            <w:pPr>
              <w:jc w:val="center"/>
              <w:rPr>
                <w:rFonts w:eastAsia="Times New Roman"/>
                <w:sz w:val="24"/>
                <w:szCs w:val="24"/>
                <w:lang w:eastAsia="en-GB"/>
              </w:rPr>
            </w:pPr>
            <w:r w:rsidRPr="00AF0EC2">
              <w:rPr>
                <w:color w:val="000000"/>
                <w:sz w:val="24"/>
                <w:szCs w:val="24"/>
                <w:lang w:val="en-US"/>
              </w:rPr>
              <w:t xml:space="preserve">       5,352,680 </w:t>
            </w:r>
          </w:p>
        </w:tc>
        <w:tc>
          <w:tcPr>
            <w:tcW w:w="1525" w:type="dxa"/>
            <w:shd w:val="clear" w:color="auto" w:fill="auto"/>
            <w:noWrap/>
            <w:vAlign w:val="bottom"/>
          </w:tcPr>
          <w:p w14:paraId="7AF9A8A0" w14:textId="5B545F24" w:rsidR="00B108A7" w:rsidRPr="00AF0EC2" w:rsidRDefault="00B108A7" w:rsidP="007960A7">
            <w:pPr>
              <w:jc w:val="center"/>
              <w:rPr>
                <w:rFonts w:eastAsia="Times New Roman"/>
                <w:sz w:val="24"/>
                <w:szCs w:val="24"/>
                <w:lang w:eastAsia="en-GB"/>
              </w:rPr>
            </w:pPr>
            <w:r w:rsidRPr="00AF0EC2">
              <w:rPr>
                <w:rFonts w:eastAsia="Times New Roman" w:cs="Arial"/>
                <w:color w:val="000000"/>
                <w:sz w:val="24"/>
                <w:szCs w:val="24"/>
                <w:lang w:eastAsia="en-GB"/>
              </w:rPr>
              <w:t>5,183,571</w:t>
            </w:r>
          </w:p>
        </w:tc>
        <w:tc>
          <w:tcPr>
            <w:tcW w:w="1461" w:type="dxa"/>
          </w:tcPr>
          <w:p w14:paraId="56C6F703" w14:textId="1998C02B" w:rsidR="00B108A7" w:rsidRPr="00AF0EC2" w:rsidRDefault="00B108A7" w:rsidP="007960A7">
            <w:pPr>
              <w:jc w:val="center"/>
              <w:rPr>
                <w:rFonts w:eastAsia="Times New Roman"/>
                <w:sz w:val="24"/>
                <w:szCs w:val="24"/>
                <w:lang w:eastAsia="en-GB"/>
              </w:rPr>
            </w:pPr>
            <w:r w:rsidRPr="00AF0EC2">
              <w:rPr>
                <w:rFonts w:eastAsia="Times New Roman" w:cs="Arial"/>
                <w:color w:val="000000"/>
                <w:sz w:val="24"/>
                <w:szCs w:val="24"/>
                <w:lang w:eastAsia="en-GB"/>
              </w:rPr>
              <w:t>3,998,477</w:t>
            </w:r>
          </w:p>
        </w:tc>
      </w:tr>
      <w:tr w:rsidR="00B108A7" w:rsidRPr="00AF0EC2" w14:paraId="0EECA43F" w14:textId="77777777" w:rsidTr="0080117F">
        <w:trPr>
          <w:trHeight w:val="255"/>
          <w:jc w:val="center"/>
        </w:trPr>
        <w:tc>
          <w:tcPr>
            <w:tcW w:w="4049" w:type="dxa"/>
            <w:shd w:val="clear" w:color="auto" w:fill="auto"/>
            <w:noWrap/>
            <w:vAlign w:val="bottom"/>
          </w:tcPr>
          <w:p w14:paraId="1FEF0C1C" w14:textId="2765C4E1" w:rsidR="00B108A7" w:rsidRPr="00AF0EC2" w:rsidRDefault="00B108A7" w:rsidP="007960A7">
            <w:pPr>
              <w:rPr>
                <w:color w:val="000000"/>
                <w:sz w:val="24"/>
                <w:szCs w:val="24"/>
                <w:lang w:val="en-US"/>
              </w:rPr>
            </w:pPr>
            <w:r w:rsidRPr="00AF0EC2">
              <w:rPr>
                <w:b/>
                <w:bCs/>
                <w:color w:val="000000"/>
                <w:sz w:val="24"/>
                <w:szCs w:val="24"/>
                <w:lang w:val="en-US"/>
              </w:rPr>
              <w:t>Total Expenditure</w:t>
            </w:r>
          </w:p>
        </w:tc>
        <w:tc>
          <w:tcPr>
            <w:tcW w:w="2173" w:type="dxa"/>
            <w:shd w:val="clear" w:color="auto" w:fill="auto"/>
            <w:noWrap/>
            <w:vAlign w:val="bottom"/>
          </w:tcPr>
          <w:p w14:paraId="7762B17D" w14:textId="687A92A6" w:rsidR="00B108A7" w:rsidRPr="00AF0EC2" w:rsidRDefault="00B108A7" w:rsidP="007960A7">
            <w:pPr>
              <w:jc w:val="center"/>
              <w:rPr>
                <w:rFonts w:eastAsia="Times New Roman"/>
                <w:sz w:val="24"/>
                <w:szCs w:val="24"/>
                <w:lang w:eastAsia="en-GB"/>
              </w:rPr>
            </w:pPr>
            <w:r w:rsidRPr="00AF0EC2">
              <w:rPr>
                <w:b/>
                <w:bCs/>
                <w:color w:val="000000"/>
                <w:sz w:val="24"/>
                <w:szCs w:val="24"/>
                <w:lang w:val="en-US"/>
              </w:rPr>
              <w:t xml:space="preserve">  217,709,831 </w:t>
            </w:r>
          </w:p>
        </w:tc>
        <w:tc>
          <w:tcPr>
            <w:tcW w:w="1525" w:type="dxa"/>
            <w:shd w:val="clear" w:color="auto" w:fill="auto"/>
            <w:noWrap/>
            <w:vAlign w:val="bottom"/>
          </w:tcPr>
          <w:p w14:paraId="50B1A226" w14:textId="0C60F228" w:rsidR="00B108A7" w:rsidRPr="00AF0EC2" w:rsidRDefault="00B108A7" w:rsidP="007960A7">
            <w:pPr>
              <w:jc w:val="center"/>
              <w:rPr>
                <w:rFonts w:eastAsia="Times New Roman"/>
                <w:sz w:val="24"/>
                <w:szCs w:val="24"/>
                <w:lang w:eastAsia="en-GB"/>
              </w:rPr>
            </w:pPr>
            <w:r w:rsidRPr="00AF0EC2">
              <w:rPr>
                <w:rFonts w:eastAsia="Times New Roman" w:cs="Arial"/>
                <w:b/>
                <w:bCs/>
                <w:color w:val="000000"/>
                <w:sz w:val="24"/>
                <w:szCs w:val="24"/>
                <w:lang w:eastAsia="en-GB"/>
              </w:rPr>
              <w:t>212,916,681</w:t>
            </w:r>
          </w:p>
        </w:tc>
        <w:tc>
          <w:tcPr>
            <w:tcW w:w="1461" w:type="dxa"/>
            <w:vAlign w:val="bottom"/>
          </w:tcPr>
          <w:p w14:paraId="49A66139" w14:textId="6B96F2F7" w:rsidR="00B108A7" w:rsidRPr="00AF0EC2" w:rsidRDefault="00B108A7" w:rsidP="007960A7">
            <w:pPr>
              <w:jc w:val="center"/>
              <w:rPr>
                <w:rFonts w:eastAsia="Times New Roman"/>
                <w:sz w:val="24"/>
                <w:szCs w:val="24"/>
                <w:lang w:eastAsia="en-GB"/>
              </w:rPr>
            </w:pPr>
            <w:r w:rsidRPr="00AF0EC2">
              <w:rPr>
                <w:rFonts w:eastAsia="Times New Roman" w:cs="Arial"/>
                <w:b/>
                <w:bCs/>
                <w:color w:val="000000"/>
                <w:sz w:val="24"/>
                <w:szCs w:val="24"/>
                <w:lang w:eastAsia="en-GB"/>
              </w:rPr>
              <w:t>178,152,937</w:t>
            </w:r>
          </w:p>
        </w:tc>
      </w:tr>
      <w:tr w:rsidR="00B108A7" w:rsidRPr="00AF0EC2" w14:paraId="69A43E76" w14:textId="77777777" w:rsidTr="0080117F">
        <w:trPr>
          <w:trHeight w:val="255"/>
          <w:jc w:val="center"/>
        </w:trPr>
        <w:tc>
          <w:tcPr>
            <w:tcW w:w="4049" w:type="dxa"/>
            <w:shd w:val="clear" w:color="auto" w:fill="auto"/>
            <w:noWrap/>
            <w:vAlign w:val="bottom"/>
          </w:tcPr>
          <w:p w14:paraId="03E9AE11" w14:textId="77777777" w:rsidR="00B108A7" w:rsidRPr="00AF0EC2" w:rsidRDefault="00B108A7" w:rsidP="007960A7">
            <w:pPr>
              <w:rPr>
                <w:b/>
                <w:bCs/>
                <w:color w:val="000000"/>
                <w:sz w:val="24"/>
                <w:szCs w:val="24"/>
                <w:lang w:val="en-US"/>
              </w:rPr>
            </w:pPr>
          </w:p>
        </w:tc>
        <w:tc>
          <w:tcPr>
            <w:tcW w:w="2173" w:type="dxa"/>
            <w:shd w:val="clear" w:color="auto" w:fill="auto"/>
            <w:noWrap/>
            <w:vAlign w:val="bottom"/>
          </w:tcPr>
          <w:p w14:paraId="1EAE45AF" w14:textId="77777777" w:rsidR="00B108A7" w:rsidRPr="00AF0EC2" w:rsidRDefault="00B108A7" w:rsidP="007960A7">
            <w:pPr>
              <w:jc w:val="center"/>
              <w:rPr>
                <w:rFonts w:eastAsia="Times New Roman"/>
                <w:sz w:val="24"/>
                <w:szCs w:val="24"/>
                <w:lang w:eastAsia="en-GB"/>
              </w:rPr>
            </w:pPr>
          </w:p>
        </w:tc>
        <w:tc>
          <w:tcPr>
            <w:tcW w:w="1525" w:type="dxa"/>
            <w:shd w:val="clear" w:color="auto" w:fill="auto"/>
            <w:noWrap/>
            <w:vAlign w:val="bottom"/>
          </w:tcPr>
          <w:p w14:paraId="7DF19EAE" w14:textId="77777777" w:rsidR="00B108A7" w:rsidRPr="00AF0EC2" w:rsidRDefault="00B108A7" w:rsidP="007960A7">
            <w:pPr>
              <w:jc w:val="center"/>
              <w:rPr>
                <w:rFonts w:eastAsia="Times New Roman"/>
                <w:sz w:val="24"/>
                <w:szCs w:val="24"/>
                <w:lang w:eastAsia="en-GB"/>
              </w:rPr>
            </w:pPr>
          </w:p>
        </w:tc>
        <w:tc>
          <w:tcPr>
            <w:tcW w:w="1461" w:type="dxa"/>
            <w:vAlign w:val="bottom"/>
          </w:tcPr>
          <w:p w14:paraId="39616D20" w14:textId="77777777" w:rsidR="00B108A7" w:rsidRPr="00AF0EC2" w:rsidRDefault="00B108A7" w:rsidP="007960A7">
            <w:pPr>
              <w:jc w:val="center"/>
              <w:rPr>
                <w:rFonts w:eastAsia="Times New Roman"/>
                <w:sz w:val="24"/>
                <w:szCs w:val="24"/>
                <w:lang w:eastAsia="en-GB"/>
              </w:rPr>
            </w:pPr>
          </w:p>
        </w:tc>
      </w:tr>
      <w:tr w:rsidR="00B108A7" w:rsidRPr="00AF0EC2" w14:paraId="741E2CA3" w14:textId="77777777" w:rsidTr="0080117F">
        <w:trPr>
          <w:trHeight w:val="255"/>
          <w:jc w:val="center"/>
        </w:trPr>
        <w:tc>
          <w:tcPr>
            <w:tcW w:w="4049" w:type="dxa"/>
            <w:shd w:val="clear" w:color="auto" w:fill="auto"/>
            <w:noWrap/>
            <w:vAlign w:val="bottom"/>
          </w:tcPr>
          <w:p w14:paraId="7E30063D" w14:textId="44A3690B" w:rsidR="00B108A7" w:rsidRPr="00AF0EC2" w:rsidRDefault="00B108A7" w:rsidP="007960A7">
            <w:pPr>
              <w:rPr>
                <w:b/>
                <w:bCs/>
                <w:color w:val="000000"/>
                <w:sz w:val="24"/>
                <w:szCs w:val="24"/>
                <w:lang w:val="en-US"/>
              </w:rPr>
            </w:pPr>
            <w:r w:rsidRPr="00AF0EC2">
              <w:rPr>
                <w:b/>
                <w:bCs/>
                <w:color w:val="000000"/>
                <w:sz w:val="24"/>
                <w:szCs w:val="24"/>
                <w:lang w:val="en-US"/>
              </w:rPr>
              <w:t>Result for the Year</w:t>
            </w:r>
          </w:p>
        </w:tc>
        <w:tc>
          <w:tcPr>
            <w:tcW w:w="2173" w:type="dxa"/>
            <w:shd w:val="clear" w:color="auto" w:fill="auto"/>
            <w:noWrap/>
            <w:vAlign w:val="bottom"/>
          </w:tcPr>
          <w:p w14:paraId="3E0AE6AC" w14:textId="1EC858DA" w:rsidR="00B108A7" w:rsidRPr="00AF0EC2" w:rsidRDefault="00B108A7" w:rsidP="007960A7">
            <w:pPr>
              <w:jc w:val="center"/>
              <w:rPr>
                <w:rFonts w:eastAsia="Times New Roman"/>
                <w:sz w:val="24"/>
                <w:szCs w:val="24"/>
                <w:lang w:eastAsia="en-GB"/>
              </w:rPr>
            </w:pPr>
            <w:r w:rsidRPr="00AF0EC2">
              <w:rPr>
                <w:b/>
                <w:bCs/>
                <w:color w:val="000000"/>
                <w:sz w:val="24"/>
                <w:szCs w:val="24"/>
                <w:lang w:val="en-US"/>
              </w:rPr>
              <w:t xml:space="preserve">(21,185,712) </w:t>
            </w:r>
          </w:p>
        </w:tc>
        <w:tc>
          <w:tcPr>
            <w:tcW w:w="1525" w:type="dxa"/>
            <w:shd w:val="clear" w:color="auto" w:fill="auto"/>
            <w:noWrap/>
            <w:vAlign w:val="bottom"/>
          </w:tcPr>
          <w:p w14:paraId="105216EC" w14:textId="5A54EAB6" w:rsidR="00B108A7" w:rsidRPr="00AF0EC2" w:rsidRDefault="00B108A7" w:rsidP="007960A7">
            <w:pPr>
              <w:jc w:val="center"/>
              <w:rPr>
                <w:rFonts w:eastAsia="Times New Roman"/>
                <w:sz w:val="24"/>
                <w:szCs w:val="24"/>
                <w:lang w:eastAsia="en-GB"/>
              </w:rPr>
            </w:pPr>
            <w:r w:rsidRPr="00AF0EC2">
              <w:rPr>
                <w:rFonts w:eastAsia="Times New Roman" w:cs="Arial"/>
                <w:b/>
                <w:bCs/>
                <w:color w:val="000000"/>
                <w:sz w:val="24"/>
                <w:szCs w:val="24"/>
                <w:lang w:eastAsia="en-GB"/>
              </w:rPr>
              <w:t>1,514,129</w:t>
            </w:r>
          </w:p>
        </w:tc>
        <w:tc>
          <w:tcPr>
            <w:tcW w:w="1461" w:type="dxa"/>
            <w:vAlign w:val="bottom"/>
          </w:tcPr>
          <w:p w14:paraId="38461847" w14:textId="07E11B70" w:rsidR="00B108A7" w:rsidRPr="00AF0EC2" w:rsidRDefault="00B108A7" w:rsidP="007960A7">
            <w:pPr>
              <w:jc w:val="center"/>
              <w:rPr>
                <w:rFonts w:eastAsia="Times New Roman"/>
                <w:sz w:val="24"/>
                <w:szCs w:val="24"/>
                <w:lang w:eastAsia="en-GB"/>
              </w:rPr>
            </w:pPr>
            <w:r w:rsidRPr="00AF0EC2">
              <w:rPr>
                <w:rFonts w:eastAsia="Times New Roman" w:cs="Arial"/>
                <w:b/>
                <w:bCs/>
                <w:color w:val="000000"/>
                <w:sz w:val="24"/>
                <w:szCs w:val="24"/>
                <w:lang w:eastAsia="en-GB"/>
              </w:rPr>
              <w:t>(18,161,731)</w:t>
            </w:r>
          </w:p>
        </w:tc>
      </w:tr>
    </w:tbl>
    <w:p w14:paraId="3E926EEC" w14:textId="0302D523" w:rsidR="007456AE" w:rsidRDefault="007456AE" w:rsidP="00923467"/>
    <w:p w14:paraId="52B65495" w14:textId="77777777" w:rsidR="005D2F3C" w:rsidRDefault="005D2F3C" w:rsidP="005D2F3C">
      <w:pPr>
        <w:jc w:val="center"/>
        <w:rPr>
          <w:b/>
          <w:bCs/>
          <w:sz w:val="24"/>
          <w:szCs w:val="24"/>
        </w:rPr>
      </w:pPr>
      <w:r w:rsidRPr="002E6453">
        <w:rPr>
          <w:b/>
          <w:bCs/>
          <w:sz w:val="24"/>
          <w:szCs w:val="24"/>
        </w:rPr>
        <w:t>STATEMENT OF FINANCIAL POSITION</w:t>
      </w:r>
    </w:p>
    <w:tbl>
      <w:tblPr>
        <w:tblW w:w="9657" w:type="dxa"/>
        <w:tblLook w:val="04A0" w:firstRow="1" w:lastRow="0" w:firstColumn="1" w:lastColumn="0" w:noHBand="0" w:noVBand="1"/>
      </w:tblPr>
      <w:tblGrid>
        <w:gridCol w:w="4106"/>
        <w:gridCol w:w="2127"/>
        <w:gridCol w:w="1723"/>
        <w:gridCol w:w="1701"/>
      </w:tblGrid>
      <w:tr w:rsidR="00B108A7" w:rsidRPr="00DC19CC" w14:paraId="3C02097C" w14:textId="77777777" w:rsidTr="003F1DB3">
        <w:trPr>
          <w:trHeight w:val="202"/>
        </w:trPr>
        <w:tc>
          <w:tcPr>
            <w:tcW w:w="4106" w:type="dxa"/>
            <w:shd w:val="clear" w:color="auto" w:fill="auto"/>
            <w:noWrap/>
            <w:vAlign w:val="bottom"/>
          </w:tcPr>
          <w:p w14:paraId="30846CDC" w14:textId="5C59374C" w:rsidR="00B108A7" w:rsidRPr="00DC19CC" w:rsidRDefault="00B108A7" w:rsidP="00BD7A42">
            <w:pPr>
              <w:rPr>
                <w:rFonts w:eastAsia="Times New Roman"/>
                <w:sz w:val="24"/>
                <w:szCs w:val="24"/>
                <w:lang w:eastAsia="en-GB"/>
              </w:rPr>
            </w:pPr>
            <w:r w:rsidRPr="00DC19CC">
              <w:rPr>
                <w:b/>
                <w:bCs/>
                <w:color w:val="000000"/>
                <w:sz w:val="24"/>
                <w:szCs w:val="24"/>
                <w:lang w:val="en-US"/>
              </w:rPr>
              <w:t>Assets</w:t>
            </w:r>
          </w:p>
        </w:tc>
        <w:tc>
          <w:tcPr>
            <w:tcW w:w="2127" w:type="dxa"/>
            <w:shd w:val="clear" w:color="auto" w:fill="auto"/>
            <w:noWrap/>
            <w:vAlign w:val="bottom"/>
          </w:tcPr>
          <w:p w14:paraId="368FAEC4" w14:textId="1A55AF04" w:rsidR="00B108A7" w:rsidRPr="00DC19CC" w:rsidRDefault="00B108A7" w:rsidP="00BD7A42">
            <w:pPr>
              <w:jc w:val="center"/>
              <w:rPr>
                <w:rFonts w:eastAsia="Times New Roman" w:cs="Arial"/>
                <w:b/>
                <w:bCs/>
                <w:color w:val="000000"/>
                <w:sz w:val="24"/>
                <w:szCs w:val="24"/>
                <w:lang w:eastAsia="en-GB"/>
              </w:rPr>
            </w:pPr>
            <w:r w:rsidRPr="00DC19CC">
              <w:rPr>
                <w:rFonts w:eastAsia="Times New Roman" w:cs="Arial"/>
                <w:b/>
                <w:bCs/>
                <w:color w:val="000000"/>
                <w:sz w:val="24"/>
                <w:szCs w:val="24"/>
                <w:lang w:eastAsia="en-GB"/>
              </w:rPr>
              <w:t>2022</w:t>
            </w:r>
          </w:p>
        </w:tc>
        <w:tc>
          <w:tcPr>
            <w:tcW w:w="1723" w:type="dxa"/>
            <w:shd w:val="clear" w:color="auto" w:fill="auto"/>
            <w:noWrap/>
            <w:vAlign w:val="bottom"/>
          </w:tcPr>
          <w:p w14:paraId="764C96C4" w14:textId="6BC8DC79" w:rsidR="00B108A7" w:rsidRPr="00DC19CC" w:rsidRDefault="00B108A7" w:rsidP="00BD7A42">
            <w:pPr>
              <w:jc w:val="center"/>
              <w:rPr>
                <w:rFonts w:eastAsia="Times New Roman" w:cs="Arial"/>
                <w:b/>
                <w:bCs/>
                <w:color w:val="000000"/>
                <w:sz w:val="24"/>
                <w:szCs w:val="24"/>
                <w:lang w:eastAsia="en-GB"/>
              </w:rPr>
            </w:pPr>
            <w:r w:rsidRPr="00DC19CC">
              <w:rPr>
                <w:rFonts w:eastAsia="Times New Roman" w:cs="Arial"/>
                <w:b/>
                <w:bCs/>
                <w:color w:val="000000"/>
                <w:sz w:val="24"/>
                <w:szCs w:val="24"/>
                <w:lang w:eastAsia="en-GB"/>
              </w:rPr>
              <w:t>2021</w:t>
            </w:r>
          </w:p>
        </w:tc>
        <w:tc>
          <w:tcPr>
            <w:tcW w:w="1701" w:type="dxa"/>
            <w:shd w:val="clear" w:color="auto" w:fill="auto"/>
            <w:noWrap/>
            <w:vAlign w:val="bottom"/>
          </w:tcPr>
          <w:p w14:paraId="184A29AD" w14:textId="1EF481AB" w:rsidR="00B108A7" w:rsidRPr="00DC19CC" w:rsidRDefault="00B108A7" w:rsidP="00BD7A42">
            <w:pPr>
              <w:jc w:val="center"/>
              <w:rPr>
                <w:rFonts w:eastAsia="Times New Roman" w:cs="Arial"/>
                <w:b/>
                <w:bCs/>
                <w:color w:val="000000"/>
                <w:sz w:val="24"/>
                <w:szCs w:val="24"/>
                <w:lang w:eastAsia="en-GB"/>
              </w:rPr>
            </w:pPr>
            <w:r w:rsidRPr="00DC19CC">
              <w:rPr>
                <w:rFonts w:eastAsia="Times New Roman" w:cs="Arial"/>
                <w:b/>
                <w:bCs/>
                <w:color w:val="000000"/>
                <w:sz w:val="24"/>
                <w:szCs w:val="24"/>
                <w:lang w:eastAsia="en-GB"/>
              </w:rPr>
              <w:t>2020</w:t>
            </w:r>
          </w:p>
        </w:tc>
      </w:tr>
      <w:tr w:rsidR="00B108A7" w:rsidRPr="00DC19CC" w14:paraId="3B45D191" w14:textId="77777777" w:rsidTr="003F1DB3">
        <w:trPr>
          <w:trHeight w:val="202"/>
        </w:trPr>
        <w:tc>
          <w:tcPr>
            <w:tcW w:w="4106" w:type="dxa"/>
            <w:shd w:val="clear" w:color="auto" w:fill="auto"/>
            <w:noWrap/>
            <w:vAlign w:val="bottom"/>
          </w:tcPr>
          <w:p w14:paraId="1D0496F7" w14:textId="65AB5585" w:rsidR="00B108A7" w:rsidRPr="00DC19CC" w:rsidRDefault="00B108A7" w:rsidP="00B108A7">
            <w:pPr>
              <w:rPr>
                <w:rFonts w:eastAsia="Times New Roman" w:cs="Arial"/>
                <w:b/>
                <w:bCs/>
                <w:color w:val="000000"/>
                <w:sz w:val="24"/>
                <w:szCs w:val="24"/>
                <w:lang w:eastAsia="en-GB"/>
              </w:rPr>
            </w:pPr>
            <w:r w:rsidRPr="00DC19CC">
              <w:rPr>
                <w:b/>
                <w:bCs/>
                <w:color w:val="000000"/>
                <w:sz w:val="24"/>
                <w:szCs w:val="24"/>
                <w:lang w:val="en-US"/>
              </w:rPr>
              <w:t>Tangible- Non- Current Assets:</w:t>
            </w:r>
          </w:p>
        </w:tc>
        <w:tc>
          <w:tcPr>
            <w:tcW w:w="2127" w:type="dxa"/>
            <w:shd w:val="clear" w:color="auto" w:fill="auto"/>
            <w:noWrap/>
            <w:vAlign w:val="bottom"/>
          </w:tcPr>
          <w:p w14:paraId="751E6779" w14:textId="09DCAF23" w:rsidR="00B108A7" w:rsidRPr="00DC19CC" w:rsidRDefault="00B108A7" w:rsidP="00BD7A42">
            <w:pPr>
              <w:jc w:val="center"/>
              <w:rPr>
                <w:rFonts w:eastAsia="Times New Roman" w:cs="Arial"/>
                <w:b/>
                <w:bCs/>
                <w:color w:val="000000"/>
                <w:sz w:val="24"/>
                <w:szCs w:val="24"/>
                <w:lang w:eastAsia="en-GB"/>
              </w:rPr>
            </w:pPr>
          </w:p>
        </w:tc>
        <w:tc>
          <w:tcPr>
            <w:tcW w:w="1723" w:type="dxa"/>
            <w:shd w:val="clear" w:color="auto" w:fill="auto"/>
            <w:noWrap/>
            <w:vAlign w:val="bottom"/>
          </w:tcPr>
          <w:p w14:paraId="50A39A51" w14:textId="05EA5572" w:rsidR="00B108A7" w:rsidRPr="00DC19CC" w:rsidRDefault="00B108A7" w:rsidP="00BD7A42">
            <w:pPr>
              <w:jc w:val="center"/>
              <w:rPr>
                <w:rFonts w:eastAsia="Times New Roman" w:cs="Arial"/>
                <w:b/>
                <w:bCs/>
                <w:color w:val="000000"/>
                <w:sz w:val="24"/>
                <w:szCs w:val="24"/>
                <w:lang w:eastAsia="en-GB"/>
              </w:rPr>
            </w:pPr>
          </w:p>
        </w:tc>
        <w:tc>
          <w:tcPr>
            <w:tcW w:w="1701" w:type="dxa"/>
            <w:shd w:val="clear" w:color="auto" w:fill="auto"/>
            <w:noWrap/>
            <w:vAlign w:val="bottom"/>
          </w:tcPr>
          <w:p w14:paraId="2B6E0C61" w14:textId="2058B37C" w:rsidR="00B108A7" w:rsidRPr="00DC19CC" w:rsidRDefault="00B108A7" w:rsidP="00BD7A42">
            <w:pPr>
              <w:jc w:val="center"/>
              <w:rPr>
                <w:rFonts w:eastAsia="Times New Roman" w:cs="Arial"/>
                <w:b/>
                <w:bCs/>
                <w:color w:val="000000"/>
                <w:sz w:val="24"/>
                <w:szCs w:val="24"/>
                <w:lang w:eastAsia="en-GB"/>
              </w:rPr>
            </w:pPr>
          </w:p>
        </w:tc>
      </w:tr>
      <w:tr w:rsidR="00B108A7" w:rsidRPr="00DC19CC" w14:paraId="7DB938C7" w14:textId="77777777" w:rsidTr="003F1DB3">
        <w:trPr>
          <w:trHeight w:val="202"/>
        </w:trPr>
        <w:tc>
          <w:tcPr>
            <w:tcW w:w="4106" w:type="dxa"/>
            <w:shd w:val="clear" w:color="auto" w:fill="auto"/>
            <w:noWrap/>
            <w:vAlign w:val="bottom"/>
          </w:tcPr>
          <w:p w14:paraId="50995834" w14:textId="78FCB345" w:rsidR="00B108A7" w:rsidRPr="00DC19CC" w:rsidRDefault="00B108A7" w:rsidP="00077379">
            <w:pPr>
              <w:rPr>
                <w:rFonts w:eastAsia="Times New Roman" w:cs="Arial"/>
                <w:b/>
                <w:bCs/>
                <w:color w:val="000000"/>
                <w:sz w:val="24"/>
                <w:szCs w:val="24"/>
                <w:lang w:eastAsia="en-GB"/>
              </w:rPr>
            </w:pPr>
            <w:r w:rsidRPr="00DC19CC">
              <w:rPr>
                <w:color w:val="000000"/>
                <w:sz w:val="24"/>
                <w:szCs w:val="24"/>
                <w:lang w:val="en-US"/>
              </w:rPr>
              <w:t>Property Plant and Equipment</w:t>
            </w:r>
          </w:p>
        </w:tc>
        <w:tc>
          <w:tcPr>
            <w:tcW w:w="2127" w:type="dxa"/>
            <w:shd w:val="clear" w:color="auto" w:fill="auto"/>
            <w:noWrap/>
            <w:vAlign w:val="bottom"/>
          </w:tcPr>
          <w:p w14:paraId="2B6F404D" w14:textId="259085BC" w:rsidR="00B108A7" w:rsidRPr="00DC19CC" w:rsidRDefault="00B108A7" w:rsidP="00077379">
            <w:pPr>
              <w:rPr>
                <w:rFonts w:eastAsia="Times New Roman"/>
                <w:sz w:val="24"/>
                <w:szCs w:val="24"/>
                <w:lang w:eastAsia="en-GB"/>
              </w:rPr>
            </w:pPr>
            <w:r w:rsidRPr="00DC19CC">
              <w:rPr>
                <w:color w:val="000000"/>
                <w:sz w:val="24"/>
                <w:szCs w:val="24"/>
                <w:lang w:val="en-US"/>
              </w:rPr>
              <w:t xml:space="preserve">     90,810,073 </w:t>
            </w:r>
          </w:p>
        </w:tc>
        <w:tc>
          <w:tcPr>
            <w:tcW w:w="1723" w:type="dxa"/>
            <w:shd w:val="clear" w:color="auto" w:fill="auto"/>
            <w:noWrap/>
            <w:vAlign w:val="bottom"/>
          </w:tcPr>
          <w:p w14:paraId="0C61EA9C" w14:textId="109593D2" w:rsidR="00B108A7" w:rsidRPr="00DC19CC" w:rsidRDefault="00B108A7" w:rsidP="00077379">
            <w:pPr>
              <w:rPr>
                <w:rFonts w:eastAsia="Times New Roman"/>
                <w:sz w:val="24"/>
                <w:szCs w:val="24"/>
                <w:lang w:eastAsia="en-GB"/>
              </w:rPr>
            </w:pPr>
            <w:r w:rsidRPr="00DC19CC">
              <w:rPr>
                <w:rFonts w:eastAsia="Times New Roman" w:cs="Arial"/>
                <w:color w:val="000000"/>
                <w:sz w:val="24"/>
                <w:szCs w:val="24"/>
                <w:lang w:eastAsia="en-GB"/>
              </w:rPr>
              <w:t>81,765,666</w:t>
            </w:r>
          </w:p>
        </w:tc>
        <w:tc>
          <w:tcPr>
            <w:tcW w:w="1701" w:type="dxa"/>
            <w:shd w:val="clear" w:color="auto" w:fill="auto"/>
            <w:noWrap/>
            <w:vAlign w:val="bottom"/>
          </w:tcPr>
          <w:p w14:paraId="6E12BB95" w14:textId="0A6768E2" w:rsidR="00B108A7" w:rsidRPr="00DC19CC" w:rsidRDefault="00B108A7" w:rsidP="00077379">
            <w:pPr>
              <w:rPr>
                <w:rFonts w:eastAsia="Times New Roman"/>
                <w:sz w:val="24"/>
                <w:szCs w:val="24"/>
                <w:lang w:eastAsia="en-GB"/>
              </w:rPr>
            </w:pPr>
            <w:r w:rsidRPr="00DC19CC">
              <w:rPr>
                <w:rFonts w:eastAsia="Times New Roman" w:cs="Arial"/>
                <w:color w:val="000000"/>
                <w:sz w:val="24"/>
                <w:szCs w:val="24"/>
                <w:lang w:eastAsia="en-GB"/>
              </w:rPr>
              <w:t>56,394,718</w:t>
            </w:r>
          </w:p>
        </w:tc>
      </w:tr>
      <w:tr w:rsidR="00B108A7" w:rsidRPr="00DC19CC" w14:paraId="2F642B2F" w14:textId="77777777" w:rsidTr="003F1DB3">
        <w:trPr>
          <w:trHeight w:val="202"/>
        </w:trPr>
        <w:tc>
          <w:tcPr>
            <w:tcW w:w="4106" w:type="dxa"/>
            <w:shd w:val="clear" w:color="auto" w:fill="auto"/>
            <w:noWrap/>
            <w:vAlign w:val="bottom"/>
          </w:tcPr>
          <w:p w14:paraId="785F25E6" w14:textId="117643BF" w:rsidR="00B108A7" w:rsidRPr="00DC19CC" w:rsidRDefault="00B108A7" w:rsidP="00077379">
            <w:pPr>
              <w:rPr>
                <w:rFonts w:eastAsia="Times New Roman" w:cs="Arial"/>
                <w:b/>
                <w:bCs/>
                <w:color w:val="000000"/>
                <w:sz w:val="24"/>
                <w:szCs w:val="24"/>
                <w:lang w:eastAsia="en-GB"/>
              </w:rPr>
            </w:pPr>
            <w:r w:rsidRPr="00DC19CC">
              <w:rPr>
                <w:b/>
                <w:bCs/>
                <w:color w:val="000000"/>
                <w:sz w:val="24"/>
                <w:szCs w:val="24"/>
                <w:lang w:val="en-US"/>
              </w:rPr>
              <w:t>Intangible Non-Current Assets:</w:t>
            </w:r>
          </w:p>
        </w:tc>
        <w:tc>
          <w:tcPr>
            <w:tcW w:w="2127" w:type="dxa"/>
            <w:shd w:val="clear" w:color="auto" w:fill="auto"/>
            <w:noWrap/>
            <w:vAlign w:val="bottom"/>
          </w:tcPr>
          <w:p w14:paraId="63A9C5B3" w14:textId="77777777" w:rsidR="00B108A7" w:rsidRPr="00DC19CC" w:rsidRDefault="00B108A7" w:rsidP="00077379">
            <w:pPr>
              <w:rPr>
                <w:rFonts w:eastAsia="Times New Roman"/>
                <w:sz w:val="24"/>
                <w:szCs w:val="24"/>
                <w:lang w:eastAsia="en-GB"/>
              </w:rPr>
            </w:pPr>
          </w:p>
        </w:tc>
        <w:tc>
          <w:tcPr>
            <w:tcW w:w="1723" w:type="dxa"/>
            <w:shd w:val="clear" w:color="auto" w:fill="auto"/>
            <w:noWrap/>
            <w:vAlign w:val="bottom"/>
          </w:tcPr>
          <w:p w14:paraId="72E40561" w14:textId="77777777" w:rsidR="00B108A7" w:rsidRPr="00DC19CC" w:rsidRDefault="00B108A7" w:rsidP="00077379">
            <w:pPr>
              <w:rPr>
                <w:rFonts w:eastAsia="Times New Roman"/>
                <w:sz w:val="24"/>
                <w:szCs w:val="24"/>
                <w:lang w:eastAsia="en-GB"/>
              </w:rPr>
            </w:pPr>
          </w:p>
        </w:tc>
        <w:tc>
          <w:tcPr>
            <w:tcW w:w="1701" w:type="dxa"/>
            <w:shd w:val="clear" w:color="auto" w:fill="auto"/>
            <w:noWrap/>
            <w:vAlign w:val="bottom"/>
          </w:tcPr>
          <w:p w14:paraId="516452C7" w14:textId="77777777" w:rsidR="00B108A7" w:rsidRPr="00DC19CC" w:rsidRDefault="00B108A7" w:rsidP="00077379">
            <w:pPr>
              <w:rPr>
                <w:rFonts w:eastAsia="Times New Roman"/>
                <w:sz w:val="24"/>
                <w:szCs w:val="24"/>
                <w:lang w:eastAsia="en-GB"/>
              </w:rPr>
            </w:pPr>
          </w:p>
        </w:tc>
      </w:tr>
      <w:tr w:rsidR="00B108A7" w:rsidRPr="00DC19CC" w14:paraId="5DD611E8" w14:textId="77777777" w:rsidTr="003F1DB3">
        <w:trPr>
          <w:trHeight w:val="202"/>
        </w:trPr>
        <w:tc>
          <w:tcPr>
            <w:tcW w:w="4106" w:type="dxa"/>
            <w:shd w:val="clear" w:color="auto" w:fill="auto"/>
            <w:noWrap/>
            <w:vAlign w:val="bottom"/>
          </w:tcPr>
          <w:p w14:paraId="76F8560B" w14:textId="0111BC99" w:rsidR="00B108A7" w:rsidRPr="00DC19CC" w:rsidRDefault="00B108A7" w:rsidP="008853C6">
            <w:pPr>
              <w:rPr>
                <w:rFonts w:eastAsia="Times New Roman" w:cs="Arial"/>
                <w:color w:val="000000"/>
                <w:sz w:val="24"/>
                <w:szCs w:val="24"/>
                <w:lang w:eastAsia="en-GB"/>
              </w:rPr>
            </w:pPr>
            <w:r w:rsidRPr="00DC19CC">
              <w:rPr>
                <w:color w:val="000000"/>
                <w:sz w:val="24"/>
                <w:szCs w:val="24"/>
                <w:lang w:val="en-US"/>
              </w:rPr>
              <w:t>Intangibles- Software</w:t>
            </w:r>
          </w:p>
        </w:tc>
        <w:tc>
          <w:tcPr>
            <w:tcW w:w="2127" w:type="dxa"/>
            <w:shd w:val="clear" w:color="auto" w:fill="auto"/>
            <w:noWrap/>
            <w:vAlign w:val="bottom"/>
          </w:tcPr>
          <w:p w14:paraId="06D7A674" w14:textId="34674D52" w:rsidR="00B108A7" w:rsidRPr="00DC19CC" w:rsidRDefault="00B108A7" w:rsidP="008853C6">
            <w:pPr>
              <w:jc w:val="center"/>
              <w:rPr>
                <w:rFonts w:eastAsia="Times New Roman" w:cs="Arial"/>
                <w:color w:val="000000"/>
                <w:sz w:val="24"/>
                <w:szCs w:val="24"/>
                <w:lang w:eastAsia="en-GB"/>
              </w:rPr>
            </w:pPr>
            <w:r w:rsidRPr="00DC19CC">
              <w:rPr>
                <w:color w:val="000000"/>
                <w:sz w:val="24"/>
                <w:szCs w:val="24"/>
                <w:lang w:val="en-US"/>
              </w:rPr>
              <w:t xml:space="preserve">          498,313 </w:t>
            </w:r>
          </w:p>
        </w:tc>
        <w:tc>
          <w:tcPr>
            <w:tcW w:w="1723" w:type="dxa"/>
            <w:shd w:val="clear" w:color="auto" w:fill="auto"/>
            <w:noWrap/>
            <w:vAlign w:val="bottom"/>
          </w:tcPr>
          <w:p w14:paraId="5A549E7A" w14:textId="46050C4E" w:rsidR="00B108A7" w:rsidRPr="00DC19CC" w:rsidRDefault="00B108A7" w:rsidP="008853C6">
            <w:pPr>
              <w:jc w:val="center"/>
              <w:rPr>
                <w:rFonts w:eastAsia="Times New Roman" w:cs="Arial"/>
                <w:color w:val="000000"/>
                <w:sz w:val="24"/>
                <w:szCs w:val="24"/>
                <w:lang w:eastAsia="en-GB"/>
              </w:rPr>
            </w:pPr>
            <w:r w:rsidRPr="00DC19CC">
              <w:rPr>
                <w:rFonts w:eastAsia="Times New Roman"/>
                <w:sz w:val="24"/>
                <w:szCs w:val="24"/>
                <w:lang w:eastAsia="en-GB"/>
              </w:rPr>
              <w:t>986,474</w:t>
            </w:r>
          </w:p>
        </w:tc>
        <w:tc>
          <w:tcPr>
            <w:tcW w:w="1701" w:type="dxa"/>
            <w:shd w:val="clear" w:color="auto" w:fill="auto"/>
            <w:noWrap/>
            <w:vAlign w:val="bottom"/>
          </w:tcPr>
          <w:p w14:paraId="5B594081" w14:textId="32E545DE" w:rsidR="00B108A7" w:rsidRPr="00DC19CC" w:rsidRDefault="00B108A7" w:rsidP="008853C6">
            <w:pPr>
              <w:jc w:val="center"/>
              <w:rPr>
                <w:rFonts w:eastAsia="Times New Roman" w:cs="Arial"/>
                <w:color w:val="000000"/>
                <w:sz w:val="24"/>
                <w:szCs w:val="24"/>
                <w:lang w:eastAsia="en-GB"/>
              </w:rPr>
            </w:pPr>
            <w:r w:rsidRPr="00DC19CC">
              <w:rPr>
                <w:rFonts w:eastAsia="Times New Roman"/>
                <w:sz w:val="24"/>
                <w:szCs w:val="24"/>
                <w:lang w:eastAsia="en-GB"/>
              </w:rPr>
              <w:t>1,299,475</w:t>
            </w:r>
          </w:p>
        </w:tc>
      </w:tr>
      <w:tr w:rsidR="00B108A7" w:rsidRPr="00DC19CC" w14:paraId="4216E57C" w14:textId="77777777" w:rsidTr="003F1DB3">
        <w:trPr>
          <w:trHeight w:val="202"/>
        </w:trPr>
        <w:tc>
          <w:tcPr>
            <w:tcW w:w="4106" w:type="dxa"/>
            <w:shd w:val="clear" w:color="auto" w:fill="auto"/>
            <w:noWrap/>
            <w:vAlign w:val="bottom"/>
          </w:tcPr>
          <w:p w14:paraId="1D75193C" w14:textId="207CF4A1" w:rsidR="00B108A7" w:rsidRPr="00DC19CC" w:rsidRDefault="00B108A7" w:rsidP="008853C6">
            <w:pPr>
              <w:rPr>
                <w:rFonts w:eastAsia="Times New Roman" w:cs="Arial"/>
                <w:color w:val="000000"/>
                <w:sz w:val="24"/>
                <w:szCs w:val="24"/>
                <w:lang w:eastAsia="en-GB"/>
              </w:rPr>
            </w:pPr>
            <w:r w:rsidRPr="00DC19CC">
              <w:rPr>
                <w:b/>
                <w:bCs/>
                <w:color w:val="000000"/>
                <w:sz w:val="24"/>
                <w:szCs w:val="24"/>
                <w:lang w:val="en-US"/>
              </w:rPr>
              <w:t>Total Non-Current Assets</w:t>
            </w:r>
          </w:p>
        </w:tc>
        <w:tc>
          <w:tcPr>
            <w:tcW w:w="2127" w:type="dxa"/>
            <w:shd w:val="clear" w:color="auto" w:fill="auto"/>
            <w:noWrap/>
            <w:vAlign w:val="bottom"/>
          </w:tcPr>
          <w:p w14:paraId="65148391" w14:textId="7A0E1C53" w:rsidR="00B108A7" w:rsidRPr="00DC19CC" w:rsidRDefault="00B108A7" w:rsidP="008853C6">
            <w:pPr>
              <w:jc w:val="center"/>
              <w:rPr>
                <w:rFonts w:eastAsia="Times New Roman"/>
                <w:sz w:val="24"/>
                <w:szCs w:val="24"/>
                <w:lang w:eastAsia="en-GB"/>
              </w:rPr>
            </w:pPr>
            <w:r w:rsidRPr="00DC19CC">
              <w:rPr>
                <w:b/>
                <w:bCs/>
                <w:color w:val="000000"/>
                <w:sz w:val="24"/>
                <w:szCs w:val="24"/>
                <w:lang w:val="en-US"/>
              </w:rPr>
              <w:t xml:space="preserve">    91,308,386 </w:t>
            </w:r>
          </w:p>
        </w:tc>
        <w:tc>
          <w:tcPr>
            <w:tcW w:w="1723" w:type="dxa"/>
            <w:shd w:val="clear" w:color="auto" w:fill="auto"/>
            <w:noWrap/>
            <w:vAlign w:val="bottom"/>
          </w:tcPr>
          <w:p w14:paraId="598B20D4" w14:textId="179CD778" w:rsidR="00B108A7" w:rsidRPr="00DC19CC" w:rsidRDefault="00B108A7" w:rsidP="008853C6">
            <w:pPr>
              <w:jc w:val="center"/>
              <w:rPr>
                <w:rFonts w:eastAsia="Times New Roman"/>
                <w:sz w:val="24"/>
                <w:szCs w:val="24"/>
                <w:lang w:eastAsia="en-GB"/>
              </w:rPr>
            </w:pPr>
            <w:r w:rsidRPr="00DC19CC">
              <w:rPr>
                <w:rFonts w:eastAsia="Times New Roman" w:cs="Arial"/>
                <w:b/>
                <w:bCs/>
                <w:color w:val="000000"/>
                <w:sz w:val="24"/>
                <w:szCs w:val="24"/>
                <w:lang w:eastAsia="en-GB"/>
              </w:rPr>
              <w:t>82,752,140</w:t>
            </w:r>
          </w:p>
        </w:tc>
        <w:tc>
          <w:tcPr>
            <w:tcW w:w="1701" w:type="dxa"/>
            <w:shd w:val="clear" w:color="auto" w:fill="auto"/>
            <w:noWrap/>
            <w:vAlign w:val="bottom"/>
          </w:tcPr>
          <w:p w14:paraId="7FFADA7C" w14:textId="6962835C" w:rsidR="00B108A7" w:rsidRPr="00DC19CC" w:rsidRDefault="00B108A7" w:rsidP="008853C6">
            <w:pPr>
              <w:jc w:val="center"/>
              <w:rPr>
                <w:rFonts w:eastAsia="Times New Roman"/>
                <w:sz w:val="24"/>
                <w:szCs w:val="24"/>
                <w:lang w:eastAsia="en-GB"/>
              </w:rPr>
            </w:pPr>
            <w:r w:rsidRPr="00DC19CC">
              <w:rPr>
                <w:rFonts w:eastAsia="Times New Roman" w:cs="Arial"/>
                <w:b/>
                <w:bCs/>
                <w:color w:val="000000"/>
                <w:sz w:val="24"/>
                <w:szCs w:val="24"/>
                <w:lang w:eastAsia="en-GB"/>
              </w:rPr>
              <w:t>57,694,194</w:t>
            </w:r>
          </w:p>
        </w:tc>
      </w:tr>
      <w:tr w:rsidR="00B108A7" w:rsidRPr="00DC19CC" w14:paraId="14575842" w14:textId="77777777" w:rsidTr="003F1DB3">
        <w:trPr>
          <w:trHeight w:val="202"/>
        </w:trPr>
        <w:tc>
          <w:tcPr>
            <w:tcW w:w="4106" w:type="dxa"/>
            <w:shd w:val="clear" w:color="auto" w:fill="auto"/>
            <w:noWrap/>
            <w:vAlign w:val="bottom"/>
          </w:tcPr>
          <w:p w14:paraId="79194511" w14:textId="229D626D" w:rsidR="00B108A7" w:rsidRPr="00DC19CC" w:rsidRDefault="00B108A7" w:rsidP="008853C6">
            <w:pPr>
              <w:rPr>
                <w:rFonts w:eastAsia="Times New Roman" w:cs="Arial"/>
                <w:b/>
                <w:bCs/>
                <w:color w:val="000000"/>
                <w:sz w:val="24"/>
                <w:szCs w:val="24"/>
                <w:lang w:eastAsia="en-GB"/>
              </w:rPr>
            </w:pPr>
          </w:p>
        </w:tc>
        <w:tc>
          <w:tcPr>
            <w:tcW w:w="2127" w:type="dxa"/>
            <w:shd w:val="clear" w:color="auto" w:fill="auto"/>
            <w:noWrap/>
            <w:vAlign w:val="bottom"/>
          </w:tcPr>
          <w:p w14:paraId="72942F1F" w14:textId="77777777" w:rsidR="00B108A7" w:rsidRPr="00DC19CC" w:rsidRDefault="00B108A7" w:rsidP="008853C6">
            <w:pPr>
              <w:jc w:val="center"/>
              <w:rPr>
                <w:rFonts w:eastAsia="Times New Roman"/>
                <w:sz w:val="24"/>
                <w:szCs w:val="24"/>
                <w:lang w:eastAsia="en-GB"/>
              </w:rPr>
            </w:pPr>
          </w:p>
        </w:tc>
        <w:tc>
          <w:tcPr>
            <w:tcW w:w="1723" w:type="dxa"/>
            <w:shd w:val="clear" w:color="auto" w:fill="auto"/>
            <w:noWrap/>
            <w:vAlign w:val="bottom"/>
          </w:tcPr>
          <w:p w14:paraId="7DC696E7" w14:textId="77777777" w:rsidR="00B108A7" w:rsidRPr="00DC19CC" w:rsidRDefault="00B108A7" w:rsidP="008853C6">
            <w:pPr>
              <w:jc w:val="center"/>
              <w:rPr>
                <w:rFonts w:eastAsia="Times New Roman"/>
                <w:sz w:val="24"/>
                <w:szCs w:val="24"/>
                <w:lang w:eastAsia="en-GB"/>
              </w:rPr>
            </w:pPr>
          </w:p>
        </w:tc>
        <w:tc>
          <w:tcPr>
            <w:tcW w:w="1701" w:type="dxa"/>
            <w:shd w:val="clear" w:color="auto" w:fill="auto"/>
            <w:noWrap/>
            <w:vAlign w:val="bottom"/>
          </w:tcPr>
          <w:p w14:paraId="52175EA1" w14:textId="77777777" w:rsidR="00B108A7" w:rsidRPr="00DC19CC" w:rsidRDefault="00B108A7" w:rsidP="008853C6">
            <w:pPr>
              <w:jc w:val="center"/>
              <w:rPr>
                <w:rFonts w:eastAsia="Times New Roman"/>
                <w:sz w:val="24"/>
                <w:szCs w:val="24"/>
                <w:lang w:eastAsia="en-GB"/>
              </w:rPr>
            </w:pPr>
          </w:p>
        </w:tc>
      </w:tr>
      <w:tr w:rsidR="00B108A7" w:rsidRPr="00DC19CC" w14:paraId="48C052D9" w14:textId="77777777" w:rsidTr="003F1DB3">
        <w:trPr>
          <w:trHeight w:val="202"/>
        </w:trPr>
        <w:tc>
          <w:tcPr>
            <w:tcW w:w="4106" w:type="dxa"/>
            <w:shd w:val="clear" w:color="auto" w:fill="auto"/>
            <w:noWrap/>
            <w:vAlign w:val="bottom"/>
          </w:tcPr>
          <w:p w14:paraId="4CB918CC" w14:textId="74C17D0F" w:rsidR="00B108A7" w:rsidRPr="00DC19CC" w:rsidRDefault="00B108A7" w:rsidP="008853C6">
            <w:pPr>
              <w:rPr>
                <w:rFonts w:eastAsia="Times New Roman" w:cs="Arial"/>
                <w:color w:val="000000"/>
                <w:sz w:val="24"/>
                <w:szCs w:val="24"/>
                <w:lang w:eastAsia="en-GB"/>
              </w:rPr>
            </w:pPr>
            <w:r w:rsidRPr="00DC19CC">
              <w:rPr>
                <w:b/>
                <w:bCs/>
                <w:color w:val="000000"/>
                <w:sz w:val="24"/>
                <w:szCs w:val="24"/>
                <w:lang w:val="en-US"/>
              </w:rPr>
              <w:t>Current Assets:</w:t>
            </w:r>
          </w:p>
        </w:tc>
        <w:tc>
          <w:tcPr>
            <w:tcW w:w="2127" w:type="dxa"/>
            <w:shd w:val="clear" w:color="auto" w:fill="auto"/>
            <w:noWrap/>
            <w:vAlign w:val="bottom"/>
          </w:tcPr>
          <w:p w14:paraId="3912C55F" w14:textId="77777777" w:rsidR="00B108A7" w:rsidRPr="00DC19CC" w:rsidRDefault="00B108A7" w:rsidP="008853C6">
            <w:pPr>
              <w:jc w:val="center"/>
              <w:rPr>
                <w:rFonts w:eastAsia="Times New Roman"/>
                <w:sz w:val="24"/>
                <w:szCs w:val="24"/>
                <w:lang w:eastAsia="en-GB"/>
              </w:rPr>
            </w:pPr>
          </w:p>
        </w:tc>
        <w:tc>
          <w:tcPr>
            <w:tcW w:w="1723" w:type="dxa"/>
            <w:shd w:val="clear" w:color="auto" w:fill="auto"/>
            <w:noWrap/>
            <w:vAlign w:val="bottom"/>
          </w:tcPr>
          <w:p w14:paraId="1DB98C83" w14:textId="77777777" w:rsidR="00B108A7" w:rsidRPr="00DC19CC" w:rsidRDefault="00B108A7" w:rsidP="008853C6">
            <w:pPr>
              <w:jc w:val="center"/>
              <w:rPr>
                <w:rFonts w:eastAsia="Times New Roman"/>
                <w:sz w:val="24"/>
                <w:szCs w:val="24"/>
                <w:lang w:eastAsia="en-GB"/>
              </w:rPr>
            </w:pPr>
          </w:p>
        </w:tc>
        <w:tc>
          <w:tcPr>
            <w:tcW w:w="1701" w:type="dxa"/>
            <w:shd w:val="clear" w:color="auto" w:fill="auto"/>
            <w:noWrap/>
            <w:vAlign w:val="bottom"/>
          </w:tcPr>
          <w:p w14:paraId="08D0725A" w14:textId="0AD5BA88" w:rsidR="00B108A7" w:rsidRPr="00DC19CC" w:rsidRDefault="00B108A7" w:rsidP="008853C6">
            <w:pPr>
              <w:jc w:val="center"/>
              <w:rPr>
                <w:rFonts w:eastAsia="Times New Roman"/>
                <w:sz w:val="24"/>
                <w:szCs w:val="24"/>
                <w:lang w:eastAsia="en-GB"/>
              </w:rPr>
            </w:pPr>
          </w:p>
        </w:tc>
      </w:tr>
      <w:tr w:rsidR="00B108A7" w:rsidRPr="00DC19CC" w14:paraId="28825EC0" w14:textId="77777777" w:rsidTr="003F1DB3">
        <w:trPr>
          <w:trHeight w:val="202"/>
        </w:trPr>
        <w:tc>
          <w:tcPr>
            <w:tcW w:w="4106" w:type="dxa"/>
            <w:shd w:val="clear" w:color="auto" w:fill="auto"/>
            <w:noWrap/>
            <w:vAlign w:val="bottom"/>
          </w:tcPr>
          <w:p w14:paraId="35CC4D2C" w14:textId="3DE7931C" w:rsidR="00B108A7" w:rsidRPr="00DC19CC" w:rsidRDefault="00B108A7" w:rsidP="008853C6">
            <w:pPr>
              <w:rPr>
                <w:rFonts w:eastAsia="Times New Roman"/>
                <w:sz w:val="24"/>
                <w:szCs w:val="24"/>
                <w:lang w:eastAsia="en-GB"/>
              </w:rPr>
            </w:pPr>
            <w:r w:rsidRPr="00DC19CC">
              <w:rPr>
                <w:color w:val="000000"/>
                <w:sz w:val="24"/>
                <w:szCs w:val="24"/>
                <w:lang w:val="en-US"/>
              </w:rPr>
              <w:t>Inventory</w:t>
            </w:r>
          </w:p>
        </w:tc>
        <w:tc>
          <w:tcPr>
            <w:tcW w:w="2127" w:type="dxa"/>
            <w:shd w:val="clear" w:color="auto" w:fill="auto"/>
            <w:noWrap/>
            <w:vAlign w:val="bottom"/>
          </w:tcPr>
          <w:p w14:paraId="5904B52B" w14:textId="0A619EAE" w:rsidR="00B108A7" w:rsidRPr="00DC19CC" w:rsidRDefault="00B108A7" w:rsidP="008853C6">
            <w:pPr>
              <w:jc w:val="center"/>
              <w:rPr>
                <w:rFonts w:eastAsia="Times New Roman"/>
                <w:sz w:val="24"/>
                <w:szCs w:val="24"/>
                <w:lang w:eastAsia="en-GB"/>
              </w:rPr>
            </w:pPr>
            <w:r w:rsidRPr="00DC19CC">
              <w:rPr>
                <w:color w:val="000000"/>
                <w:sz w:val="24"/>
                <w:szCs w:val="24"/>
                <w:lang w:val="en-US"/>
              </w:rPr>
              <w:t xml:space="preserve">       2,021,274 </w:t>
            </w:r>
          </w:p>
        </w:tc>
        <w:tc>
          <w:tcPr>
            <w:tcW w:w="1723" w:type="dxa"/>
            <w:shd w:val="clear" w:color="auto" w:fill="auto"/>
            <w:noWrap/>
            <w:vAlign w:val="bottom"/>
          </w:tcPr>
          <w:p w14:paraId="399B4543" w14:textId="4D20321C" w:rsidR="00B108A7" w:rsidRPr="00DC19CC" w:rsidRDefault="00B108A7" w:rsidP="008853C6">
            <w:pPr>
              <w:jc w:val="center"/>
              <w:rPr>
                <w:rFonts w:eastAsia="Times New Roman"/>
                <w:sz w:val="24"/>
                <w:szCs w:val="24"/>
                <w:lang w:eastAsia="en-GB"/>
              </w:rPr>
            </w:pPr>
            <w:r w:rsidRPr="00DC19CC">
              <w:rPr>
                <w:rFonts w:eastAsia="Times New Roman" w:cs="Arial"/>
                <w:color w:val="000000"/>
                <w:sz w:val="24"/>
                <w:szCs w:val="24"/>
                <w:lang w:eastAsia="en-GB"/>
              </w:rPr>
              <w:t>2,258,585</w:t>
            </w:r>
          </w:p>
        </w:tc>
        <w:tc>
          <w:tcPr>
            <w:tcW w:w="1701" w:type="dxa"/>
            <w:shd w:val="clear" w:color="auto" w:fill="auto"/>
            <w:noWrap/>
            <w:vAlign w:val="bottom"/>
          </w:tcPr>
          <w:p w14:paraId="2E170E67" w14:textId="64C4766D" w:rsidR="00B108A7" w:rsidRPr="00DC19CC" w:rsidRDefault="00B108A7" w:rsidP="008853C6">
            <w:pPr>
              <w:jc w:val="center"/>
              <w:rPr>
                <w:rFonts w:eastAsia="Times New Roman"/>
                <w:sz w:val="24"/>
                <w:szCs w:val="24"/>
                <w:lang w:eastAsia="en-GB"/>
              </w:rPr>
            </w:pPr>
            <w:r w:rsidRPr="00DC19CC">
              <w:rPr>
                <w:rFonts w:eastAsia="Times New Roman" w:cs="Arial"/>
                <w:color w:val="000000"/>
                <w:sz w:val="24"/>
                <w:szCs w:val="24"/>
                <w:lang w:eastAsia="en-GB"/>
              </w:rPr>
              <w:t>2,232,392</w:t>
            </w:r>
          </w:p>
        </w:tc>
      </w:tr>
      <w:tr w:rsidR="00B108A7" w:rsidRPr="00DC19CC" w14:paraId="66E4632D" w14:textId="77777777" w:rsidTr="003F1DB3">
        <w:trPr>
          <w:trHeight w:val="215"/>
        </w:trPr>
        <w:tc>
          <w:tcPr>
            <w:tcW w:w="4106" w:type="dxa"/>
            <w:shd w:val="clear" w:color="auto" w:fill="auto"/>
            <w:noWrap/>
            <w:vAlign w:val="bottom"/>
          </w:tcPr>
          <w:p w14:paraId="4F443168" w14:textId="7803758E" w:rsidR="00B108A7" w:rsidRPr="00DC19CC" w:rsidRDefault="00B108A7" w:rsidP="008853C6">
            <w:pPr>
              <w:rPr>
                <w:rFonts w:eastAsia="Times New Roman" w:cs="Arial"/>
                <w:b/>
                <w:bCs/>
                <w:color w:val="000000"/>
                <w:sz w:val="24"/>
                <w:szCs w:val="24"/>
                <w:lang w:eastAsia="en-GB"/>
              </w:rPr>
            </w:pPr>
            <w:r w:rsidRPr="00DC19CC">
              <w:rPr>
                <w:color w:val="000000"/>
                <w:sz w:val="24"/>
                <w:szCs w:val="24"/>
                <w:lang w:val="en-US"/>
              </w:rPr>
              <w:t>Receivables</w:t>
            </w:r>
          </w:p>
        </w:tc>
        <w:tc>
          <w:tcPr>
            <w:tcW w:w="2127" w:type="dxa"/>
            <w:shd w:val="clear" w:color="auto" w:fill="auto"/>
            <w:noWrap/>
            <w:vAlign w:val="bottom"/>
          </w:tcPr>
          <w:p w14:paraId="5082333E" w14:textId="5E113CDF" w:rsidR="00B108A7" w:rsidRPr="00DC19CC" w:rsidRDefault="00B108A7" w:rsidP="008853C6">
            <w:pPr>
              <w:jc w:val="center"/>
              <w:rPr>
                <w:rFonts w:eastAsia="Times New Roman" w:cs="Arial"/>
                <w:color w:val="000000"/>
                <w:sz w:val="24"/>
                <w:szCs w:val="24"/>
                <w:lang w:eastAsia="en-GB"/>
              </w:rPr>
            </w:pPr>
            <w:r w:rsidRPr="00DC19CC">
              <w:rPr>
                <w:color w:val="000000"/>
                <w:sz w:val="24"/>
                <w:szCs w:val="24"/>
                <w:lang w:val="en-US"/>
              </w:rPr>
              <w:t xml:space="preserve">     12,514,957 </w:t>
            </w:r>
          </w:p>
        </w:tc>
        <w:tc>
          <w:tcPr>
            <w:tcW w:w="1723" w:type="dxa"/>
            <w:shd w:val="clear" w:color="auto" w:fill="auto"/>
            <w:noWrap/>
            <w:vAlign w:val="bottom"/>
          </w:tcPr>
          <w:p w14:paraId="21333FDE" w14:textId="4FAF3D84" w:rsidR="00B108A7" w:rsidRPr="00DC19CC" w:rsidRDefault="00B108A7" w:rsidP="008853C6">
            <w:pPr>
              <w:jc w:val="center"/>
              <w:rPr>
                <w:rFonts w:eastAsia="Times New Roman" w:cs="Arial"/>
                <w:color w:val="000000"/>
                <w:sz w:val="24"/>
                <w:szCs w:val="24"/>
                <w:lang w:eastAsia="en-GB"/>
              </w:rPr>
            </w:pPr>
          </w:p>
        </w:tc>
        <w:tc>
          <w:tcPr>
            <w:tcW w:w="1701" w:type="dxa"/>
            <w:shd w:val="clear" w:color="auto" w:fill="auto"/>
            <w:noWrap/>
            <w:vAlign w:val="bottom"/>
          </w:tcPr>
          <w:p w14:paraId="3A9B2F84" w14:textId="6F3B1591" w:rsidR="00B108A7" w:rsidRPr="00DC19CC" w:rsidRDefault="00B108A7" w:rsidP="008853C6">
            <w:pPr>
              <w:jc w:val="center"/>
              <w:rPr>
                <w:rFonts w:eastAsia="Times New Roman" w:cs="Arial"/>
                <w:color w:val="000000"/>
                <w:sz w:val="24"/>
                <w:szCs w:val="24"/>
                <w:lang w:eastAsia="en-GB"/>
              </w:rPr>
            </w:pPr>
          </w:p>
        </w:tc>
      </w:tr>
      <w:tr w:rsidR="00B108A7" w:rsidRPr="00DC19CC" w14:paraId="37693C5A" w14:textId="77777777" w:rsidTr="003F1DB3">
        <w:trPr>
          <w:trHeight w:val="202"/>
        </w:trPr>
        <w:tc>
          <w:tcPr>
            <w:tcW w:w="4106" w:type="dxa"/>
            <w:shd w:val="clear" w:color="auto" w:fill="auto"/>
            <w:noWrap/>
            <w:vAlign w:val="bottom"/>
          </w:tcPr>
          <w:p w14:paraId="7196C286" w14:textId="37C1C75E" w:rsidR="00B108A7" w:rsidRPr="00DC19CC" w:rsidRDefault="00B108A7" w:rsidP="008853C6">
            <w:pPr>
              <w:rPr>
                <w:rFonts w:eastAsia="Times New Roman" w:cs="Arial"/>
                <w:color w:val="000000"/>
                <w:sz w:val="24"/>
                <w:szCs w:val="24"/>
                <w:lang w:eastAsia="en-GB"/>
              </w:rPr>
            </w:pPr>
            <w:r w:rsidRPr="00DC19CC">
              <w:rPr>
                <w:color w:val="000000"/>
                <w:sz w:val="24"/>
                <w:szCs w:val="24"/>
                <w:lang w:val="en-US"/>
              </w:rPr>
              <w:t>Prepayment</w:t>
            </w:r>
          </w:p>
        </w:tc>
        <w:tc>
          <w:tcPr>
            <w:tcW w:w="2127" w:type="dxa"/>
            <w:shd w:val="clear" w:color="auto" w:fill="auto"/>
            <w:noWrap/>
            <w:vAlign w:val="bottom"/>
          </w:tcPr>
          <w:p w14:paraId="16D7E77A" w14:textId="565911AD" w:rsidR="00B108A7" w:rsidRPr="00DC19CC" w:rsidRDefault="00B108A7" w:rsidP="008853C6">
            <w:pPr>
              <w:jc w:val="center"/>
              <w:rPr>
                <w:rFonts w:eastAsia="Times New Roman"/>
                <w:sz w:val="24"/>
                <w:szCs w:val="24"/>
                <w:lang w:eastAsia="en-GB"/>
              </w:rPr>
            </w:pPr>
            <w:r w:rsidRPr="00DC19CC">
              <w:rPr>
                <w:color w:val="000000"/>
                <w:sz w:val="24"/>
                <w:szCs w:val="24"/>
                <w:lang w:val="en-US"/>
              </w:rPr>
              <w:t xml:space="preserve">       5,445,754 </w:t>
            </w:r>
          </w:p>
        </w:tc>
        <w:tc>
          <w:tcPr>
            <w:tcW w:w="1723" w:type="dxa"/>
            <w:shd w:val="clear" w:color="auto" w:fill="auto"/>
            <w:noWrap/>
            <w:vAlign w:val="bottom"/>
          </w:tcPr>
          <w:p w14:paraId="3D508B30" w14:textId="44519F79" w:rsidR="00B108A7" w:rsidRPr="00DC19CC" w:rsidRDefault="00B108A7" w:rsidP="008853C6">
            <w:pPr>
              <w:jc w:val="center"/>
              <w:rPr>
                <w:rFonts w:eastAsia="Times New Roman"/>
                <w:sz w:val="24"/>
                <w:szCs w:val="24"/>
                <w:lang w:eastAsia="en-GB"/>
              </w:rPr>
            </w:pPr>
          </w:p>
        </w:tc>
        <w:tc>
          <w:tcPr>
            <w:tcW w:w="1701" w:type="dxa"/>
            <w:shd w:val="clear" w:color="auto" w:fill="auto"/>
            <w:noWrap/>
            <w:vAlign w:val="bottom"/>
          </w:tcPr>
          <w:p w14:paraId="380EF7CC" w14:textId="77777777" w:rsidR="00B108A7" w:rsidRPr="00DC19CC" w:rsidRDefault="00B108A7" w:rsidP="008853C6">
            <w:pPr>
              <w:jc w:val="center"/>
              <w:rPr>
                <w:rFonts w:eastAsia="Times New Roman"/>
                <w:sz w:val="24"/>
                <w:szCs w:val="24"/>
                <w:lang w:eastAsia="en-GB"/>
              </w:rPr>
            </w:pPr>
          </w:p>
        </w:tc>
      </w:tr>
      <w:tr w:rsidR="00B108A7" w:rsidRPr="00DC19CC" w14:paraId="5B111D53" w14:textId="77777777" w:rsidTr="003F1DB3">
        <w:trPr>
          <w:trHeight w:val="202"/>
        </w:trPr>
        <w:tc>
          <w:tcPr>
            <w:tcW w:w="4106" w:type="dxa"/>
            <w:shd w:val="clear" w:color="auto" w:fill="auto"/>
            <w:noWrap/>
            <w:vAlign w:val="bottom"/>
          </w:tcPr>
          <w:p w14:paraId="440E144C" w14:textId="200A2184" w:rsidR="00B108A7" w:rsidRPr="00DC19CC" w:rsidRDefault="00B108A7" w:rsidP="008853C6">
            <w:pPr>
              <w:rPr>
                <w:rFonts w:eastAsia="Times New Roman" w:cs="Arial"/>
                <w:b/>
                <w:bCs/>
                <w:color w:val="000000"/>
                <w:sz w:val="24"/>
                <w:szCs w:val="24"/>
                <w:lang w:eastAsia="en-GB"/>
              </w:rPr>
            </w:pPr>
            <w:r w:rsidRPr="00DC19CC">
              <w:rPr>
                <w:color w:val="000000"/>
                <w:sz w:val="24"/>
                <w:szCs w:val="24"/>
                <w:lang w:val="en-US"/>
              </w:rPr>
              <w:t>Cash and Cash Equivalent</w:t>
            </w:r>
          </w:p>
        </w:tc>
        <w:tc>
          <w:tcPr>
            <w:tcW w:w="2127" w:type="dxa"/>
            <w:shd w:val="clear" w:color="auto" w:fill="auto"/>
            <w:noWrap/>
            <w:vAlign w:val="bottom"/>
          </w:tcPr>
          <w:p w14:paraId="4964C620" w14:textId="3207EB72" w:rsidR="00B108A7" w:rsidRPr="00DC19CC" w:rsidRDefault="00B108A7" w:rsidP="008853C6">
            <w:pPr>
              <w:jc w:val="center"/>
              <w:rPr>
                <w:rFonts w:eastAsia="Times New Roman"/>
                <w:sz w:val="24"/>
                <w:szCs w:val="24"/>
                <w:lang w:eastAsia="en-GB"/>
              </w:rPr>
            </w:pPr>
            <w:r w:rsidRPr="00DC19CC">
              <w:rPr>
                <w:color w:val="000000"/>
                <w:sz w:val="24"/>
                <w:szCs w:val="24"/>
                <w:lang w:val="en-US"/>
              </w:rPr>
              <w:t xml:space="preserve">      (2,634,113) </w:t>
            </w:r>
          </w:p>
        </w:tc>
        <w:tc>
          <w:tcPr>
            <w:tcW w:w="1723" w:type="dxa"/>
            <w:shd w:val="clear" w:color="auto" w:fill="auto"/>
            <w:noWrap/>
            <w:vAlign w:val="bottom"/>
          </w:tcPr>
          <w:p w14:paraId="4F308F74" w14:textId="27FD0A7A" w:rsidR="00B108A7" w:rsidRPr="00DC19CC" w:rsidRDefault="00B108A7" w:rsidP="008853C6">
            <w:pPr>
              <w:jc w:val="center"/>
              <w:rPr>
                <w:rFonts w:eastAsia="Times New Roman"/>
                <w:sz w:val="24"/>
                <w:szCs w:val="24"/>
                <w:lang w:eastAsia="en-GB"/>
              </w:rPr>
            </w:pPr>
            <w:r w:rsidRPr="00DC19CC">
              <w:rPr>
                <w:rFonts w:eastAsia="Times New Roman" w:cs="Arial"/>
                <w:color w:val="000000"/>
                <w:sz w:val="24"/>
                <w:szCs w:val="24"/>
                <w:lang w:eastAsia="en-GB"/>
              </w:rPr>
              <w:t>16,127,259</w:t>
            </w:r>
          </w:p>
        </w:tc>
        <w:tc>
          <w:tcPr>
            <w:tcW w:w="1701" w:type="dxa"/>
            <w:shd w:val="clear" w:color="auto" w:fill="auto"/>
            <w:noWrap/>
            <w:vAlign w:val="bottom"/>
          </w:tcPr>
          <w:p w14:paraId="2B3B527E" w14:textId="75F4D748" w:rsidR="00B108A7" w:rsidRPr="00DC19CC" w:rsidRDefault="00B108A7" w:rsidP="008853C6">
            <w:pPr>
              <w:jc w:val="center"/>
              <w:rPr>
                <w:rFonts w:eastAsia="Times New Roman"/>
                <w:sz w:val="24"/>
                <w:szCs w:val="24"/>
                <w:lang w:eastAsia="en-GB"/>
              </w:rPr>
            </w:pPr>
            <w:r w:rsidRPr="00DC19CC">
              <w:rPr>
                <w:rFonts w:eastAsia="Times New Roman" w:cs="Arial"/>
                <w:color w:val="000000"/>
                <w:sz w:val="24"/>
                <w:szCs w:val="24"/>
                <w:lang w:eastAsia="en-GB"/>
              </w:rPr>
              <w:t>22,772,342</w:t>
            </w:r>
          </w:p>
        </w:tc>
      </w:tr>
      <w:tr w:rsidR="00B108A7" w:rsidRPr="00DC19CC" w14:paraId="15427A8C" w14:textId="77777777" w:rsidTr="003F1DB3">
        <w:trPr>
          <w:trHeight w:val="202"/>
        </w:trPr>
        <w:tc>
          <w:tcPr>
            <w:tcW w:w="4106" w:type="dxa"/>
            <w:shd w:val="clear" w:color="auto" w:fill="auto"/>
            <w:noWrap/>
            <w:vAlign w:val="bottom"/>
          </w:tcPr>
          <w:p w14:paraId="1503BB4C" w14:textId="2F430C62" w:rsidR="00B108A7" w:rsidRPr="00DC19CC" w:rsidRDefault="00B108A7" w:rsidP="008853C6">
            <w:pPr>
              <w:rPr>
                <w:rFonts w:eastAsia="Times New Roman" w:cs="Arial"/>
                <w:b/>
                <w:bCs/>
                <w:color w:val="000000"/>
                <w:sz w:val="24"/>
                <w:szCs w:val="24"/>
                <w:lang w:eastAsia="en-GB"/>
              </w:rPr>
            </w:pPr>
            <w:r w:rsidRPr="00DC19CC">
              <w:rPr>
                <w:rFonts w:eastAsia="Times New Roman" w:cs="Arial"/>
                <w:b/>
                <w:bCs/>
                <w:color w:val="000000"/>
                <w:sz w:val="24"/>
                <w:szCs w:val="24"/>
                <w:lang w:eastAsia="en-GB"/>
              </w:rPr>
              <w:t>Total Current Assets</w:t>
            </w:r>
          </w:p>
        </w:tc>
        <w:tc>
          <w:tcPr>
            <w:tcW w:w="2127" w:type="dxa"/>
            <w:shd w:val="clear" w:color="auto" w:fill="auto"/>
            <w:noWrap/>
            <w:vAlign w:val="bottom"/>
          </w:tcPr>
          <w:p w14:paraId="4FA6E417" w14:textId="74E046D5" w:rsidR="00B108A7" w:rsidRPr="00DC19CC" w:rsidRDefault="00B108A7" w:rsidP="008853C6">
            <w:pPr>
              <w:jc w:val="center"/>
              <w:rPr>
                <w:rFonts w:eastAsia="Times New Roman" w:cs="Arial"/>
                <w:color w:val="000000"/>
                <w:sz w:val="24"/>
                <w:szCs w:val="24"/>
                <w:lang w:eastAsia="en-GB"/>
              </w:rPr>
            </w:pPr>
            <w:r w:rsidRPr="00DC19CC">
              <w:rPr>
                <w:b/>
                <w:bCs/>
                <w:color w:val="000000"/>
                <w:sz w:val="24"/>
                <w:szCs w:val="24"/>
                <w:lang w:val="en-US"/>
              </w:rPr>
              <w:t xml:space="preserve">    17,347,872 </w:t>
            </w:r>
          </w:p>
        </w:tc>
        <w:tc>
          <w:tcPr>
            <w:tcW w:w="1723" w:type="dxa"/>
            <w:shd w:val="clear" w:color="auto" w:fill="auto"/>
            <w:noWrap/>
            <w:vAlign w:val="bottom"/>
          </w:tcPr>
          <w:p w14:paraId="38516814" w14:textId="32A8BC9A" w:rsidR="00B108A7" w:rsidRPr="00DC19CC" w:rsidRDefault="00B108A7" w:rsidP="008853C6">
            <w:pPr>
              <w:jc w:val="center"/>
              <w:rPr>
                <w:rFonts w:eastAsia="Times New Roman" w:cs="Arial"/>
                <w:color w:val="000000"/>
                <w:sz w:val="24"/>
                <w:szCs w:val="24"/>
                <w:lang w:eastAsia="en-GB"/>
              </w:rPr>
            </w:pPr>
            <w:r w:rsidRPr="00DC19CC">
              <w:rPr>
                <w:rFonts w:eastAsia="Times New Roman" w:cs="Arial"/>
                <w:b/>
                <w:bCs/>
                <w:color w:val="000000"/>
                <w:sz w:val="24"/>
                <w:szCs w:val="24"/>
                <w:lang w:eastAsia="en-GB"/>
              </w:rPr>
              <w:t>35,833,960</w:t>
            </w:r>
          </w:p>
        </w:tc>
        <w:tc>
          <w:tcPr>
            <w:tcW w:w="1701" w:type="dxa"/>
            <w:shd w:val="clear" w:color="auto" w:fill="auto"/>
            <w:noWrap/>
            <w:vAlign w:val="bottom"/>
          </w:tcPr>
          <w:p w14:paraId="311AB8BE" w14:textId="715C4712" w:rsidR="00B108A7" w:rsidRPr="00DC19CC" w:rsidRDefault="00B108A7" w:rsidP="008853C6">
            <w:pPr>
              <w:jc w:val="center"/>
              <w:rPr>
                <w:rFonts w:eastAsia="Times New Roman" w:cs="Arial"/>
                <w:color w:val="000000"/>
                <w:sz w:val="24"/>
                <w:szCs w:val="24"/>
                <w:lang w:eastAsia="en-GB"/>
              </w:rPr>
            </w:pPr>
            <w:r w:rsidRPr="00DC19CC">
              <w:rPr>
                <w:rFonts w:eastAsia="Times New Roman" w:cs="Arial"/>
                <w:b/>
                <w:bCs/>
                <w:color w:val="000000"/>
                <w:sz w:val="24"/>
                <w:szCs w:val="24"/>
                <w:lang w:eastAsia="en-GB"/>
              </w:rPr>
              <w:t>56,404,148</w:t>
            </w:r>
          </w:p>
        </w:tc>
      </w:tr>
      <w:tr w:rsidR="00B108A7" w:rsidRPr="00DC19CC" w14:paraId="7187EDFE" w14:textId="77777777" w:rsidTr="003F1DB3">
        <w:trPr>
          <w:trHeight w:val="202"/>
        </w:trPr>
        <w:tc>
          <w:tcPr>
            <w:tcW w:w="4106" w:type="dxa"/>
            <w:shd w:val="clear" w:color="auto" w:fill="auto"/>
            <w:noWrap/>
            <w:vAlign w:val="bottom"/>
          </w:tcPr>
          <w:p w14:paraId="2BE729AF" w14:textId="4ED20955" w:rsidR="00B108A7" w:rsidRPr="00DC19CC" w:rsidRDefault="00B108A7" w:rsidP="008853C6">
            <w:pPr>
              <w:rPr>
                <w:rFonts w:eastAsia="Times New Roman" w:cs="Arial"/>
                <w:color w:val="000000"/>
                <w:sz w:val="24"/>
                <w:szCs w:val="24"/>
                <w:lang w:eastAsia="en-GB"/>
              </w:rPr>
            </w:pPr>
          </w:p>
        </w:tc>
        <w:tc>
          <w:tcPr>
            <w:tcW w:w="2127" w:type="dxa"/>
            <w:shd w:val="clear" w:color="auto" w:fill="auto"/>
            <w:noWrap/>
            <w:vAlign w:val="bottom"/>
          </w:tcPr>
          <w:p w14:paraId="78CBC6E4" w14:textId="77777777" w:rsidR="00B108A7" w:rsidRPr="00DC19CC" w:rsidRDefault="00B108A7" w:rsidP="008853C6">
            <w:pPr>
              <w:jc w:val="center"/>
              <w:rPr>
                <w:rFonts w:eastAsia="Times New Roman" w:cs="Arial"/>
                <w:color w:val="000000"/>
                <w:sz w:val="24"/>
                <w:szCs w:val="24"/>
                <w:lang w:eastAsia="en-GB"/>
              </w:rPr>
            </w:pPr>
          </w:p>
        </w:tc>
        <w:tc>
          <w:tcPr>
            <w:tcW w:w="1723" w:type="dxa"/>
            <w:shd w:val="clear" w:color="auto" w:fill="auto"/>
            <w:noWrap/>
            <w:vAlign w:val="bottom"/>
          </w:tcPr>
          <w:p w14:paraId="7D5AA9B0" w14:textId="77777777" w:rsidR="00B108A7" w:rsidRPr="00DC19CC" w:rsidRDefault="00B108A7" w:rsidP="008853C6">
            <w:pPr>
              <w:jc w:val="center"/>
              <w:rPr>
                <w:rFonts w:eastAsia="Times New Roman" w:cs="Arial"/>
                <w:color w:val="000000"/>
                <w:sz w:val="24"/>
                <w:szCs w:val="24"/>
                <w:lang w:eastAsia="en-GB"/>
              </w:rPr>
            </w:pPr>
          </w:p>
        </w:tc>
        <w:tc>
          <w:tcPr>
            <w:tcW w:w="1701" w:type="dxa"/>
            <w:shd w:val="clear" w:color="auto" w:fill="auto"/>
            <w:noWrap/>
            <w:vAlign w:val="bottom"/>
          </w:tcPr>
          <w:p w14:paraId="3FA589A7" w14:textId="08C0282D" w:rsidR="00B108A7" w:rsidRPr="00DC19CC" w:rsidRDefault="00B108A7" w:rsidP="008853C6">
            <w:pPr>
              <w:jc w:val="center"/>
              <w:rPr>
                <w:rFonts w:eastAsia="Times New Roman"/>
                <w:sz w:val="24"/>
                <w:szCs w:val="24"/>
                <w:lang w:eastAsia="en-GB"/>
              </w:rPr>
            </w:pPr>
          </w:p>
        </w:tc>
      </w:tr>
      <w:tr w:rsidR="00B108A7" w:rsidRPr="00DC19CC" w14:paraId="285B6B56" w14:textId="77777777" w:rsidTr="003F1DB3">
        <w:trPr>
          <w:trHeight w:val="202"/>
        </w:trPr>
        <w:tc>
          <w:tcPr>
            <w:tcW w:w="4106" w:type="dxa"/>
            <w:shd w:val="clear" w:color="auto" w:fill="auto"/>
            <w:noWrap/>
            <w:vAlign w:val="bottom"/>
          </w:tcPr>
          <w:p w14:paraId="7F7C4429" w14:textId="3FB4798E" w:rsidR="00B108A7" w:rsidRPr="00DC19CC" w:rsidRDefault="00B108A7" w:rsidP="003351BE">
            <w:pPr>
              <w:rPr>
                <w:rFonts w:eastAsia="Times New Roman" w:cs="Arial"/>
                <w:color w:val="000000"/>
                <w:sz w:val="24"/>
                <w:szCs w:val="24"/>
                <w:lang w:eastAsia="en-GB"/>
              </w:rPr>
            </w:pPr>
            <w:r w:rsidRPr="00DC19CC">
              <w:rPr>
                <w:b/>
                <w:bCs/>
                <w:color w:val="000000"/>
                <w:sz w:val="24"/>
                <w:szCs w:val="24"/>
                <w:lang w:val="en-US"/>
              </w:rPr>
              <w:t>Total Assets</w:t>
            </w:r>
          </w:p>
        </w:tc>
        <w:tc>
          <w:tcPr>
            <w:tcW w:w="2127" w:type="dxa"/>
            <w:shd w:val="clear" w:color="auto" w:fill="auto"/>
            <w:noWrap/>
            <w:vAlign w:val="bottom"/>
          </w:tcPr>
          <w:p w14:paraId="590C5F7D" w14:textId="5B0A5216" w:rsidR="00B108A7" w:rsidRPr="00DC19CC" w:rsidRDefault="00B108A7" w:rsidP="003351BE">
            <w:pPr>
              <w:jc w:val="center"/>
              <w:rPr>
                <w:rFonts w:eastAsia="Times New Roman" w:cs="Arial"/>
                <w:color w:val="000000"/>
                <w:sz w:val="24"/>
                <w:szCs w:val="24"/>
                <w:lang w:eastAsia="en-GB"/>
              </w:rPr>
            </w:pPr>
            <w:r w:rsidRPr="00DC19CC">
              <w:rPr>
                <w:b/>
                <w:bCs/>
                <w:color w:val="000000"/>
                <w:sz w:val="24"/>
                <w:szCs w:val="24"/>
                <w:lang w:val="en-US"/>
              </w:rPr>
              <w:t xml:space="preserve">  108,656,258 </w:t>
            </w:r>
          </w:p>
        </w:tc>
        <w:tc>
          <w:tcPr>
            <w:tcW w:w="1723" w:type="dxa"/>
            <w:shd w:val="clear" w:color="auto" w:fill="auto"/>
            <w:noWrap/>
            <w:vAlign w:val="bottom"/>
          </w:tcPr>
          <w:p w14:paraId="15A0A8BE" w14:textId="5D11AA38" w:rsidR="00B108A7" w:rsidRPr="00DC19CC" w:rsidRDefault="00B108A7" w:rsidP="003351BE">
            <w:pPr>
              <w:jc w:val="center"/>
              <w:rPr>
                <w:rFonts w:eastAsia="Times New Roman" w:cs="Arial"/>
                <w:color w:val="000000"/>
                <w:sz w:val="24"/>
                <w:szCs w:val="24"/>
                <w:lang w:eastAsia="en-GB"/>
              </w:rPr>
            </w:pPr>
            <w:r w:rsidRPr="00DC19CC">
              <w:rPr>
                <w:rFonts w:eastAsia="Times New Roman" w:cs="Arial"/>
                <w:b/>
                <w:bCs/>
                <w:color w:val="000000"/>
                <w:sz w:val="24"/>
                <w:szCs w:val="24"/>
                <w:lang w:eastAsia="en-GB"/>
              </w:rPr>
              <w:t>118,586,100</w:t>
            </w:r>
          </w:p>
        </w:tc>
        <w:tc>
          <w:tcPr>
            <w:tcW w:w="1701" w:type="dxa"/>
            <w:shd w:val="clear" w:color="auto" w:fill="auto"/>
            <w:noWrap/>
            <w:vAlign w:val="bottom"/>
          </w:tcPr>
          <w:p w14:paraId="04364AC5" w14:textId="0A8F29F3" w:rsidR="00B108A7" w:rsidRPr="00DC19CC" w:rsidRDefault="00B108A7" w:rsidP="003351BE">
            <w:pPr>
              <w:jc w:val="center"/>
              <w:rPr>
                <w:rFonts w:eastAsia="Times New Roman" w:cs="Arial"/>
                <w:color w:val="000000"/>
                <w:sz w:val="24"/>
                <w:szCs w:val="24"/>
                <w:lang w:eastAsia="en-GB"/>
              </w:rPr>
            </w:pPr>
            <w:r w:rsidRPr="00DC19CC">
              <w:rPr>
                <w:rFonts w:eastAsia="Times New Roman" w:cs="Arial"/>
                <w:b/>
                <w:bCs/>
                <w:color w:val="000000"/>
                <w:sz w:val="24"/>
                <w:szCs w:val="24"/>
                <w:lang w:eastAsia="en-GB"/>
              </w:rPr>
              <w:t>114,098,341</w:t>
            </w:r>
          </w:p>
        </w:tc>
      </w:tr>
      <w:tr w:rsidR="00B108A7" w:rsidRPr="00DC19CC" w14:paraId="46398A70" w14:textId="77777777" w:rsidTr="003F1DB3">
        <w:trPr>
          <w:trHeight w:val="215"/>
        </w:trPr>
        <w:tc>
          <w:tcPr>
            <w:tcW w:w="4106" w:type="dxa"/>
            <w:shd w:val="clear" w:color="auto" w:fill="auto"/>
            <w:noWrap/>
            <w:vAlign w:val="bottom"/>
          </w:tcPr>
          <w:p w14:paraId="59CC47C2" w14:textId="3D334E6B" w:rsidR="00B108A7" w:rsidRPr="00DC19CC" w:rsidRDefault="00B108A7" w:rsidP="003351BE">
            <w:pPr>
              <w:rPr>
                <w:rFonts w:eastAsia="Times New Roman" w:cs="Arial"/>
                <w:b/>
                <w:bCs/>
                <w:color w:val="000000"/>
                <w:sz w:val="24"/>
                <w:szCs w:val="24"/>
                <w:lang w:eastAsia="en-GB"/>
              </w:rPr>
            </w:pPr>
          </w:p>
        </w:tc>
        <w:tc>
          <w:tcPr>
            <w:tcW w:w="2127" w:type="dxa"/>
            <w:shd w:val="clear" w:color="auto" w:fill="auto"/>
            <w:noWrap/>
            <w:vAlign w:val="bottom"/>
          </w:tcPr>
          <w:p w14:paraId="7EF93B46" w14:textId="77777777" w:rsidR="00B108A7" w:rsidRPr="00DC19CC" w:rsidRDefault="00B108A7" w:rsidP="003351BE">
            <w:pPr>
              <w:jc w:val="center"/>
              <w:rPr>
                <w:rFonts w:eastAsia="Times New Roman" w:cs="Arial"/>
                <w:color w:val="000000"/>
                <w:sz w:val="24"/>
                <w:szCs w:val="24"/>
                <w:lang w:eastAsia="en-GB"/>
              </w:rPr>
            </w:pPr>
          </w:p>
        </w:tc>
        <w:tc>
          <w:tcPr>
            <w:tcW w:w="1723" w:type="dxa"/>
            <w:shd w:val="clear" w:color="auto" w:fill="auto"/>
            <w:noWrap/>
            <w:vAlign w:val="bottom"/>
          </w:tcPr>
          <w:p w14:paraId="24B688FB" w14:textId="77777777" w:rsidR="00B108A7" w:rsidRPr="00DC19CC" w:rsidRDefault="00B108A7" w:rsidP="003351BE">
            <w:pPr>
              <w:jc w:val="center"/>
              <w:rPr>
                <w:rFonts w:eastAsia="Times New Roman" w:cs="Arial"/>
                <w:color w:val="000000"/>
                <w:sz w:val="24"/>
                <w:szCs w:val="24"/>
                <w:lang w:eastAsia="en-GB"/>
              </w:rPr>
            </w:pPr>
          </w:p>
        </w:tc>
        <w:tc>
          <w:tcPr>
            <w:tcW w:w="1701" w:type="dxa"/>
            <w:shd w:val="clear" w:color="auto" w:fill="auto"/>
            <w:noWrap/>
            <w:vAlign w:val="bottom"/>
          </w:tcPr>
          <w:p w14:paraId="03450EB7" w14:textId="6311CEB1" w:rsidR="00B108A7" w:rsidRPr="00DC19CC" w:rsidRDefault="00B108A7" w:rsidP="003351BE">
            <w:pPr>
              <w:jc w:val="center"/>
              <w:rPr>
                <w:rFonts w:eastAsia="Times New Roman" w:cs="Arial"/>
                <w:color w:val="000000"/>
                <w:sz w:val="24"/>
                <w:szCs w:val="24"/>
                <w:lang w:eastAsia="en-GB"/>
              </w:rPr>
            </w:pPr>
          </w:p>
        </w:tc>
      </w:tr>
      <w:tr w:rsidR="00B108A7" w:rsidRPr="00DC19CC" w14:paraId="6B260C36" w14:textId="77777777" w:rsidTr="003F1DB3">
        <w:trPr>
          <w:trHeight w:val="202"/>
        </w:trPr>
        <w:tc>
          <w:tcPr>
            <w:tcW w:w="4106" w:type="dxa"/>
            <w:shd w:val="clear" w:color="auto" w:fill="auto"/>
            <w:noWrap/>
            <w:vAlign w:val="bottom"/>
          </w:tcPr>
          <w:p w14:paraId="6C4BA568" w14:textId="09A803B2" w:rsidR="00B108A7" w:rsidRPr="00DC19CC" w:rsidRDefault="00B108A7" w:rsidP="003351BE">
            <w:pPr>
              <w:rPr>
                <w:rFonts w:eastAsia="Times New Roman" w:cs="Arial"/>
                <w:color w:val="000000"/>
                <w:sz w:val="24"/>
                <w:szCs w:val="24"/>
                <w:lang w:eastAsia="en-GB"/>
              </w:rPr>
            </w:pPr>
            <w:r w:rsidRPr="00DC19CC">
              <w:rPr>
                <w:b/>
                <w:bCs/>
                <w:color w:val="000000"/>
                <w:sz w:val="24"/>
                <w:szCs w:val="24"/>
                <w:lang w:val="en-US"/>
              </w:rPr>
              <w:t>Funding and Liabilities:</w:t>
            </w:r>
          </w:p>
        </w:tc>
        <w:tc>
          <w:tcPr>
            <w:tcW w:w="2127" w:type="dxa"/>
            <w:shd w:val="clear" w:color="auto" w:fill="auto"/>
            <w:noWrap/>
            <w:vAlign w:val="bottom"/>
          </w:tcPr>
          <w:p w14:paraId="2E272470" w14:textId="77777777" w:rsidR="00B108A7" w:rsidRPr="00DC19CC" w:rsidRDefault="00B108A7" w:rsidP="003351BE">
            <w:pPr>
              <w:jc w:val="center"/>
              <w:rPr>
                <w:rFonts w:eastAsia="Times New Roman"/>
                <w:sz w:val="24"/>
                <w:szCs w:val="24"/>
                <w:lang w:eastAsia="en-GB"/>
              </w:rPr>
            </w:pPr>
          </w:p>
        </w:tc>
        <w:tc>
          <w:tcPr>
            <w:tcW w:w="1723" w:type="dxa"/>
            <w:shd w:val="clear" w:color="auto" w:fill="auto"/>
            <w:noWrap/>
            <w:vAlign w:val="bottom"/>
          </w:tcPr>
          <w:p w14:paraId="57D31B23" w14:textId="77777777" w:rsidR="00B108A7" w:rsidRPr="00DC19CC" w:rsidRDefault="00B108A7" w:rsidP="003351BE">
            <w:pPr>
              <w:jc w:val="center"/>
              <w:rPr>
                <w:rFonts w:eastAsia="Times New Roman"/>
                <w:sz w:val="24"/>
                <w:szCs w:val="24"/>
                <w:lang w:eastAsia="en-GB"/>
              </w:rPr>
            </w:pPr>
          </w:p>
        </w:tc>
        <w:tc>
          <w:tcPr>
            <w:tcW w:w="1701" w:type="dxa"/>
            <w:shd w:val="clear" w:color="auto" w:fill="auto"/>
            <w:noWrap/>
            <w:vAlign w:val="bottom"/>
          </w:tcPr>
          <w:p w14:paraId="18947A7D" w14:textId="77777777" w:rsidR="00B108A7" w:rsidRPr="00DC19CC" w:rsidRDefault="00B108A7" w:rsidP="003351BE">
            <w:pPr>
              <w:jc w:val="center"/>
              <w:rPr>
                <w:rFonts w:eastAsia="Times New Roman"/>
                <w:sz w:val="24"/>
                <w:szCs w:val="24"/>
                <w:lang w:eastAsia="en-GB"/>
              </w:rPr>
            </w:pPr>
          </w:p>
        </w:tc>
      </w:tr>
      <w:tr w:rsidR="00B108A7" w:rsidRPr="00DC19CC" w14:paraId="2B84F8DD" w14:textId="77777777" w:rsidTr="003F1DB3">
        <w:trPr>
          <w:trHeight w:val="215"/>
        </w:trPr>
        <w:tc>
          <w:tcPr>
            <w:tcW w:w="4106" w:type="dxa"/>
            <w:shd w:val="clear" w:color="auto" w:fill="auto"/>
            <w:noWrap/>
            <w:vAlign w:val="bottom"/>
          </w:tcPr>
          <w:p w14:paraId="123FE2DF" w14:textId="0DA2859B" w:rsidR="00B108A7" w:rsidRPr="00DC19CC" w:rsidRDefault="00B108A7" w:rsidP="003351BE">
            <w:pPr>
              <w:rPr>
                <w:rFonts w:eastAsia="Times New Roman" w:cs="Arial"/>
                <w:b/>
                <w:bCs/>
                <w:color w:val="000000"/>
                <w:sz w:val="24"/>
                <w:szCs w:val="24"/>
                <w:lang w:eastAsia="en-GB"/>
              </w:rPr>
            </w:pPr>
            <w:r w:rsidRPr="00DC19CC">
              <w:rPr>
                <w:color w:val="000000"/>
                <w:sz w:val="24"/>
                <w:szCs w:val="24"/>
                <w:lang w:val="en-US"/>
              </w:rPr>
              <w:t>Accumulated Fund</w:t>
            </w:r>
          </w:p>
        </w:tc>
        <w:tc>
          <w:tcPr>
            <w:tcW w:w="2127" w:type="dxa"/>
            <w:shd w:val="clear" w:color="auto" w:fill="auto"/>
            <w:noWrap/>
            <w:vAlign w:val="bottom"/>
          </w:tcPr>
          <w:p w14:paraId="6F3D063E" w14:textId="35FC07CF" w:rsidR="00B108A7" w:rsidRPr="00DC19CC" w:rsidRDefault="00B108A7" w:rsidP="003351BE">
            <w:pPr>
              <w:jc w:val="center"/>
              <w:rPr>
                <w:rFonts w:eastAsia="Times New Roman" w:cs="Arial"/>
                <w:b/>
                <w:bCs/>
                <w:color w:val="000000"/>
                <w:sz w:val="24"/>
                <w:szCs w:val="24"/>
                <w:lang w:eastAsia="en-GB"/>
              </w:rPr>
            </w:pPr>
            <w:r w:rsidRPr="00DC19CC">
              <w:rPr>
                <w:color w:val="000000"/>
                <w:sz w:val="24"/>
                <w:szCs w:val="24"/>
                <w:lang w:val="en-US"/>
              </w:rPr>
              <w:t xml:space="preserve">   (22,152,826) </w:t>
            </w:r>
          </w:p>
        </w:tc>
        <w:tc>
          <w:tcPr>
            <w:tcW w:w="1723" w:type="dxa"/>
            <w:shd w:val="clear" w:color="auto" w:fill="auto"/>
            <w:noWrap/>
            <w:vAlign w:val="bottom"/>
          </w:tcPr>
          <w:p w14:paraId="1F532C38" w14:textId="3F7BBF18" w:rsidR="00B108A7" w:rsidRPr="00DC19CC" w:rsidRDefault="00B108A7" w:rsidP="003351BE">
            <w:pPr>
              <w:jc w:val="center"/>
              <w:rPr>
                <w:rFonts w:eastAsia="Times New Roman" w:cs="Arial"/>
                <w:b/>
                <w:bCs/>
                <w:color w:val="000000"/>
                <w:sz w:val="24"/>
                <w:szCs w:val="24"/>
                <w:lang w:eastAsia="en-GB"/>
              </w:rPr>
            </w:pPr>
            <w:r w:rsidRPr="00DC19CC">
              <w:rPr>
                <w:rFonts w:eastAsia="Times New Roman" w:cs="Arial"/>
                <w:color w:val="000000"/>
                <w:sz w:val="24"/>
                <w:szCs w:val="24"/>
                <w:lang w:eastAsia="en-GB"/>
              </w:rPr>
              <w:t>(967,114)</w:t>
            </w:r>
          </w:p>
        </w:tc>
        <w:tc>
          <w:tcPr>
            <w:tcW w:w="1701" w:type="dxa"/>
            <w:shd w:val="clear" w:color="auto" w:fill="auto"/>
            <w:noWrap/>
            <w:vAlign w:val="bottom"/>
          </w:tcPr>
          <w:p w14:paraId="69ACB291" w14:textId="64D4DB25" w:rsidR="00B108A7" w:rsidRPr="00DC19CC" w:rsidRDefault="00B108A7" w:rsidP="003351BE">
            <w:pPr>
              <w:jc w:val="center"/>
              <w:rPr>
                <w:rFonts w:eastAsia="Times New Roman" w:cs="Arial"/>
                <w:b/>
                <w:bCs/>
                <w:color w:val="000000"/>
                <w:sz w:val="24"/>
                <w:szCs w:val="24"/>
                <w:lang w:eastAsia="en-GB"/>
              </w:rPr>
            </w:pPr>
            <w:r w:rsidRPr="00DC19CC">
              <w:rPr>
                <w:rFonts w:eastAsia="Times New Roman" w:cs="Arial"/>
                <w:color w:val="000000"/>
                <w:sz w:val="24"/>
                <w:szCs w:val="24"/>
                <w:lang w:eastAsia="en-GB"/>
              </w:rPr>
              <w:t>(2,481,243)</w:t>
            </w:r>
          </w:p>
        </w:tc>
      </w:tr>
      <w:tr w:rsidR="00B108A7" w:rsidRPr="00DC19CC" w14:paraId="2B9F4A7E" w14:textId="77777777" w:rsidTr="003F1DB3">
        <w:trPr>
          <w:trHeight w:val="215"/>
        </w:trPr>
        <w:tc>
          <w:tcPr>
            <w:tcW w:w="4106" w:type="dxa"/>
            <w:shd w:val="clear" w:color="auto" w:fill="auto"/>
            <w:noWrap/>
            <w:vAlign w:val="bottom"/>
          </w:tcPr>
          <w:p w14:paraId="62F14E5A" w14:textId="77777777" w:rsidR="00B108A7" w:rsidRPr="00DC19CC" w:rsidRDefault="00B108A7" w:rsidP="003351BE">
            <w:pPr>
              <w:rPr>
                <w:rFonts w:eastAsia="Times New Roman" w:cs="Arial"/>
                <w:b/>
                <w:bCs/>
                <w:color w:val="000000"/>
                <w:sz w:val="24"/>
                <w:szCs w:val="24"/>
                <w:lang w:eastAsia="en-GB"/>
              </w:rPr>
            </w:pPr>
          </w:p>
        </w:tc>
        <w:tc>
          <w:tcPr>
            <w:tcW w:w="2127" w:type="dxa"/>
            <w:shd w:val="clear" w:color="auto" w:fill="auto"/>
            <w:noWrap/>
            <w:vAlign w:val="bottom"/>
          </w:tcPr>
          <w:p w14:paraId="64DBF16E" w14:textId="0C8EB17F" w:rsidR="00B108A7" w:rsidRPr="00DC19CC" w:rsidRDefault="00B108A7" w:rsidP="003351BE">
            <w:pPr>
              <w:jc w:val="center"/>
              <w:rPr>
                <w:rFonts w:eastAsia="Times New Roman"/>
                <w:sz w:val="24"/>
                <w:szCs w:val="24"/>
                <w:lang w:eastAsia="en-GB"/>
              </w:rPr>
            </w:pPr>
          </w:p>
        </w:tc>
        <w:tc>
          <w:tcPr>
            <w:tcW w:w="1723" w:type="dxa"/>
            <w:shd w:val="clear" w:color="auto" w:fill="auto"/>
            <w:noWrap/>
            <w:vAlign w:val="bottom"/>
          </w:tcPr>
          <w:p w14:paraId="33D75890" w14:textId="72F8B90E" w:rsidR="00B108A7" w:rsidRPr="00DC19CC" w:rsidRDefault="00B108A7" w:rsidP="003351BE">
            <w:pPr>
              <w:jc w:val="center"/>
              <w:rPr>
                <w:rFonts w:eastAsia="Times New Roman"/>
                <w:sz w:val="24"/>
                <w:szCs w:val="24"/>
                <w:lang w:eastAsia="en-GB"/>
              </w:rPr>
            </w:pPr>
          </w:p>
        </w:tc>
        <w:tc>
          <w:tcPr>
            <w:tcW w:w="1701" w:type="dxa"/>
            <w:shd w:val="clear" w:color="auto" w:fill="auto"/>
            <w:noWrap/>
            <w:vAlign w:val="bottom"/>
          </w:tcPr>
          <w:p w14:paraId="69BB65EF" w14:textId="77777777" w:rsidR="00B108A7" w:rsidRPr="00DC19CC" w:rsidRDefault="00B108A7" w:rsidP="003351BE">
            <w:pPr>
              <w:jc w:val="center"/>
              <w:rPr>
                <w:rFonts w:eastAsia="Times New Roman"/>
                <w:sz w:val="24"/>
                <w:szCs w:val="24"/>
                <w:lang w:eastAsia="en-GB"/>
              </w:rPr>
            </w:pPr>
          </w:p>
        </w:tc>
      </w:tr>
      <w:tr w:rsidR="00B108A7" w:rsidRPr="00DC19CC" w14:paraId="37E05646" w14:textId="77777777" w:rsidTr="003F1DB3">
        <w:trPr>
          <w:trHeight w:val="202"/>
        </w:trPr>
        <w:tc>
          <w:tcPr>
            <w:tcW w:w="4106" w:type="dxa"/>
            <w:shd w:val="clear" w:color="auto" w:fill="auto"/>
            <w:noWrap/>
            <w:vAlign w:val="bottom"/>
          </w:tcPr>
          <w:p w14:paraId="71C58C42" w14:textId="2EEC38CB" w:rsidR="00B108A7" w:rsidRPr="00DC19CC" w:rsidRDefault="00B108A7" w:rsidP="003351BE">
            <w:pPr>
              <w:rPr>
                <w:rFonts w:eastAsia="Times New Roman" w:cs="Arial"/>
                <w:b/>
                <w:bCs/>
                <w:color w:val="000000"/>
                <w:sz w:val="24"/>
                <w:szCs w:val="24"/>
                <w:lang w:eastAsia="en-GB"/>
              </w:rPr>
            </w:pPr>
            <w:r w:rsidRPr="00DC19CC">
              <w:rPr>
                <w:b/>
                <w:bCs/>
                <w:color w:val="000000"/>
                <w:sz w:val="24"/>
                <w:szCs w:val="24"/>
                <w:lang w:val="en-US"/>
              </w:rPr>
              <w:t>Non- Current Liabilities:</w:t>
            </w:r>
          </w:p>
        </w:tc>
        <w:tc>
          <w:tcPr>
            <w:tcW w:w="2127" w:type="dxa"/>
            <w:shd w:val="clear" w:color="auto" w:fill="auto"/>
            <w:noWrap/>
            <w:vAlign w:val="bottom"/>
          </w:tcPr>
          <w:p w14:paraId="769FAE74" w14:textId="77777777" w:rsidR="00B108A7" w:rsidRPr="00DC19CC" w:rsidRDefault="00B108A7" w:rsidP="003351BE">
            <w:pPr>
              <w:jc w:val="center"/>
              <w:rPr>
                <w:rFonts w:eastAsia="Times New Roman"/>
                <w:sz w:val="24"/>
                <w:szCs w:val="24"/>
                <w:lang w:eastAsia="en-GB"/>
              </w:rPr>
            </w:pPr>
          </w:p>
        </w:tc>
        <w:tc>
          <w:tcPr>
            <w:tcW w:w="1723" w:type="dxa"/>
            <w:shd w:val="clear" w:color="auto" w:fill="auto"/>
            <w:noWrap/>
            <w:vAlign w:val="bottom"/>
          </w:tcPr>
          <w:p w14:paraId="51CFCAEB" w14:textId="77777777" w:rsidR="00B108A7" w:rsidRPr="00DC19CC" w:rsidRDefault="00B108A7" w:rsidP="003351BE">
            <w:pPr>
              <w:jc w:val="center"/>
              <w:rPr>
                <w:rFonts w:eastAsia="Times New Roman"/>
                <w:sz w:val="24"/>
                <w:szCs w:val="24"/>
                <w:lang w:eastAsia="en-GB"/>
              </w:rPr>
            </w:pPr>
          </w:p>
        </w:tc>
        <w:tc>
          <w:tcPr>
            <w:tcW w:w="1701" w:type="dxa"/>
            <w:shd w:val="clear" w:color="auto" w:fill="auto"/>
            <w:noWrap/>
            <w:vAlign w:val="bottom"/>
          </w:tcPr>
          <w:p w14:paraId="7855D06A" w14:textId="77777777" w:rsidR="00B108A7" w:rsidRPr="00DC19CC" w:rsidRDefault="00B108A7" w:rsidP="003351BE">
            <w:pPr>
              <w:jc w:val="center"/>
              <w:rPr>
                <w:rFonts w:eastAsia="Times New Roman"/>
                <w:sz w:val="24"/>
                <w:szCs w:val="24"/>
                <w:lang w:eastAsia="en-GB"/>
              </w:rPr>
            </w:pPr>
          </w:p>
        </w:tc>
      </w:tr>
      <w:tr w:rsidR="00B108A7" w:rsidRPr="00DC19CC" w14:paraId="76B10DAF" w14:textId="77777777" w:rsidTr="003F1DB3">
        <w:trPr>
          <w:trHeight w:val="215"/>
        </w:trPr>
        <w:tc>
          <w:tcPr>
            <w:tcW w:w="4106" w:type="dxa"/>
            <w:shd w:val="clear" w:color="auto" w:fill="auto"/>
            <w:noWrap/>
            <w:vAlign w:val="bottom"/>
          </w:tcPr>
          <w:p w14:paraId="44AF5B74" w14:textId="374B810A" w:rsidR="00B108A7" w:rsidRPr="00DC19CC" w:rsidRDefault="00B108A7" w:rsidP="003351BE">
            <w:pPr>
              <w:rPr>
                <w:rFonts w:eastAsia="Times New Roman" w:cs="Arial"/>
                <w:color w:val="000000"/>
                <w:sz w:val="24"/>
                <w:szCs w:val="24"/>
                <w:lang w:eastAsia="en-GB"/>
              </w:rPr>
            </w:pPr>
            <w:r w:rsidRPr="00DC19CC">
              <w:rPr>
                <w:color w:val="000000"/>
                <w:sz w:val="24"/>
                <w:szCs w:val="24"/>
                <w:lang w:val="en-US"/>
              </w:rPr>
              <w:t>Capital Fund</w:t>
            </w:r>
          </w:p>
        </w:tc>
        <w:tc>
          <w:tcPr>
            <w:tcW w:w="2127" w:type="dxa"/>
            <w:shd w:val="clear" w:color="auto" w:fill="auto"/>
            <w:noWrap/>
            <w:vAlign w:val="bottom"/>
          </w:tcPr>
          <w:p w14:paraId="39380317" w14:textId="29A37920" w:rsidR="00B108A7" w:rsidRPr="00DC19CC" w:rsidRDefault="00B108A7" w:rsidP="003351BE">
            <w:pPr>
              <w:jc w:val="center"/>
              <w:rPr>
                <w:rFonts w:eastAsia="Times New Roman" w:cs="Arial"/>
                <w:color w:val="000000"/>
                <w:sz w:val="24"/>
                <w:szCs w:val="24"/>
                <w:lang w:eastAsia="en-GB"/>
              </w:rPr>
            </w:pPr>
            <w:r w:rsidRPr="00DC19CC">
              <w:rPr>
                <w:color w:val="000000"/>
                <w:sz w:val="24"/>
                <w:szCs w:val="24"/>
                <w:lang w:val="en-US"/>
              </w:rPr>
              <w:t xml:space="preserve">       1,212,709 </w:t>
            </w:r>
          </w:p>
        </w:tc>
        <w:tc>
          <w:tcPr>
            <w:tcW w:w="1723" w:type="dxa"/>
            <w:shd w:val="clear" w:color="auto" w:fill="auto"/>
            <w:noWrap/>
            <w:vAlign w:val="bottom"/>
          </w:tcPr>
          <w:p w14:paraId="603F9DE9" w14:textId="507698E0" w:rsidR="00B108A7" w:rsidRPr="00DC19CC" w:rsidRDefault="00B108A7" w:rsidP="003351BE">
            <w:pPr>
              <w:jc w:val="center"/>
              <w:rPr>
                <w:rFonts w:eastAsia="Times New Roman" w:cs="Arial"/>
                <w:color w:val="000000"/>
                <w:sz w:val="24"/>
                <w:szCs w:val="24"/>
                <w:lang w:eastAsia="en-GB"/>
              </w:rPr>
            </w:pPr>
            <w:r w:rsidRPr="00DC19CC">
              <w:rPr>
                <w:color w:val="000000"/>
                <w:sz w:val="24"/>
                <w:szCs w:val="24"/>
                <w:lang w:val="en-US"/>
              </w:rPr>
              <w:t>1,212,709</w:t>
            </w:r>
          </w:p>
        </w:tc>
        <w:tc>
          <w:tcPr>
            <w:tcW w:w="1701" w:type="dxa"/>
            <w:shd w:val="clear" w:color="auto" w:fill="auto"/>
            <w:noWrap/>
            <w:vAlign w:val="bottom"/>
          </w:tcPr>
          <w:p w14:paraId="41BCD991" w14:textId="70D39739" w:rsidR="00B108A7" w:rsidRPr="00DC19CC" w:rsidRDefault="00B108A7" w:rsidP="003351BE">
            <w:pPr>
              <w:jc w:val="center"/>
              <w:rPr>
                <w:rFonts w:eastAsia="Times New Roman" w:cs="Arial"/>
                <w:color w:val="000000"/>
                <w:sz w:val="24"/>
                <w:szCs w:val="24"/>
                <w:lang w:eastAsia="en-GB"/>
              </w:rPr>
            </w:pPr>
            <w:r w:rsidRPr="00DC19CC">
              <w:rPr>
                <w:color w:val="000000"/>
                <w:sz w:val="24"/>
                <w:szCs w:val="24"/>
                <w:lang w:val="en-US"/>
              </w:rPr>
              <w:t>1,212,709</w:t>
            </w:r>
          </w:p>
        </w:tc>
      </w:tr>
      <w:tr w:rsidR="00B108A7" w:rsidRPr="00DC19CC" w14:paraId="2F453ADB" w14:textId="77777777" w:rsidTr="003F1DB3">
        <w:trPr>
          <w:trHeight w:val="202"/>
        </w:trPr>
        <w:tc>
          <w:tcPr>
            <w:tcW w:w="4106" w:type="dxa"/>
            <w:shd w:val="clear" w:color="auto" w:fill="auto"/>
            <w:noWrap/>
            <w:vAlign w:val="bottom"/>
          </w:tcPr>
          <w:p w14:paraId="0ADB8AD7" w14:textId="66A2266F" w:rsidR="00B108A7" w:rsidRPr="00DC19CC" w:rsidRDefault="00B108A7" w:rsidP="003351BE">
            <w:pPr>
              <w:rPr>
                <w:rFonts w:eastAsia="Times New Roman" w:cs="Arial"/>
                <w:color w:val="000000"/>
                <w:sz w:val="24"/>
                <w:szCs w:val="24"/>
                <w:lang w:eastAsia="en-GB"/>
              </w:rPr>
            </w:pPr>
            <w:r w:rsidRPr="00DC19CC">
              <w:rPr>
                <w:color w:val="000000"/>
                <w:sz w:val="24"/>
                <w:szCs w:val="24"/>
                <w:lang w:val="en-US"/>
              </w:rPr>
              <w:t>Provision for terminal Benefit</w:t>
            </w:r>
          </w:p>
        </w:tc>
        <w:tc>
          <w:tcPr>
            <w:tcW w:w="2127" w:type="dxa"/>
            <w:shd w:val="clear" w:color="auto" w:fill="auto"/>
            <w:noWrap/>
            <w:vAlign w:val="bottom"/>
          </w:tcPr>
          <w:p w14:paraId="39C55A34" w14:textId="7F6A93A4" w:rsidR="00B108A7" w:rsidRPr="00DC19CC" w:rsidRDefault="00B108A7" w:rsidP="003351BE">
            <w:pPr>
              <w:jc w:val="center"/>
              <w:rPr>
                <w:rFonts w:eastAsia="Times New Roman"/>
                <w:sz w:val="24"/>
                <w:szCs w:val="24"/>
                <w:lang w:eastAsia="en-GB"/>
              </w:rPr>
            </w:pPr>
            <w:r w:rsidRPr="00DC19CC">
              <w:rPr>
                <w:color w:val="000000"/>
                <w:sz w:val="24"/>
                <w:szCs w:val="24"/>
                <w:lang w:val="en-US"/>
              </w:rPr>
              <w:t xml:space="preserve">     60,502,561 </w:t>
            </w:r>
          </w:p>
        </w:tc>
        <w:tc>
          <w:tcPr>
            <w:tcW w:w="1723" w:type="dxa"/>
            <w:shd w:val="clear" w:color="auto" w:fill="auto"/>
            <w:noWrap/>
            <w:vAlign w:val="bottom"/>
          </w:tcPr>
          <w:p w14:paraId="350790E5" w14:textId="30A3D2C9" w:rsidR="00B108A7" w:rsidRPr="00DC19CC" w:rsidRDefault="00B108A7" w:rsidP="003351BE">
            <w:pPr>
              <w:jc w:val="center"/>
              <w:rPr>
                <w:rFonts w:eastAsia="Times New Roman"/>
                <w:sz w:val="24"/>
                <w:szCs w:val="24"/>
                <w:lang w:eastAsia="en-GB"/>
              </w:rPr>
            </w:pPr>
          </w:p>
        </w:tc>
        <w:tc>
          <w:tcPr>
            <w:tcW w:w="1701" w:type="dxa"/>
            <w:shd w:val="clear" w:color="auto" w:fill="auto"/>
            <w:noWrap/>
            <w:vAlign w:val="bottom"/>
          </w:tcPr>
          <w:p w14:paraId="21D5EA79" w14:textId="77777777" w:rsidR="00B108A7" w:rsidRPr="00DC19CC" w:rsidRDefault="00B108A7" w:rsidP="003351BE">
            <w:pPr>
              <w:jc w:val="center"/>
              <w:rPr>
                <w:rFonts w:eastAsia="Times New Roman"/>
                <w:sz w:val="24"/>
                <w:szCs w:val="24"/>
                <w:lang w:eastAsia="en-GB"/>
              </w:rPr>
            </w:pPr>
          </w:p>
        </w:tc>
      </w:tr>
      <w:tr w:rsidR="00B108A7" w:rsidRPr="00DC19CC" w14:paraId="7679575F" w14:textId="77777777" w:rsidTr="003F1DB3">
        <w:trPr>
          <w:trHeight w:val="202"/>
        </w:trPr>
        <w:tc>
          <w:tcPr>
            <w:tcW w:w="4106" w:type="dxa"/>
            <w:shd w:val="clear" w:color="auto" w:fill="auto"/>
            <w:noWrap/>
            <w:vAlign w:val="bottom"/>
          </w:tcPr>
          <w:p w14:paraId="1DAB4EBD" w14:textId="4C0C05AC" w:rsidR="00B108A7" w:rsidRPr="00DC19CC" w:rsidRDefault="00B108A7" w:rsidP="000F67D5">
            <w:pPr>
              <w:rPr>
                <w:rFonts w:eastAsia="Times New Roman" w:cs="Arial"/>
                <w:b/>
                <w:bCs/>
                <w:color w:val="000000"/>
                <w:sz w:val="24"/>
                <w:szCs w:val="24"/>
                <w:lang w:eastAsia="en-GB"/>
              </w:rPr>
            </w:pPr>
            <w:r w:rsidRPr="00DC19CC">
              <w:rPr>
                <w:rFonts w:eastAsia="Times New Roman" w:cs="Arial"/>
                <w:b/>
                <w:bCs/>
                <w:color w:val="000000"/>
                <w:sz w:val="24"/>
                <w:szCs w:val="24"/>
                <w:lang w:eastAsia="en-GB"/>
              </w:rPr>
              <w:t xml:space="preserve">Total Non-Current Liabilities </w:t>
            </w:r>
          </w:p>
        </w:tc>
        <w:tc>
          <w:tcPr>
            <w:tcW w:w="2127" w:type="dxa"/>
            <w:shd w:val="clear" w:color="auto" w:fill="auto"/>
            <w:noWrap/>
            <w:vAlign w:val="bottom"/>
          </w:tcPr>
          <w:p w14:paraId="0A65C92D" w14:textId="36AF04AC" w:rsidR="00B108A7" w:rsidRPr="00DC19CC" w:rsidRDefault="00B108A7" w:rsidP="000F67D5">
            <w:pPr>
              <w:jc w:val="center"/>
              <w:rPr>
                <w:rFonts w:eastAsia="Times New Roman"/>
                <w:sz w:val="24"/>
                <w:szCs w:val="24"/>
                <w:lang w:eastAsia="en-GB"/>
              </w:rPr>
            </w:pPr>
            <w:r w:rsidRPr="00DC19CC">
              <w:rPr>
                <w:b/>
                <w:bCs/>
                <w:color w:val="000000"/>
                <w:sz w:val="24"/>
                <w:szCs w:val="24"/>
                <w:lang w:val="en-US"/>
              </w:rPr>
              <w:t xml:space="preserve">    61,715,270 </w:t>
            </w:r>
          </w:p>
        </w:tc>
        <w:tc>
          <w:tcPr>
            <w:tcW w:w="1723" w:type="dxa"/>
            <w:shd w:val="clear" w:color="auto" w:fill="auto"/>
            <w:noWrap/>
            <w:vAlign w:val="bottom"/>
          </w:tcPr>
          <w:p w14:paraId="1CE77095" w14:textId="03DBE60C" w:rsidR="00B108A7" w:rsidRPr="00DC19CC" w:rsidRDefault="00B108A7" w:rsidP="000F67D5">
            <w:pPr>
              <w:jc w:val="center"/>
              <w:rPr>
                <w:rFonts w:eastAsia="Times New Roman"/>
                <w:sz w:val="24"/>
                <w:szCs w:val="24"/>
                <w:lang w:eastAsia="en-GB"/>
              </w:rPr>
            </w:pPr>
            <w:r w:rsidRPr="00DC19CC">
              <w:rPr>
                <w:rFonts w:eastAsia="Times New Roman" w:cs="Arial"/>
                <w:b/>
                <w:bCs/>
                <w:color w:val="000000"/>
                <w:sz w:val="24"/>
                <w:szCs w:val="24"/>
                <w:lang w:eastAsia="en-GB"/>
              </w:rPr>
              <w:t>58,294,761</w:t>
            </w:r>
          </w:p>
        </w:tc>
        <w:tc>
          <w:tcPr>
            <w:tcW w:w="1701" w:type="dxa"/>
            <w:shd w:val="clear" w:color="auto" w:fill="auto"/>
            <w:noWrap/>
            <w:vAlign w:val="bottom"/>
          </w:tcPr>
          <w:p w14:paraId="4AEC745B" w14:textId="1C562CA4" w:rsidR="00B108A7" w:rsidRPr="00DC19CC" w:rsidRDefault="00B108A7" w:rsidP="000F67D5">
            <w:pPr>
              <w:jc w:val="center"/>
              <w:rPr>
                <w:rFonts w:eastAsia="Times New Roman"/>
                <w:sz w:val="24"/>
                <w:szCs w:val="24"/>
                <w:lang w:eastAsia="en-GB"/>
              </w:rPr>
            </w:pPr>
            <w:r w:rsidRPr="00DC19CC">
              <w:rPr>
                <w:rFonts w:eastAsia="Times New Roman" w:cs="Arial"/>
                <w:b/>
                <w:bCs/>
                <w:color w:val="000000"/>
                <w:sz w:val="24"/>
                <w:szCs w:val="24"/>
                <w:lang w:eastAsia="en-GB"/>
              </w:rPr>
              <w:t>54,477,007</w:t>
            </w:r>
          </w:p>
        </w:tc>
      </w:tr>
      <w:tr w:rsidR="00B108A7" w:rsidRPr="00DC19CC" w14:paraId="571BA504" w14:textId="77777777" w:rsidTr="003F1DB3">
        <w:trPr>
          <w:trHeight w:val="202"/>
        </w:trPr>
        <w:tc>
          <w:tcPr>
            <w:tcW w:w="4106" w:type="dxa"/>
            <w:shd w:val="clear" w:color="auto" w:fill="auto"/>
            <w:noWrap/>
            <w:vAlign w:val="bottom"/>
          </w:tcPr>
          <w:p w14:paraId="2A936188" w14:textId="77777777" w:rsidR="00B108A7" w:rsidRPr="00DC19CC" w:rsidRDefault="00B108A7" w:rsidP="000F67D5">
            <w:pPr>
              <w:rPr>
                <w:rFonts w:eastAsia="Times New Roman" w:cs="Arial"/>
                <w:b/>
                <w:bCs/>
                <w:color w:val="000000"/>
                <w:sz w:val="24"/>
                <w:szCs w:val="24"/>
                <w:lang w:eastAsia="en-GB"/>
              </w:rPr>
            </w:pPr>
          </w:p>
        </w:tc>
        <w:tc>
          <w:tcPr>
            <w:tcW w:w="2127" w:type="dxa"/>
            <w:shd w:val="clear" w:color="auto" w:fill="auto"/>
            <w:noWrap/>
            <w:vAlign w:val="bottom"/>
          </w:tcPr>
          <w:p w14:paraId="7F13E801" w14:textId="77777777" w:rsidR="00B108A7" w:rsidRPr="00DC19CC" w:rsidRDefault="00B108A7" w:rsidP="000F67D5">
            <w:pPr>
              <w:jc w:val="center"/>
              <w:rPr>
                <w:b/>
                <w:bCs/>
                <w:color w:val="000000"/>
                <w:sz w:val="24"/>
                <w:szCs w:val="24"/>
                <w:lang w:val="en-US"/>
              </w:rPr>
            </w:pPr>
          </w:p>
        </w:tc>
        <w:tc>
          <w:tcPr>
            <w:tcW w:w="1723" w:type="dxa"/>
            <w:shd w:val="clear" w:color="auto" w:fill="auto"/>
            <w:noWrap/>
            <w:vAlign w:val="bottom"/>
          </w:tcPr>
          <w:p w14:paraId="7467F78E" w14:textId="77777777" w:rsidR="00B108A7" w:rsidRPr="00DC19CC" w:rsidRDefault="00B108A7" w:rsidP="000F67D5">
            <w:pPr>
              <w:jc w:val="center"/>
              <w:rPr>
                <w:rFonts w:eastAsia="Times New Roman"/>
                <w:sz w:val="24"/>
                <w:szCs w:val="24"/>
                <w:lang w:eastAsia="en-GB"/>
              </w:rPr>
            </w:pPr>
          </w:p>
        </w:tc>
        <w:tc>
          <w:tcPr>
            <w:tcW w:w="1701" w:type="dxa"/>
            <w:shd w:val="clear" w:color="auto" w:fill="auto"/>
            <w:noWrap/>
            <w:vAlign w:val="bottom"/>
          </w:tcPr>
          <w:p w14:paraId="7DFC6780" w14:textId="77777777" w:rsidR="00B108A7" w:rsidRPr="00DC19CC" w:rsidRDefault="00B108A7" w:rsidP="000F67D5">
            <w:pPr>
              <w:jc w:val="center"/>
              <w:rPr>
                <w:rFonts w:eastAsia="Times New Roman"/>
                <w:sz w:val="24"/>
                <w:szCs w:val="24"/>
                <w:lang w:eastAsia="en-GB"/>
              </w:rPr>
            </w:pPr>
          </w:p>
        </w:tc>
      </w:tr>
      <w:tr w:rsidR="00B108A7" w:rsidRPr="00DC19CC" w14:paraId="574766B4" w14:textId="77777777" w:rsidTr="003F1DB3">
        <w:trPr>
          <w:trHeight w:val="202"/>
        </w:trPr>
        <w:tc>
          <w:tcPr>
            <w:tcW w:w="4106" w:type="dxa"/>
            <w:shd w:val="clear" w:color="auto" w:fill="auto"/>
            <w:noWrap/>
            <w:vAlign w:val="bottom"/>
          </w:tcPr>
          <w:p w14:paraId="5683C691" w14:textId="75A96D4D" w:rsidR="00B108A7" w:rsidRPr="00DC19CC" w:rsidRDefault="00B108A7" w:rsidP="000F67D5">
            <w:pPr>
              <w:rPr>
                <w:rFonts w:eastAsia="Times New Roman" w:cs="Arial"/>
                <w:color w:val="000000"/>
                <w:sz w:val="24"/>
                <w:szCs w:val="24"/>
                <w:lang w:eastAsia="en-GB"/>
              </w:rPr>
            </w:pPr>
            <w:r w:rsidRPr="00DC19CC">
              <w:rPr>
                <w:b/>
                <w:bCs/>
                <w:color w:val="000000"/>
                <w:sz w:val="24"/>
                <w:szCs w:val="24"/>
                <w:lang w:val="en-US"/>
              </w:rPr>
              <w:t>Current Liabilities:</w:t>
            </w:r>
          </w:p>
        </w:tc>
        <w:tc>
          <w:tcPr>
            <w:tcW w:w="2127" w:type="dxa"/>
            <w:shd w:val="clear" w:color="auto" w:fill="auto"/>
            <w:noWrap/>
            <w:vAlign w:val="bottom"/>
          </w:tcPr>
          <w:p w14:paraId="0A77C62E" w14:textId="77777777" w:rsidR="00B108A7" w:rsidRPr="00DC19CC" w:rsidRDefault="00B108A7" w:rsidP="000F67D5">
            <w:pPr>
              <w:jc w:val="center"/>
              <w:rPr>
                <w:rFonts w:eastAsia="Times New Roman" w:cs="Arial"/>
                <w:color w:val="000000"/>
                <w:sz w:val="24"/>
                <w:szCs w:val="24"/>
                <w:lang w:eastAsia="en-GB"/>
              </w:rPr>
            </w:pPr>
          </w:p>
        </w:tc>
        <w:tc>
          <w:tcPr>
            <w:tcW w:w="1723" w:type="dxa"/>
            <w:shd w:val="clear" w:color="auto" w:fill="auto"/>
            <w:noWrap/>
            <w:vAlign w:val="bottom"/>
          </w:tcPr>
          <w:p w14:paraId="37EC7D44" w14:textId="77777777" w:rsidR="00B108A7" w:rsidRPr="00DC19CC" w:rsidRDefault="00B108A7" w:rsidP="000F67D5">
            <w:pPr>
              <w:jc w:val="center"/>
              <w:rPr>
                <w:rFonts w:eastAsia="Times New Roman" w:cs="Arial"/>
                <w:color w:val="000000"/>
                <w:sz w:val="24"/>
                <w:szCs w:val="24"/>
                <w:lang w:eastAsia="en-GB"/>
              </w:rPr>
            </w:pPr>
          </w:p>
        </w:tc>
        <w:tc>
          <w:tcPr>
            <w:tcW w:w="1701" w:type="dxa"/>
            <w:shd w:val="clear" w:color="auto" w:fill="auto"/>
            <w:noWrap/>
            <w:vAlign w:val="bottom"/>
          </w:tcPr>
          <w:p w14:paraId="2271E77B" w14:textId="09506CD1" w:rsidR="00B108A7" w:rsidRPr="00DC19CC" w:rsidRDefault="00B108A7" w:rsidP="000F67D5">
            <w:pPr>
              <w:jc w:val="center"/>
              <w:rPr>
                <w:rFonts w:eastAsia="Times New Roman" w:cs="Arial"/>
                <w:color w:val="000000"/>
                <w:sz w:val="24"/>
                <w:szCs w:val="24"/>
                <w:lang w:eastAsia="en-GB"/>
              </w:rPr>
            </w:pPr>
          </w:p>
        </w:tc>
      </w:tr>
      <w:tr w:rsidR="00B108A7" w:rsidRPr="00DC19CC" w14:paraId="11F4D267" w14:textId="77777777" w:rsidTr="003F1DB3">
        <w:trPr>
          <w:trHeight w:val="202"/>
        </w:trPr>
        <w:tc>
          <w:tcPr>
            <w:tcW w:w="4106" w:type="dxa"/>
            <w:shd w:val="clear" w:color="auto" w:fill="auto"/>
            <w:noWrap/>
            <w:vAlign w:val="bottom"/>
          </w:tcPr>
          <w:p w14:paraId="11E8DE3D" w14:textId="7FD32246" w:rsidR="00B108A7" w:rsidRPr="00DC19CC" w:rsidRDefault="00B108A7" w:rsidP="004974C8">
            <w:pPr>
              <w:rPr>
                <w:rFonts w:eastAsia="Times New Roman" w:cs="Arial"/>
                <w:color w:val="000000"/>
                <w:sz w:val="24"/>
                <w:szCs w:val="24"/>
                <w:lang w:eastAsia="en-GB"/>
              </w:rPr>
            </w:pPr>
            <w:r w:rsidRPr="00DC19CC">
              <w:rPr>
                <w:color w:val="000000"/>
                <w:sz w:val="24"/>
                <w:szCs w:val="24"/>
                <w:lang w:val="en-US"/>
              </w:rPr>
              <w:t>Income Tax Liabilities</w:t>
            </w:r>
          </w:p>
        </w:tc>
        <w:tc>
          <w:tcPr>
            <w:tcW w:w="2127" w:type="dxa"/>
            <w:shd w:val="clear" w:color="auto" w:fill="auto"/>
            <w:noWrap/>
            <w:vAlign w:val="bottom"/>
          </w:tcPr>
          <w:p w14:paraId="51248092" w14:textId="73530B54" w:rsidR="00B108A7" w:rsidRPr="00DC19CC" w:rsidRDefault="00B108A7" w:rsidP="004974C8">
            <w:pPr>
              <w:jc w:val="center"/>
              <w:rPr>
                <w:rFonts w:eastAsia="Times New Roman" w:cs="Arial"/>
                <w:color w:val="000000"/>
                <w:sz w:val="24"/>
                <w:szCs w:val="24"/>
                <w:lang w:eastAsia="en-GB"/>
              </w:rPr>
            </w:pPr>
            <w:r w:rsidRPr="00DC19CC">
              <w:rPr>
                <w:color w:val="000000"/>
                <w:sz w:val="24"/>
                <w:szCs w:val="24"/>
                <w:lang w:val="en-US"/>
              </w:rPr>
              <w:t xml:space="preserve">     1,304,637 </w:t>
            </w:r>
          </w:p>
        </w:tc>
        <w:tc>
          <w:tcPr>
            <w:tcW w:w="1723" w:type="dxa"/>
            <w:shd w:val="clear" w:color="auto" w:fill="auto"/>
            <w:noWrap/>
            <w:vAlign w:val="bottom"/>
          </w:tcPr>
          <w:p w14:paraId="4879456D" w14:textId="607B087D" w:rsidR="00B108A7" w:rsidRPr="00DC19CC" w:rsidRDefault="00B108A7" w:rsidP="004974C8">
            <w:pPr>
              <w:jc w:val="center"/>
              <w:rPr>
                <w:rFonts w:eastAsia="Times New Roman" w:cs="Arial"/>
                <w:color w:val="000000"/>
                <w:sz w:val="24"/>
                <w:szCs w:val="24"/>
                <w:lang w:eastAsia="en-GB"/>
              </w:rPr>
            </w:pPr>
            <w:r w:rsidRPr="00DC19CC">
              <w:rPr>
                <w:rFonts w:eastAsia="Times New Roman"/>
                <w:sz w:val="24"/>
                <w:szCs w:val="24"/>
                <w:lang w:eastAsia="en-GB"/>
              </w:rPr>
              <w:t>1,304,637</w:t>
            </w:r>
          </w:p>
        </w:tc>
        <w:tc>
          <w:tcPr>
            <w:tcW w:w="1701" w:type="dxa"/>
            <w:shd w:val="clear" w:color="auto" w:fill="FFFF00"/>
            <w:noWrap/>
            <w:vAlign w:val="bottom"/>
          </w:tcPr>
          <w:p w14:paraId="32477ADA" w14:textId="0A1C5F43" w:rsidR="00B108A7" w:rsidRPr="00DC19CC" w:rsidRDefault="00B108A7" w:rsidP="004974C8">
            <w:pPr>
              <w:jc w:val="center"/>
              <w:rPr>
                <w:rFonts w:eastAsia="Times New Roman" w:cs="Arial"/>
                <w:color w:val="000000"/>
                <w:sz w:val="24"/>
                <w:szCs w:val="24"/>
                <w:lang w:eastAsia="en-GB"/>
              </w:rPr>
            </w:pPr>
            <w:r w:rsidRPr="00DC19CC">
              <w:rPr>
                <w:rFonts w:eastAsia="Times New Roman" w:cs="Arial"/>
                <w:color w:val="000000"/>
                <w:sz w:val="24"/>
                <w:szCs w:val="24"/>
                <w:lang w:eastAsia="en-GB"/>
              </w:rPr>
              <w:t>1,304,637</w:t>
            </w:r>
          </w:p>
        </w:tc>
      </w:tr>
      <w:tr w:rsidR="00B108A7" w:rsidRPr="00DC19CC" w14:paraId="71DC3BAC" w14:textId="77777777" w:rsidTr="003F1DB3">
        <w:trPr>
          <w:trHeight w:val="215"/>
        </w:trPr>
        <w:tc>
          <w:tcPr>
            <w:tcW w:w="4106" w:type="dxa"/>
            <w:shd w:val="clear" w:color="auto" w:fill="auto"/>
            <w:noWrap/>
            <w:vAlign w:val="bottom"/>
          </w:tcPr>
          <w:p w14:paraId="00FC4C27" w14:textId="61D6C8A5" w:rsidR="00B108A7" w:rsidRPr="00DC19CC" w:rsidRDefault="00B108A7" w:rsidP="004974C8">
            <w:pPr>
              <w:rPr>
                <w:rFonts w:eastAsia="Times New Roman" w:cs="Arial"/>
                <w:b/>
                <w:bCs/>
                <w:color w:val="000000"/>
                <w:sz w:val="24"/>
                <w:szCs w:val="24"/>
                <w:lang w:eastAsia="en-GB"/>
              </w:rPr>
            </w:pPr>
            <w:r w:rsidRPr="00DC19CC">
              <w:rPr>
                <w:color w:val="000000"/>
                <w:sz w:val="24"/>
                <w:szCs w:val="24"/>
                <w:lang w:val="en-US"/>
              </w:rPr>
              <w:t>Other Payables</w:t>
            </w:r>
          </w:p>
        </w:tc>
        <w:tc>
          <w:tcPr>
            <w:tcW w:w="2127" w:type="dxa"/>
            <w:shd w:val="clear" w:color="auto" w:fill="auto"/>
            <w:noWrap/>
            <w:vAlign w:val="bottom"/>
          </w:tcPr>
          <w:p w14:paraId="70922CC8" w14:textId="53E69558" w:rsidR="00B108A7" w:rsidRPr="00DC19CC" w:rsidRDefault="00B108A7" w:rsidP="004974C8">
            <w:pPr>
              <w:jc w:val="center"/>
              <w:rPr>
                <w:rFonts w:eastAsia="Times New Roman" w:cs="Arial"/>
                <w:color w:val="000000"/>
                <w:sz w:val="24"/>
                <w:szCs w:val="24"/>
                <w:lang w:eastAsia="en-GB"/>
              </w:rPr>
            </w:pPr>
            <w:r w:rsidRPr="00DC19CC">
              <w:rPr>
                <w:color w:val="000000"/>
                <w:sz w:val="24"/>
                <w:szCs w:val="24"/>
                <w:lang w:val="en-US"/>
              </w:rPr>
              <w:t xml:space="preserve">     67,789,177 </w:t>
            </w:r>
          </w:p>
        </w:tc>
        <w:tc>
          <w:tcPr>
            <w:tcW w:w="1723" w:type="dxa"/>
            <w:shd w:val="clear" w:color="auto" w:fill="auto"/>
            <w:noWrap/>
            <w:vAlign w:val="bottom"/>
          </w:tcPr>
          <w:p w14:paraId="7C8F8598" w14:textId="6B019BD1" w:rsidR="00B108A7" w:rsidRPr="00DC19CC" w:rsidRDefault="00B108A7" w:rsidP="004974C8">
            <w:pPr>
              <w:jc w:val="center"/>
              <w:rPr>
                <w:rFonts w:eastAsia="Times New Roman" w:cs="Arial"/>
                <w:color w:val="000000"/>
                <w:sz w:val="24"/>
                <w:szCs w:val="24"/>
                <w:lang w:eastAsia="en-GB"/>
              </w:rPr>
            </w:pPr>
            <w:r w:rsidRPr="00DC19CC">
              <w:rPr>
                <w:rFonts w:eastAsia="Times New Roman" w:cs="Arial"/>
                <w:color w:val="000000"/>
                <w:sz w:val="24"/>
                <w:szCs w:val="24"/>
                <w:lang w:eastAsia="en-GB"/>
              </w:rPr>
              <w:t>59,953,816</w:t>
            </w:r>
          </w:p>
        </w:tc>
        <w:tc>
          <w:tcPr>
            <w:tcW w:w="1701" w:type="dxa"/>
            <w:shd w:val="clear" w:color="auto" w:fill="FFFF00"/>
            <w:noWrap/>
            <w:vAlign w:val="bottom"/>
          </w:tcPr>
          <w:p w14:paraId="4122749A" w14:textId="7D7F40E3" w:rsidR="00B108A7" w:rsidRPr="00DC19CC" w:rsidRDefault="00B108A7" w:rsidP="004974C8">
            <w:pPr>
              <w:jc w:val="center"/>
              <w:rPr>
                <w:rFonts w:eastAsia="Times New Roman" w:cs="Arial"/>
                <w:color w:val="000000"/>
                <w:sz w:val="24"/>
                <w:szCs w:val="24"/>
                <w:lang w:eastAsia="en-GB"/>
              </w:rPr>
            </w:pPr>
            <w:r w:rsidRPr="00DC19CC">
              <w:rPr>
                <w:rFonts w:eastAsia="Times New Roman" w:cs="Arial"/>
                <w:color w:val="000000"/>
                <w:sz w:val="24"/>
                <w:szCs w:val="24"/>
                <w:lang w:eastAsia="en-GB"/>
              </w:rPr>
              <w:t>60,797,940</w:t>
            </w:r>
          </w:p>
        </w:tc>
      </w:tr>
      <w:tr w:rsidR="00B108A7" w:rsidRPr="00DC19CC" w14:paraId="542FB14D" w14:textId="77777777" w:rsidTr="003F1DB3">
        <w:trPr>
          <w:trHeight w:val="202"/>
        </w:trPr>
        <w:tc>
          <w:tcPr>
            <w:tcW w:w="4106" w:type="dxa"/>
            <w:shd w:val="clear" w:color="auto" w:fill="auto"/>
            <w:noWrap/>
            <w:vAlign w:val="bottom"/>
          </w:tcPr>
          <w:p w14:paraId="6D6D2E4D" w14:textId="77777777" w:rsidR="00B108A7" w:rsidRPr="00DC19CC" w:rsidRDefault="00B108A7" w:rsidP="004974C8">
            <w:pPr>
              <w:rPr>
                <w:rFonts w:eastAsia="Times New Roman" w:cs="Arial"/>
                <w:color w:val="000000"/>
                <w:sz w:val="24"/>
                <w:szCs w:val="24"/>
                <w:lang w:eastAsia="en-GB"/>
              </w:rPr>
            </w:pPr>
          </w:p>
        </w:tc>
        <w:tc>
          <w:tcPr>
            <w:tcW w:w="2127" w:type="dxa"/>
            <w:shd w:val="clear" w:color="auto" w:fill="auto"/>
            <w:noWrap/>
            <w:vAlign w:val="bottom"/>
          </w:tcPr>
          <w:p w14:paraId="6A96E4A7" w14:textId="4FFC2650" w:rsidR="00B108A7" w:rsidRPr="00DC19CC" w:rsidRDefault="00B108A7" w:rsidP="004974C8">
            <w:pPr>
              <w:jc w:val="center"/>
              <w:rPr>
                <w:rFonts w:eastAsia="Times New Roman"/>
                <w:sz w:val="24"/>
                <w:szCs w:val="24"/>
                <w:lang w:eastAsia="en-GB"/>
              </w:rPr>
            </w:pPr>
            <w:r w:rsidRPr="00DC19CC">
              <w:rPr>
                <w:b/>
                <w:bCs/>
                <w:color w:val="000000"/>
                <w:sz w:val="24"/>
                <w:szCs w:val="24"/>
                <w:lang w:val="en-US"/>
              </w:rPr>
              <w:t xml:space="preserve">    69,093,814 </w:t>
            </w:r>
          </w:p>
        </w:tc>
        <w:tc>
          <w:tcPr>
            <w:tcW w:w="1723" w:type="dxa"/>
            <w:shd w:val="clear" w:color="auto" w:fill="auto"/>
            <w:noWrap/>
            <w:vAlign w:val="bottom"/>
          </w:tcPr>
          <w:p w14:paraId="4E0321F4" w14:textId="37C39D28" w:rsidR="00B108A7" w:rsidRPr="00DC19CC" w:rsidRDefault="00B108A7" w:rsidP="004974C8">
            <w:pPr>
              <w:jc w:val="center"/>
              <w:rPr>
                <w:rFonts w:eastAsia="Times New Roman"/>
                <w:sz w:val="24"/>
                <w:szCs w:val="24"/>
                <w:lang w:eastAsia="en-GB"/>
              </w:rPr>
            </w:pPr>
            <w:r w:rsidRPr="00DC19CC">
              <w:rPr>
                <w:rFonts w:eastAsia="Times New Roman" w:cs="Arial"/>
                <w:b/>
                <w:bCs/>
                <w:color w:val="000000"/>
                <w:sz w:val="24"/>
                <w:szCs w:val="24"/>
                <w:lang w:eastAsia="en-GB"/>
              </w:rPr>
              <w:t>61,258,453</w:t>
            </w:r>
          </w:p>
        </w:tc>
        <w:tc>
          <w:tcPr>
            <w:tcW w:w="1701" w:type="dxa"/>
            <w:shd w:val="clear" w:color="auto" w:fill="FFFF00"/>
            <w:noWrap/>
            <w:vAlign w:val="bottom"/>
          </w:tcPr>
          <w:p w14:paraId="00980BBF" w14:textId="15E94379" w:rsidR="00B108A7" w:rsidRPr="00DC19CC" w:rsidRDefault="00B108A7" w:rsidP="004974C8">
            <w:pPr>
              <w:jc w:val="center"/>
              <w:rPr>
                <w:rFonts w:eastAsia="Times New Roman"/>
                <w:sz w:val="24"/>
                <w:szCs w:val="24"/>
                <w:lang w:eastAsia="en-GB"/>
              </w:rPr>
            </w:pPr>
            <w:r w:rsidRPr="00DC19CC">
              <w:rPr>
                <w:rFonts w:eastAsia="Times New Roman" w:cs="Arial"/>
                <w:b/>
                <w:bCs/>
                <w:color w:val="000000"/>
                <w:sz w:val="24"/>
                <w:szCs w:val="24"/>
                <w:lang w:eastAsia="en-GB"/>
              </w:rPr>
              <w:t>54,322,587</w:t>
            </w:r>
          </w:p>
        </w:tc>
      </w:tr>
      <w:tr w:rsidR="00E9011D" w:rsidRPr="00DC19CC" w14:paraId="05890D1A" w14:textId="77777777" w:rsidTr="003F1DB3">
        <w:trPr>
          <w:trHeight w:val="202"/>
        </w:trPr>
        <w:tc>
          <w:tcPr>
            <w:tcW w:w="4106" w:type="dxa"/>
            <w:shd w:val="clear" w:color="auto" w:fill="auto"/>
            <w:noWrap/>
            <w:vAlign w:val="bottom"/>
          </w:tcPr>
          <w:p w14:paraId="09A56866" w14:textId="4453153E" w:rsidR="00E9011D" w:rsidRPr="00DC19CC" w:rsidRDefault="00E9011D" w:rsidP="004974C8">
            <w:pPr>
              <w:rPr>
                <w:rFonts w:eastAsia="Times New Roman" w:cs="Arial"/>
                <w:b/>
                <w:bCs/>
                <w:color w:val="000000"/>
                <w:sz w:val="24"/>
                <w:szCs w:val="24"/>
                <w:lang w:eastAsia="en-GB"/>
              </w:rPr>
            </w:pPr>
          </w:p>
        </w:tc>
        <w:tc>
          <w:tcPr>
            <w:tcW w:w="2127" w:type="dxa"/>
            <w:shd w:val="clear" w:color="auto" w:fill="auto"/>
            <w:noWrap/>
            <w:vAlign w:val="bottom"/>
          </w:tcPr>
          <w:p w14:paraId="658B195E" w14:textId="77777777" w:rsidR="00E9011D" w:rsidRPr="00DC19CC" w:rsidRDefault="00E9011D" w:rsidP="004974C8">
            <w:pPr>
              <w:jc w:val="center"/>
              <w:rPr>
                <w:rFonts w:eastAsia="Times New Roman"/>
                <w:sz w:val="24"/>
                <w:szCs w:val="24"/>
                <w:lang w:eastAsia="en-GB"/>
              </w:rPr>
            </w:pPr>
          </w:p>
        </w:tc>
        <w:tc>
          <w:tcPr>
            <w:tcW w:w="1723" w:type="dxa"/>
            <w:shd w:val="clear" w:color="auto" w:fill="auto"/>
            <w:noWrap/>
            <w:vAlign w:val="bottom"/>
          </w:tcPr>
          <w:p w14:paraId="099687C1" w14:textId="77777777" w:rsidR="00E9011D" w:rsidRPr="00DC19CC" w:rsidRDefault="00E9011D" w:rsidP="004974C8">
            <w:pPr>
              <w:jc w:val="center"/>
              <w:rPr>
                <w:rFonts w:eastAsia="Times New Roman"/>
                <w:sz w:val="24"/>
                <w:szCs w:val="24"/>
                <w:lang w:eastAsia="en-GB"/>
              </w:rPr>
            </w:pPr>
          </w:p>
        </w:tc>
        <w:tc>
          <w:tcPr>
            <w:tcW w:w="1701" w:type="dxa"/>
            <w:shd w:val="clear" w:color="auto" w:fill="auto"/>
            <w:noWrap/>
            <w:vAlign w:val="bottom"/>
          </w:tcPr>
          <w:p w14:paraId="08277AFF" w14:textId="77777777" w:rsidR="00E9011D" w:rsidRPr="00DC19CC" w:rsidRDefault="00E9011D" w:rsidP="004974C8">
            <w:pPr>
              <w:jc w:val="center"/>
              <w:rPr>
                <w:rFonts w:eastAsia="Times New Roman"/>
                <w:sz w:val="24"/>
                <w:szCs w:val="24"/>
                <w:lang w:eastAsia="en-GB"/>
              </w:rPr>
            </w:pPr>
          </w:p>
        </w:tc>
      </w:tr>
      <w:tr w:rsidR="00E9011D" w:rsidRPr="00DC19CC" w14:paraId="30808BF0" w14:textId="77777777" w:rsidTr="003F1DB3">
        <w:trPr>
          <w:trHeight w:val="202"/>
        </w:trPr>
        <w:tc>
          <w:tcPr>
            <w:tcW w:w="4106" w:type="dxa"/>
            <w:shd w:val="clear" w:color="auto" w:fill="auto"/>
            <w:noWrap/>
            <w:vAlign w:val="bottom"/>
          </w:tcPr>
          <w:p w14:paraId="1F6DDE6A" w14:textId="07DC4D78" w:rsidR="00E9011D" w:rsidRPr="00DC19CC" w:rsidRDefault="00E9011D" w:rsidP="004974C8">
            <w:pPr>
              <w:rPr>
                <w:rFonts w:eastAsia="Times New Roman" w:cs="Arial"/>
                <w:color w:val="000000"/>
                <w:sz w:val="24"/>
                <w:szCs w:val="24"/>
                <w:lang w:eastAsia="en-GB"/>
              </w:rPr>
            </w:pPr>
            <w:r w:rsidRPr="00DC19CC">
              <w:rPr>
                <w:b/>
                <w:bCs/>
                <w:color w:val="000000"/>
                <w:sz w:val="24"/>
                <w:szCs w:val="24"/>
                <w:lang w:val="en-US"/>
              </w:rPr>
              <w:t>Total Funding and Liabilities</w:t>
            </w:r>
          </w:p>
        </w:tc>
        <w:tc>
          <w:tcPr>
            <w:tcW w:w="2127" w:type="dxa"/>
            <w:shd w:val="clear" w:color="auto" w:fill="auto"/>
            <w:noWrap/>
            <w:vAlign w:val="bottom"/>
          </w:tcPr>
          <w:p w14:paraId="20297538" w14:textId="715D2AF5" w:rsidR="00E9011D" w:rsidRPr="00DC19CC" w:rsidRDefault="00E9011D" w:rsidP="00E9011D">
            <w:pPr>
              <w:rPr>
                <w:rFonts w:eastAsia="Times New Roman" w:cs="Arial"/>
                <w:color w:val="000000"/>
                <w:sz w:val="24"/>
                <w:szCs w:val="24"/>
                <w:lang w:eastAsia="en-GB"/>
              </w:rPr>
            </w:pPr>
            <w:r w:rsidRPr="00DC19CC">
              <w:rPr>
                <w:b/>
                <w:bCs/>
                <w:color w:val="000000"/>
                <w:sz w:val="24"/>
                <w:szCs w:val="24"/>
                <w:lang w:val="en-US"/>
              </w:rPr>
              <w:t xml:space="preserve">  108,656,258 </w:t>
            </w:r>
          </w:p>
        </w:tc>
        <w:tc>
          <w:tcPr>
            <w:tcW w:w="1723" w:type="dxa"/>
            <w:shd w:val="clear" w:color="auto" w:fill="auto"/>
            <w:noWrap/>
            <w:vAlign w:val="bottom"/>
          </w:tcPr>
          <w:p w14:paraId="3D359F0B" w14:textId="4B4FE031" w:rsidR="00E9011D" w:rsidRPr="00DC19CC" w:rsidRDefault="00E9011D" w:rsidP="00E9011D">
            <w:pPr>
              <w:rPr>
                <w:rFonts w:eastAsia="Times New Roman" w:cs="Arial"/>
                <w:color w:val="000000"/>
                <w:sz w:val="24"/>
                <w:szCs w:val="24"/>
                <w:lang w:eastAsia="en-GB"/>
              </w:rPr>
            </w:pPr>
            <w:r w:rsidRPr="00DC19CC">
              <w:rPr>
                <w:b/>
                <w:bCs/>
                <w:color w:val="000000"/>
                <w:sz w:val="24"/>
                <w:szCs w:val="24"/>
                <w:lang w:val="en-US"/>
              </w:rPr>
              <w:t xml:space="preserve">  </w:t>
            </w:r>
            <w:r w:rsidRPr="00DC19CC">
              <w:rPr>
                <w:rFonts w:eastAsia="Times New Roman" w:cs="Arial"/>
                <w:b/>
                <w:bCs/>
                <w:color w:val="000000"/>
                <w:sz w:val="24"/>
                <w:szCs w:val="24"/>
                <w:lang w:eastAsia="en-GB"/>
              </w:rPr>
              <w:t>118,586,100</w:t>
            </w:r>
          </w:p>
        </w:tc>
        <w:tc>
          <w:tcPr>
            <w:tcW w:w="1701" w:type="dxa"/>
            <w:shd w:val="clear" w:color="auto" w:fill="auto"/>
            <w:noWrap/>
            <w:vAlign w:val="bottom"/>
          </w:tcPr>
          <w:p w14:paraId="5CB0DE72" w14:textId="30CE27F0" w:rsidR="00E9011D" w:rsidRPr="00DC19CC" w:rsidRDefault="00E9011D" w:rsidP="00E9011D">
            <w:pPr>
              <w:rPr>
                <w:rFonts w:eastAsia="Times New Roman" w:cs="Arial"/>
                <w:color w:val="000000"/>
                <w:sz w:val="24"/>
                <w:szCs w:val="24"/>
                <w:lang w:eastAsia="en-GB"/>
              </w:rPr>
            </w:pPr>
            <w:r w:rsidRPr="00DC19CC">
              <w:rPr>
                <w:rFonts w:eastAsia="Times New Roman" w:cs="Arial"/>
                <w:b/>
                <w:bCs/>
                <w:color w:val="000000"/>
                <w:sz w:val="24"/>
                <w:szCs w:val="24"/>
                <w:lang w:eastAsia="en-GB"/>
              </w:rPr>
              <w:t>114,098,341</w:t>
            </w:r>
          </w:p>
        </w:tc>
      </w:tr>
    </w:tbl>
    <w:p w14:paraId="0029A96C" w14:textId="77777777" w:rsidR="007456AE" w:rsidRPr="002E6453" w:rsidRDefault="007456AE" w:rsidP="005D2F3C">
      <w:pPr>
        <w:jc w:val="center"/>
        <w:rPr>
          <w:b/>
          <w:bCs/>
          <w:sz w:val="24"/>
          <w:szCs w:val="24"/>
        </w:rPr>
      </w:pPr>
    </w:p>
    <w:p w14:paraId="48991F12" w14:textId="77777777" w:rsidR="00D42130" w:rsidRDefault="00D42130" w:rsidP="00923467"/>
    <w:p w14:paraId="08A983C3" w14:textId="77777777" w:rsidR="00D42130" w:rsidRPr="00004B58" w:rsidRDefault="00D42130" w:rsidP="00923467">
      <w:pPr>
        <w:rPr>
          <w:sz w:val="12"/>
          <w:szCs w:val="12"/>
        </w:rPr>
      </w:pPr>
    </w:p>
    <w:p w14:paraId="47A25DAE" w14:textId="4C2714FE" w:rsidR="00CB6FB0" w:rsidRPr="00EB2B92" w:rsidRDefault="00291FE2" w:rsidP="00291FE2">
      <w:pPr>
        <w:pStyle w:val="Heading2"/>
        <w:jc w:val="both"/>
        <w:rPr>
          <w:highlight w:val="yellow"/>
        </w:rPr>
      </w:pPr>
      <w:bookmarkStart w:id="125" w:name="_Toc137831129"/>
      <w:bookmarkStart w:id="126" w:name="_Hlk135299483"/>
      <w:r>
        <w:t xml:space="preserve">            </w:t>
      </w:r>
      <w:r w:rsidR="00DF5F60" w:rsidRPr="00EB2B92">
        <w:rPr>
          <w:highlight w:val="yellow"/>
        </w:rPr>
        <w:t xml:space="preserve">Appendix </w:t>
      </w:r>
      <w:r w:rsidR="00923467" w:rsidRPr="00EB2B92">
        <w:rPr>
          <w:highlight w:val="yellow"/>
        </w:rPr>
        <w:t>B</w:t>
      </w:r>
      <w:r w:rsidR="00DF5F60" w:rsidRPr="00EB2B92">
        <w:rPr>
          <w:highlight w:val="yellow"/>
        </w:rPr>
        <w:t xml:space="preserve">: </w:t>
      </w:r>
      <w:r w:rsidR="00642DF9" w:rsidRPr="00EB2B92">
        <w:rPr>
          <w:highlight w:val="yellow"/>
        </w:rPr>
        <w:t xml:space="preserve">Detailed </w:t>
      </w:r>
      <w:r w:rsidR="00923467" w:rsidRPr="00EB2B92">
        <w:rPr>
          <w:highlight w:val="yellow"/>
        </w:rPr>
        <w:t>R</w:t>
      </w:r>
      <w:r w:rsidR="00642DF9" w:rsidRPr="00EB2B92">
        <w:rPr>
          <w:highlight w:val="yellow"/>
        </w:rPr>
        <w:t>econciled NRA 2022 Revenue Statistics</w:t>
      </w:r>
      <w:bookmarkEnd w:id="125"/>
      <w:r w:rsidR="00642DF9" w:rsidRPr="00EB2B92">
        <w:rPr>
          <w:highlight w:val="yellow"/>
        </w:rPr>
        <w:t xml:space="preserve"> </w:t>
      </w:r>
      <w:bookmarkEnd w:id="126"/>
    </w:p>
    <w:p w14:paraId="01A3FA38" w14:textId="63C2E70D" w:rsidR="00923467" w:rsidRPr="00684C76" w:rsidRDefault="00291FE2" w:rsidP="00923467">
      <w:r w:rsidRPr="00EB2B92">
        <w:rPr>
          <w:highlight w:val="yellow"/>
        </w:rPr>
        <w:t xml:space="preserve">                 </w:t>
      </w:r>
      <w:r w:rsidR="00923467" w:rsidRPr="00EB2B92">
        <w:rPr>
          <w:highlight w:val="yellow"/>
        </w:rPr>
        <w:t>TBD</w:t>
      </w:r>
      <w:r w:rsidRPr="00EB2B92">
        <w:rPr>
          <w:highlight w:val="yellow"/>
        </w:rPr>
        <w:t xml:space="preserve"> – MRP to attach detail table</w:t>
      </w:r>
    </w:p>
    <w:sectPr w:rsidR="00923467" w:rsidRPr="00684C76" w:rsidSect="00684C76">
      <w:headerReference w:type="even" r:id="rId21"/>
      <w:footerReference w:type="even" r:id="rId22"/>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FABA8" w14:textId="77777777" w:rsidR="00B81013" w:rsidRDefault="00B81013" w:rsidP="00923467">
      <w:r>
        <w:separator/>
      </w:r>
    </w:p>
    <w:p w14:paraId="65693348" w14:textId="77777777" w:rsidR="00B81013" w:rsidRDefault="00B81013" w:rsidP="00923467"/>
    <w:p w14:paraId="0FE1368A" w14:textId="77777777" w:rsidR="00B81013" w:rsidRDefault="00B81013" w:rsidP="00923467"/>
    <w:p w14:paraId="4DF5F664" w14:textId="77777777" w:rsidR="00B81013" w:rsidRDefault="00B81013" w:rsidP="00923467"/>
    <w:p w14:paraId="6FFA4540" w14:textId="77777777" w:rsidR="00B81013" w:rsidRDefault="00B81013" w:rsidP="00923467"/>
  </w:endnote>
  <w:endnote w:type="continuationSeparator" w:id="0">
    <w:p w14:paraId="739690DB" w14:textId="77777777" w:rsidR="00B81013" w:rsidRDefault="00B81013" w:rsidP="00923467">
      <w:r>
        <w:continuationSeparator/>
      </w:r>
    </w:p>
    <w:p w14:paraId="7240067C" w14:textId="77777777" w:rsidR="00B81013" w:rsidRDefault="00B81013" w:rsidP="00923467"/>
    <w:p w14:paraId="1D45B6AA" w14:textId="77777777" w:rsidR="00B81013" w:rsidRDefault="00B81013" w:rsidP="00923467"/>
    <w:p w14:paraId="167D55BA" w14:textId="77777777" w:rsidR="00B81013" w:rsidRDefault="00B81013" w:rsidP="00923467"/>
    <w:p w14:paraId="614E7C5D" w14:textId="77777777" w:rsidR="00B81013" w:rsidRDefault="00B81013" w:rsidP="0092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40C9" w14:textId="77777777" w:rsidR="00462FE6" w:rsidRDefault="00462FE6" w:rsidP="00923467">
    <w:pPr>
      <w:pStyle w:val="Footer"/>
    </w:pPr>
  </w:p>
  <w:p w14:paraId="4C7ED88C" w14:textId="77777777" w:rsidR="00D13953" w:rsidRDefault="00D13953" w:rsidP="00923467"/>
  <w:p w14:paraId="7A0461CA" w14:textId="77777777" w:rsidR="00A36364" w:rsidRDefault="00A36364" w:rsidP="009234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772204"/>
      <w:docPartObj>
        <w:docPartGallery w:val="Page Numbers (Bottom of Page)"/>
        <w:docPartUnique/>
      </w:docPartObj>
    </w:sdtPr>
    <w:sdtEndPr>
      <w:rPr>
        <w:noProof/>
      </w:rPr>
    </w:sdtEndPr>
    <w:sdtContent>
      <w:p w14:paraId="08B432E8" w14:textId="6B43B5D2" w:rsidR="00A36364" w:rsidRDefault="00C939C4" w:rsidP="00923467">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239F1" w14:textId="77777777" w:rsidR="00B81013" w:rsidRDefault="00B81013" w:rsidP="00684C76">
      <w:r>
        <w:separator/>
      </w:r>
    </w:p>
    <w:p w14:paraId="3AB5B11C" w14:textId="77777777" w:rsidR="00B81013" w:rsidRDefault="00B81013" w:rsidP="00923467"/>
    <w:p w14:paraId="675861DA" w14:textId="77777777" w:rsidR="00B81013" w:rsidRDefault="00B81013" w:rsidP="00923467"/>
    <w:p w14:paraId="44AECA80" w14:textId="77777777" w:rsidR="00B81013" w:rsidRDefault="00B81013" w:rsidP="00923467"/>
    <w:p w14:paraId="009B7655" w14:textId="77777777" w:rsidR="00B81013" w:rsidRDefault="00B81013" w:rsidP="00923467"/>
  </w:footnote>
  <w:footnote w:type="continuationSeparator" w:id="0">
    <w:p w14:paraId="034874B2" w14:textId="77777777" w:rsidR="00B81013" w:rsidRDefault="00B81013" w:rsidP="00923467">
      <w:r>
        <w:continuationSeparator/>
      </w:r>
    </w:p>
    <w:p w14:paraId="0DB17336" w14:textId="77777777" w:rsidR="00B81013" w:rsidRDefault="00B81013" w:rsidP="00923467"/>
    <w:p w14:paraId="6B9D87FA" w14:textId="77777777" w:rsidR="00B81013" w:rsidRDefault="00B81013" w:rsidP="00923467"/>
    <w:p w14:paraId="15767CDB" w14:textId="77777777" w:rsidR="00B81013" w:rsidRDefault="00B81013" w:rsidP="00923467"/>
    <w:p w14:paraId="7DA09AEC" w14:textId="77777777" w:rsidR="00B81013" w:rsidRDefault="00B81013" w:rsidP="00923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D867" w14:textId="77777777" w:rsidR="00462FE6" w:rsidRDefault="00462FE6" w:rsidP="00923467">
    <w:pPr>
      <w:pStyle w:val="Header"/>
    </w:pPr>
  </w:p>
  <w:p w14:paraId="5A77AA04" w14:textId="77777777" w:rsidR="00D13953" w:rsidRDefault="00D13953" w:rsidP="00923467"/>
  <w:p w14:paraId="6F771657" w14:textId="77777777" w:rsidR="00A36364" w:rsidRDefault="00A36364" w:rsidP="009234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6CBF"/>
    <w:multiLevelType w:val="hybridMultilevel"/>
    <w:tmpl w:val="33F6D5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0D68"/>
    <w:multiLevelType w:val="hybridMultilevel"/>
    <w:tmpl w:val="D87A7D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D9130D"/>
    <w:multiLevelType w:val="hybridMultilevel"/>
    <w:tmpl w:val="1B34E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A5643"/>
    <w:multiLevelType w:val="hybridMultilevel"/>
    <w:tmpl w:val="BC4640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105CA9"/>
    <w:multiLevelType w:val="hybridMultilevel"/>
    <w:tmpl w:val="58BC7B0C"/>
    <w:lvl w:ilvl="0" w:tplc="F5EACF64">
      <w:start w:val="1"/>
      <w:numFmt w:val="decimal"/>
      <w:pStyle w:val="ParagraphNumbering"/>
      <w:lvlText w:val="%1."/>
      <w:lvlJc w:val="left"/>
      <w:pPr>
        <w:tabs>
          <w:tab w:val="num" w:pos="1440"/>
        </w:tabs>
        <w:ind w:left="720" w:firstLine="0"/>
      </w:pPr>
      <w:rPr>
        <w:rFonts w:ascii="Segoe UI" w:eastAsia="SimSun" w:hAnsi="Segoe UI" w:cs="Segoe UI"/>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6381DB3"/>
    <w:multiLevelType w:val="hybridMultilevel"/>
    <w:tmpl w:val="30E4EE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E7BC6"/>
    <w:multiLevelType w:val="hybridMultilevel"/>
    <w:tmpl w:val="6B96E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D6943"/>
    <w:multiLevelType w:val="hybridMultilevel"/>
    <w:tmpl w:val="F61E8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67233"/>
    <w:multiLevelType w:val="hybridMultilevel"/>
    <w:tmpl w:val="CB24D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90040"/>
    <w:multiLevelType w:val="hybridMultilevel"/>
    <w:tmpl w:val="8B14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E2B20"/>
    <w:multiLevelType w:val="hybridMultilevel"/>
    <w:tmpl w:val="8B68A5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013165"/>
    <w:multiLevelType w:val="hybridMultilevel"/>
    <w:tmpl w:val="644E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A04B2"/>
    <w:multiLevelType w:val="hybridMultilevel"/>
    <w:tmpl w:val="E98AE2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0D4EEF"/>
    <w:multiLevelType w:val="hybridMultilevel"/>
    <w:tmpl w:val="E35CE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C777D1"/>
    <w:multiLevelType w:val="hybridMultilevel"/>
    <w:tmpl w:val="CA9EBE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2A4355"/>
    <w:multiLevelType w:val="hybridMultilevel"/>
    <w:tmpl w:val="CB6A56A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797156"/>
    <w:multiLevelType w:val="hybridMultilevel"/>
    <w:tmpl w:val="55A650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DEA5AC2"/>
    <w:multiLevelType w:val="hybridMultilevel"/>
    <w:tmpl w:val="02F4AD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82B05"/>
    <w:multiLevelType w:val="hybridMultilevel"/>
    <w:tmpl w:val="BF56DD0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5D1E46"/>
    <w:multiLevelType w:val="hybridMultilevel"/>
    <w:tmpl w:val="3CB0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274AC"/>
    <w:multiLevelType w:val="hybridMultilevel"/>
    <w:tmpl w:val="9B3832F2"/>
    <w:lvl w:ilvl="0" w:tplc="20000009">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C132196"/>
    <w:multiLevelType w:val="hybridMultilevel"/>
    <w:tmpl w:val="0FFCA8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FF8755C"/>
    <w:multiLevelType w:val="hybridMultilevel"/>
    <w:tmpl w:val="28663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82DAB"/>
    <w:multiLevelType w:val="hybridMultilevel"/>
    <w:tmpl w:val="9F261D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E96C83"/>
    <w:multiLevelType w:val="hybridMultilevel"/>
    <w:tmpl w:val="BCDA9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042F0F"/>
    <w:multiLevelType w:val="hybridMultilevel"/>
    <w:tmpl w:val="241E1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A1B11"/>
    <w:multiLevelType w:val="hybridMultilevel"/>
    <w:tmpl w:val="2D2EC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B1ACE"/>
    <w:multiLevelType w:val="hybridMultilevel"/>
    <w:tmpl w:val="04241D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E075A"/>
    <w:multiLevelType w:val="hybridMultilevel"/>
    <w:tmpl w:val="94EA42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61A6F"/>
    <w:multiLevelType w:val="hybridMultilevel"/>
    <w:tmpl w:val="A55ADC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E798B"/>
    <w:multiLevelType w:val="hybridMultilevel"/>
    <w:tmpl w:val="37066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216C22"/>
    <w:multiLevelType w:val="hybridMultilevel"/>
    <w:tmpl w:val="6AC0A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20558"/>
    <w:multiLevelType w:val="hybridMultilevel"/>
    <w:tmpl w:val="E4ECB34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1B8643B"/>
    <w:multiLevelType w:val="hybridMultilevel"/>
    <w:tmpl w:val="62DAE14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36C3CA4"/>
    <w:multiLevelType w:val="hybridMultilevel"/>
    <w:tmpl w:val="5B26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776B7"/>
    <w:multiLevelType w:val="hybridMultilevel"/>
    <w:tmpl w:val="4104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06E2C"/>
    <w:multiLevelType w:val="hybridMultilevel"/>
    <w:tmpl w:val="D78A88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2B1EC7"/>
    <w:multiLevelType w:val="hybridMultilevel"/>
    <w:tmpl w:val="D668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87012"/>
    <w:multiLevelType w:val="hybridMultilevel"/>
    <w:tmpl w:val="77E8A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CC0773"/>
    <w:multiLevelType w:val="hybridMultilevel"/>
    <w:tmpl w:val="0D582F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3224583">
    <w:abstractNumId w:val="22"/>
  </w:num>
  <w:num w:numId="2" w16cid:durableId="1275331239">
    <w:abstractNumId w:val="12"/>
  </w:num>
  <w:num w:numId="3" w16cid:durableId="83301910">
    <w:abstractNumId w:val="36"/>
  </w:num>
  <w:num w:numId="4" w16cid:durableId="1742364415">
    <w:abstractNumId w:val="6"/>
  </w:num>
  <w:num w:numId="5" w16cid:durableId="706295466">
    <w:abstractNumId w:val="25"/>
  </w:num>
  <w:num w:numId="6" w16cid:durableId="491944146">
    <w:abstractNumId w:val="27"/>
  </w:num>
  <w:num w:numId="7" w16cid:durableId="1468429700">
    <w:abstractNumId w:val="39"/>
  </w:num>
  <w:num w:numId="8" w16cid:durableId="658117719">
    <w:abstractNumId w:val="24"/>
  </w:num>
  <w:num w:numId="9" w16cid:durableId="1727877338">
    <w:abstractNumId w:val="34"/>
  </w:num>
  <w:num w:numId="10" w16cid:durableId="879896664">
    <w:abstractNumId w:val="32"/>
  </w:num>
  <w:num w:numId="11" w16cid:durableId="1538079515">
    <w:abstractNumId w:val="14"/>
  </w:num>
  <w:num w:numId="12" w16cid:durableId="709258253">
    <w:abstractNumId w:val="35"/>
  </w:num>
  <w:num w:numId="13" w16cid:durableId="1233080582">
    <w:abstractNumId w:val="7"/>
  </w:num>
  <w:num w:numId="14" w16cid:durableId="1952783027">
    <w:abstractNumId w:val="2"/>
  </w:num>
  <w:num w:numId="15" w16cid:durableId="1005085281">
    <w:abstractNumId w:val="29"/>
  </w:num>
  <w:num w:numId="16" w16cid:durableId="1159266714">
    <w:abstractNumId w:val="8"/>
  </w:num>
  <w:num w:numId="17" w16cid:durableId="407309589">
    <w:abstractNumId w:val="0"/>
  </w:num>
  <w:num w:numId="18" w16cid:durableId="685013743">
    <w:abstractNumId w:val="26"/>
  </w:num>
  <w:num w:numId="19" w16cid:durableId="671613403">
    <w:abstractNumId w:val="18"/>
  </w:num>
  <w:num w:numId="20" w16cid:durableId="1209610884">
    <w:abstractNumId w:val="11"/>
  </w:num>
  <w:num w:numId="21" w16cid:durableId="1864704241">
    <w:abstractNumId w:val="31"/>
  </w:num>
  <w:num w:numId="22" w16cid:durableId="1256743766">
    <w:abstractNumId w:val="5"/>
  </w:num>
  <w:num w:numId="23" w16cid:durableId="1922988409">
    <w:abstractNumId w:val="19"/>
  </w:num>
  <w:num w:numId="24" w16cid:durableId="44572044">
    <w:abstractNumId w:val="17"/>
  </w:num>
  <w:num w:numId="25" w16cid:durableId="1507591563">
    <w:abstractNumId w:val="15"/>
  </w:num>
  <w:num w:numId="26" w16cid:durableId="694385413">
    <w:abstractNumId w:val="23"/>
  </w:num>
  <w:num w:numId="27" w16cid:durableId="454761072">
    <w:abstractNumId w:val="28"/>
  </w:num>
  <w:num w:numId="28" w16cid:durableId="1965228212">
    <w:abstractNumId w:val="4"/>
  </w:num>
  <w:num w:numId="29" w16cid:durableId="733434848">
    <w:abstractNumId w:val="20"/>
  </w:num>
  <w:num w:numId="30" w16cid:durableId="1189418069">
    <w:abstractNumId w:val="16"/>
  </w:num>
  <w:num w:numId="31" w16cid:durableId="468714911">
    <w:abstractNumId w:val="10"/>
  </w:num>
  <w:num w:numId="32" w16cid:durableId="79180141">
    <w:abstractNumId w:val="3"/>
  </w:num>
  <w:num w:numId="33" w16cid:durableId="930359615">
    <w:abstractNumId w:val="21"/>
  </w:num>
  <w:num w:numId="34" w16cid:durableId="1338385489">
    <w:abstractNumId w:val="37"/>
  </w:num>
  <w:num w:numId="35" w16cid:durableId="119307660">
    <w:abstractNumId w:val="33"/>
  </w:num>
  <w:num w:numId="36" w16cid:durableId="2045054225">
    <w:abstractNumId w:val="1"/>
  </w:num>
  <w:num w:numId="37" w16cid:durableId="1900627047">
    <w:abstractNumId w:val="30"/>
  </w:num>
  <w:num w:numId="38" w16cid:durableId="1767848450">
    <w:abstractNumId w:val="9"/>
  </w:num>
  <w:num w:numId="39" w16cid:durableId="880827726">
    <w:abstractNumId w:val="13"/>
  </w:num>
  <w:num w:numId="40" w16cid:durableId="214553935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8F"/>
    <w:rsid w:val="00000CDE"/>
    <w:rsid w:val="00002CAE"/>
    <w:rsid w:val="000044C1"/>
    <w:rsid w:val="000045D5"/>
    <w:rsid w:val="00004B58"/>
    <w:rsid w:val="00004F9B"/>
    <w:rsid w:val="00007608"/>
    <w:rsid w:val="00007974"/>
    <w:rsid w:val="0001145B"/>
    <w:rsid w:val="00013FB9"/>
    <w:rsid w:val="000166DC"/>
    <w:rsid w:val="00016D2F"/>
    <w:rsid w:val="000179B1"/>
    <w:rsid w:val="00017CB6"/>
    <w:rsid w:val="00021EF0"/>
    <w:rsid w:val="000220C8"/>
    <w:rsid w:val="0002409B"/>
    <w:rsid w:val="000248F1"/>
    <w:rsid w:val="00024C64"/>
    <w:rsid w:val="000250D2"/>
    <w:rsid w:val="00025339"/>
    <w:rsid w:val="000255E7"/>
    <w:rsid w:val="0002649C"/>
    <w:rsid w:val="000317D8"/>
    <w:rsid w:val="00032045"/>
    <w:rsid w:val="000330E5"/>
    <w:rsid w:val="00034550"/>
    <w:rsid w:val="00036419"/>
    <w:rsid w:val="0003684F"/>
    <w:rsid w:val="000378E3"/>
    <w:rsid w:val="00037E8C"/>
    <w:rsid w:val="00037F89"/>
    <w:rsid w:val="00041512"/>
    <w:rsid w:val="00043EBD"/>
    <w:rsid w:val="000448C2"/>
    <w:rsid w:val="00044CB8"/>
    <w:rsid w:val="00044F5C"/>
    <w:rsid w:val="0004598C"/>
    <w:rsid w:val="00045C55"/>
    <w:rsid w:val="00046462"/>
    <w:rsid w:val="00050AE2"/>
    <w:rsid w:val="000510F3"/>
    <w:rsid w:val="0005120F"/>
    <w:rsid w:val="0005336E"/>
    <w:rsid w:val="0005380C"/>
    <w:rsid w:val="00053B57"/>
    <w:rsid w:val="0005437F"/>
    <w:rsid w:val="000551AB"/>
    <w:rsid w:val="00055D83"/>
    <w:rsid w:val="000562EB"/>
    <w:rsid w:val="00056ECB"/>
    <w:rsid w:val="00061D75"/>
    <w:rsid w:val="00062B27"/>
    <w:rsid w:val="0006344D"/>
    <w:rsid w:val="00063D51"/>
    <w:rsid w:val="000642D0"/>
    <w:rsid w:val="0006469F"/>
    <w:rsid w:val="000652CE"/>
    <w:rsid w:val="000654A7"/>
    <w:rsid w:val="00066102"/>
    <w:rsid w:val="00067A27"/>
    <w:rsid w:val="00070C06"/>
    <w:rsid w:val="000714CF"/>
    <w:rsid w:val="00071AD7"/>
    <w:rsid w:val="000734CF"/>
    <w:rsid w:val="00076286"/>
    <w:rsid w:val="0007630E"/>
    <w:rsid w:val="000764C6"/>
    <w:rsid w:val="00076CB4"/>
    <w:rsid w:val="0007704E"/>
    <w:rsid w:val="00077379"/>
    <w:rsid w:val="00080621"/>
    <w:rsid w:val="00080FF4"/>
    <w:rsid w:val="000812D6"/>
    <w:rsid w:val="000819D5"/>
    <w:rsid w:val="00083A91"/>
    <w:rsid w:val="000843D2"/>
    <w:rsid w:val="0008451E"/>
    <w:rsid w:val="0008585F"/>
    <w:rsid w:val="00086F00"/>
    <w:rsid w:val="00087B8C"/>
    <w:rsid w:val="000909DD"/>
    <w:rsid w:val="0009392C"/>
    <w:rsid w:val="00093D45"/>
    <w:rsid w:val="0009411F"/>
    <w:rsid w:val="00094528"/>
    <w:rsid w:val="000960B0"/>
    <w:rsid w:val="000A14F3"/>
    <w:rsid w:val="000A1512"/>
    <w:rsid w:val="000A20C5"/>
    <w:rsid w:val="000A286E"/>
    <w:rsid w:val="000A4DD6"/>
    <w:rsid w:val="000A5394"/>
    <w:rsid w:val="000A5A17"/>
    <w:rsid w:val="000A69B5"/>
    <w:rsid w:val="000A717A"/>
    <w:rsid w:val="000B0034"/>
    <w:rsid w:val="000B0736"/>
    <w:rsid w:val="000B0957"/>
    <w:rsid w:val="000B0F31"/>
    <w:rsid w:val="000B119C"/>
    <w:rsid w:val="000B1BF3"/>
    <w:rsid w:val="000B35EA"/>
    <w:rsid w:val="000B3F62"/>
    <w:rsid w:val="000B415F"/>
    <w:rsid w:val="000B56A8"/>
    <w:rsid w:val="000B5848"/>
    <w:rsid w:val="000B5ADA"/>
    <w:rsid w:val="000B5F56"/>
    <w:rsid w:val="000C0027"/>
    <w:rsid w:val="000C0609"/>
    <w:rsid w:val="000C1782"/>
    <w:rsid w:val="000C1A78"/>
    <w:rsid w:val="000C20E4"/>
    <w:rsid w:val="000C338F"/>
    <w:rsid w:val="000D136E"/>
    <w:rsid w:val="000D1BE9"/>
    <w:rsid w:val="000D2835"/>
    <w:rsid w:val="000D31CE"/>
    <w:rsid w:val="000D333B"/>
    <w:rsid w:val="000D4695"/>
    <w:rsid w:val="000D63C8"/>
    <w:rsid w:val="000D690F"/>
    <w:rsid w:val="000D7528"/>
    <w:rsid w:val="000E16EF"/>
    <w:rsid w:val="000E1F61"/>
    <w:rsid w:val="000E2CC5"/>
    <w:rsid w:val="000E2F4E"/>
    <w:rsid w:val="000E371B"/>
    <w:rsid w:val="000E3C3A"/>
    <w:rsid w:val="000E4A68"/>
    <w:rsid w:val="000E751B"/>
    <w:rsid w:val="000E7890"/>
    <w:rsid w:val="000F2EC5"/>
    <w:rsid w:val="000F3030"/>
    <w:rsid w:val="000F410A"/>
    <w:rsid w:val="000F5EEA"/>
    <w:rsid w:val="000F67D5"/>
    <w:rsid w:val="000F73AA"/>
    <w:rsid w:val="000F7556"/>
    <w:rsid w:val="00100836"/>
    <w:rsid w:val="0010095C"/>
    <w:rsid w:val="00102B9B"/>
    <w:rsid w:val="00103002"/>
    <w:rsid w:val="00106135"/>
    <w:rsid w:val="00107380"/>
    <w:rsid w:val="00107C61"/>
    <w:rsid w:val="00111D77"/>
    <w:rsid w:val="00112521"/>
    <w:rsid w:val="00114004"/>
    <w:rsid w:val="00114187"/>
    <w:rsid w:val="00115228"/>
    <w:rsid w:val="0011541A"/>
    <w:rsid w:val="00115E10"/>
    <w:rsid w:val="00116E5A"/>
    <w:rsid w:val="00122B7A"/>
    <w:rsid w:val="001234C0"/>
    <w:rsid w:val="001238A6"/>
    <w:rsid w:val="00125BAA"/>
    <w:rsid w:val="00126A8D"/>
    <w:rsid w:val="00130011"/>
    <w:rsid w:val="001309FD"/>
    <w:rsid w:val="00132A0B"/>
    <w:rsid w:val="0013341F"/>
    <w:rsid w:val="001336D1"/>
    <w:rsid w:val="00134064"/>
    <w:rsid w:val="00134284"/>
    <w:rsid w:val="001357D9"/>
    <w:rsid w:val="00136645"/>
    <w:rsid w:val="00136CE3"/>
    <w:rsid w:val="00142436"/>
    <w:rsid w:val="001427F1"/>
    <w:rsid w:val="00142D39"/>
    <w:rsid w:val="001456FE"/>
    <w:rsid w:val="00147423"/>
    <w:rsid w:val="00152F23"/>
    <w:rsid w:val="00156F0A"/>
    <w:rsid w:val="00160241"/>
    <w:rsid w:val="00160A36"/>
    <w:rsid w:val="0016122B"/>
    <w:rsid w:val="001613D0"/>
    <w:rsid w:val="00162D3A"/>
    <w:rsid w:val="00163387"/>
    <w:rsid w:val="001646B4"/>
    <w:rsid w:val="00164F75"/>
    <w:rsid w:val="00165258"/>
    <w:rsid w:val="00165970"/>
    <w:rsid w:val="00166CFC"/>
    <w:rsid w:val="00166F31"/>
    <w:rsid w:val="001675FA"/>
    <w:rsid w:val="00172886"/>
    <w:rsid w:val="00174205"/>
    <w:rsid w:val="001755C9"/>
    <w:rsid w:val="001756E5"/>
    <w:rsid w:val="00177C81"/>
    <w:rsid w:val="00180BD5"/>
    <w:rsid w:val="00183422"/>
    <w:rsid w:val="001857D9"/>
    <w:rsid w:val="00186D7B"/>
    <w:rsid w:val="001909A5"/>
    <w:rsid w:val="00190E2C"/>
    <w:rsid w:val="00191E94"/>
    <w:rsid w:val="0019254D"/>
    <w:rsid w:val="0019333F"/>
    <w:rsid w:val="0019370E"/>
    <w:rsid w:val="00193B29"/>
    <w:rsid w:val="0019400C"/>
    <w:rsid w:val="001943FE"/>
    <w:rsid w:val="00194C87"/>
    <w:rsid w:val="0019531F"/>
    <w:rsid w:val="00195B4A"/>
    <w:rsid w:val="00195DC7"/>
    <w:rsid w:val="001967E7"/>
    <w:rsid w:val="001A0F24"/>
    <w:rsid w:val="001A4956"/>
    <w:rsid w:val="001A56AB"/>
    <w:rsid w:val="001A59E5"/>
    <w:rsid w:val="001A5ACB"/>
    <w:rsid w:val="001A6365"/>
    <w:rsid w:val="001B20EA"/>
    <w:rsid w:val="001B210F"/>
    <w:rsid w:val="001B2B00"/>
    <w:rsid w:val="001B59D8"/>
    <w:rsid w:val="001C0302"/>
    <w:rsid w:val="001C1741"/>
    <w:rsid w:val="001C1A50"/>
    <w:rsid w:val="001C1FFD"/>
    <w:rsid w:val="001C226D"/>
    <w:rsid w:val="001C2C36"/>
    <w:rsid w:val="001C2DBE"/>
    <w:rsid w:val="001C3AFB"/>
    <w:rsid w:val="001C3D84"/>
    <w:rsid w:val="001C40E4"/>
    <w:rsid w:val="001C4710"/>
    <w:rsid w:val="001C485F"/>
    <w:rsid w:val="001C5E0F"/>
    <w:rsid w:val="001C639C"/>
    <w:rsid w:val="001C7DBF"/>
    <w:rsid w:val="001D07B6"/>
    <w:rsid w:val="001D1D17"/>
    <w:rsid w:val="001D261A"/>
    <w:rsid w:val="001D2FFE"/>
    <w:rsid w:val="001D2FFF"/>
    <w:rsid w:val="001D3E09"/>
    <w:rsid w:val="001D3F14"/>
    <w:rsid w:val="001D40EF"/>
    <w:rsid w:val="001D4A7B"/>
    <w:rsid w:val="001D4BA8"/>
    <w:rsid w:val="001E1406"/>
    <w:rsid w:val="001E192A"/>
    <w:rsid w:val="001E22DA"/>
    <w:rsid w:val="001E58A7"/>
    <w:rsid w:val="001E5EFE"/>
    <w:rsid w:val="001E6A8D"/>
    <w:rsid w:val="001E72A7"/>
    <w:rsid w:val="001F1FFC"/>
    <w:rsid w:val="001F220D"/>
    <w:rsid w:val="001F244B"/>
    <w:rsid w:val="001F3821"/>
    <w:rsid w:val="001F5FEE"/>
    <w:rsid w:val="001F6290"/>
    <w:rsid w:val="001F69AC"/>
    <w:rsid w:val="002009EE"/>
    <w:rsid w:val="00201A2D"/>
    <w:rsid w:val="00201C77"/>
    <w:rsid w:val="00201F8C"/>
    <w:rsid w:val="002044C7"/>
    <w:rsid w:val="00204FED"/>
    <w:rsid w:val="002056EF"/>
    <w:rsid w:val="002068C9"/>
    <w:rsid w:val="00206D66"/>
    <w:rsid w:val="0021050E"/>
    <w:rsid w:val="0021229F"/>
    <w:rsid w:val="002123C9"/>
    <w:rsid w:val="00214279"/>
    <w:rsid w:val="002159F9"/>
    <w:rsid w:val="00216630"/>
    <w:rsid w:val="002170FE"/>
    <w:rsid w:val="00217EAA"/>
    <w:rsid w:val="00217F9A"/>
    <w:rsid w:val="002207C5"/>
    <w:rsid w:val="0022104C"/>
    <w:rsid w:val="00221BB1"/>
    <w:rsid w:val="0022392D"/>
    <w:rsid w:val="00230D80"/>
    <w:rsid w:val="00231842"/>
    <w:rsid w:val="00232F21"/>
    <w:rsid w:val="0023534A"/>
    <w:rsid w:val="00235C92"/>
    <w:rsid w:val="00235FF0"/>
    <w:rsid w:val="00237488"/>
    <w:rsid w:val="00237E53"/>
    <w:rsid w:val="00242298"/>
    <w:rsid w:val="00243831"/>
    <w:rsid w:val="00243BC0"/>
    <w:rsid w:val="00243F50"/>
    <w:rsid w:val="00244023"/>
    <w:rsid w:val="002455B5"/>
    <w:rsid w:val="00245670"/>
    <w:rsid w:val="00245832"/>
    <w:rsid w:val="0024644E"/>
    <w:rsid w:val="002471AC"/>
    <w:rsid w:val="00247658"/>
    <w:rsid w:val="00250411"/>
    <w:rsid w:val="00250CBB"/>
    <w:rsid w:val="00251055"/>
    <w:rsid w:val="00251F91"/>
    <w:rsid w:val="00256042"/>
    <w:rsid w:val="00256115"/>
    <w:rsid w:val="002571D2"/>
    <w:rsid w:val="00257C30"/>
    <w:rsid w:val="00257DF2"/>
    <w:rsid w:val="002607CE"/>
    <w:rsid w:val="00263089"/>
    <w:rsid w:val="00263689"/>
    <w:rsid w:val="00264906"/>
    <w:rsid w:val="00264FAD"/>
    <w:rsid w:val="00265C51"/>
    <w:rsid w:val="00265F42"/>
    <w:rsid w:val="002664D7"/>
    <w:rsid w:val="002709BD"/>
    <w:rsid w:val="00271326"/>
    <w:rsid w:val="00271D23"/>
    <w:rsid w:val="00271E4D"/>
    <w:rsid w:val="00272BA5"/>
    <w:rsid w:val="00273F07"/>
    <w:rsid w:val="002746D9"/>
    <w:rsid w:val="00274702"/>
    <w:rsid w:val="00275674"/>
    <w:rsid w:val="00275711"/>
    <w:rsid w:val="002771E2"/>
    <w:rsid w:val="00280EFC"/>
    <w:rsid w:val="0028144F"/>
    <w:rsid w:val="00282181"/>
    <w:rsid w:val="00282BC8"/>
    <w:rsid w:val="002831F5"/>
    <w:rsid w:val="0028344B"/>
    <w:rsid w:val="00285561"/>
    <w:rsid w:val="00286EA2"/>
    <w:rsid w:val="002871B6"/>
    <w:rsid w:val="00287688"/>
    <w:rsid w:val="0028787D"/>
    <w:rsid w:val="00287E97"/>
    <w:rsid w:val="00290449"/>
    <w:rsid w:val="00291FE2"/>
    <w:rsid w:val="00292E57"/>
    <w:rsid w:val="00294AE4"/>
    <w:rsid w:val="00295A2B"/>
    <w:rsid w:val="00296DB1"/>
    <w:rsid w:val="002A0475"/>
    <w:rsid w:val="002A0900"/>
    <w:rsid w:val="002A1AAB"/>
    <w:rsid w:val="002A2625"/>
    <w:rsid w:val="002A2C01"/>
    <w:rsid w:val="002A3447"/>
    <w:rsid w:val="002A46BB"/>
    <w:rsid w:val="002A557C"/>
    <w:rsid w:val="002A59E0"/>
    <w:rsid w:val="002A65A8"/>
    <w:rsid w:val="002B0772"/>
    <w:rsid w:val="002B097A"/>
    <w:rsid w:val="002B19BB"/>
    <w:rsid w:val="002B298C"/>
    <w:rsid w:val="002B2E15"/>
    <w:rsid w:val="002B326C"/>
    <w:rsid w:val="002B33F6"/>
    <w:rsid w:val="002B49FA"/>
    <w:rsid w:val="002B60A4"/>
    <w:rsid w:val="002B6109"/>
    <w:rsid w:val="002B6AED"/>
    <w:rsid w:val="002B6C0A"/>
    <w:rsid w:val="002B7B57"/>
    <w:rsid w:val="002C0AB2"/>
    <w:rsid w:val="002C0DFD"/>
    <w:rsid w:val="002C1F5C"/>
    <w:rsid w:val="002C3197"/>
    <w:rsid w:val="002C5D35"/>
    <w:rsid w:val="002C6D20"/>
    <w:rsid w:val="002D1826"/>
    <w:rsid w:val="002D29E6"/>
    <w:rsid w:val="002D347E"/>
    <w:rsid w:val="002D609A"/>
    <w:rsid w:val="002E03B7"/>
    <w:rsid w:val="002E29B9"/>
    <w:rsid w:val="002E6453"/>
    <w:rsid w:val="002E7793"/>
    <w:rsid w:val="002F1100"/>
    <w:rsid w:val="002F15CE"/>
    <w:rsid w:val="002F1D7D"/>
    <w:rsid w:val="002F209D"/>
    <w:rsid w:val="002F28BD"/>
    <w:rsid w:val="002F3C08"/>
    <w:rsid w:val="002F3FAA"/>
    <w:rsid w:val="002F5155"/>
    <w:rsid w:val="002F525D"/>
    <w:rsid w:val="002F5AE2"/>
    <w:rsid w:val="002F60FD"/>
    <w:rsid w:val="002F7A86"/>
    <w:rsid w:val="002F7DE7"/>
    <w:rsid w:val="003020D6"/>
    <w:rsid w:val="0030345C"/>
    <w:rsid w:val="003044E7"/>
    <w:rsid w:val="00304F29"/>
    <w:rsid w:val="00305414"/>
    <w:rsid w:val="003054A4"/>
    <w:rsid w:val="00306303"/>
    <w:rsid w:val="00307A36"/>
    <w:rsid w:val="00307A50"/>
    <w:rsid w:val="00307BF1"/>
    <w:rsid w:val="00310A88"/>
    <w:rsid w:val="00310FDE"/>
    <w:rsid w:val="0031104F"/>
    <w:rsid w:val="00314542"/>
    <w:rsid w:val="00314F94"/>
    <w:rsid w:val="003156BB"/>
    <w:rsid w:val="00315F50"/>
    <w:rsid w:val="00320088"/>
    <w:rsid w:val="003208C9"/>
    <w:rsid w:val="00320D79"/>
    <w:rsid w:val="0032219A"/>
    <w:rsid w:val="00323713"/>
    <w:rsid w:val="00323FAD"/>
    <w:rsid w:val="00323FF3"/>
    <w:rsid w:val="00324127"/>
    <w:rsid w:val="00325C35"/>
    <w:rsid w:val="00325D8C"/>
    <w:rsid w:val="0032719A"/>
    <w:rsid w:val="00330621"/>
    <w:rsid w:val="00332E45"/>
    <w:rsid w:val="00333176"/>
    <w:rsid w:val="00334420"/>
    <w:rsid w:val="00334A3F"/>
    <w:rsid w:val="003351BE"/>
    <w:rsid w:val="003364D1"/>
    <w:rsid w:val="00336A52"/>
    <w:rsid w:val="00337E12"/>
    <w:rsid w:val="003422B8"/>
    <w:rsid w:val="00342FFB"/>
    <w:rsid w:val="00343CF4"/>
    <w:rsid w:val="00343E7A"/>
    <w:rsid w:val="0034546E"/>
    <w:rsid w:val="003456F3"/>
    <w:rsid w:val="003509CB"/>
    <w:rsid w:val="003509E7"/>
    <w:rsid w:val="00351A59"/>
    <w:rsid w:val="00352396"/>
    <w:rsid w:val="00352EED"/>
    <w:rsid w:val="003543D0"/>
    <w:rsid w:val="003546EA"/>
    <w:rsid w:val="00354D20"/>
    <w:rsid w:val="00355E40"/>
    <w:rsid w:val="00356B58"/>
    <w:rsid w:val="00356C15"/>
    <w:rsid w:val="00357C48"/>
    <w:rsid w:val="00357DB3"/>
    <w:rsid w:val="0036040E"/>
    <w:rsid w:val="00361742"/>
    <w:rsid w:val="00363D59"/>
    <w:rsid w:val="00363EDF"/>
    <w:rsid w:val="00364401"/>
    <w:rsid w:val="00365794"/>
    <w:rsid w:val="003659E8"/>
    <w:rsid w:val="0036715D"/>
    <w:rsid w:val="003673BE"/>
    <w:rsid w:val="00370757"/>
    <w:rsid w:val="00370768"/>
    <w:rsid w:val="00372337"/>
    <w:rsid w:val="00372368"/>
    <w:rsid w:val="00372CBD"/>
    <w:rsid w:val="003739A9"/>
    <w:rsid w:val="00373C6D"/>
    <w:rsid w:val="003740D2"/>
    <w:rsid w:val="00375CBB"/>
    <w:rsid w:val="00375E7A"/>
    <w:rsid w:val="003765A6"/>
    <w:rsid w:val="00376A5F"/>
    <w:rsid w:val="00380A51"/>
    <w:rsid w:val="00380DBD"/>
    <w:rsid w:val="00381AD2"/>
    <w:rsid w:val="003825E5"/>
    <w:rsid w:val="00384DC3"/>
    <w:rsid w:val="003931BD"/>
    <w:rsid w:val="0039370F"/>
    <w:rsid w:val="00393760"/>
    <w:rsid w:val="00394635"/>
    <w:rsid w:val="00394811"/>
    <w:rsid w:val="00395654"/>
    <w:rsid w:val="00396782"/>
    <w:rsid w:val="00397CE6"/>
    <w:rsid w:val="00397D24"/>
    <w:rsid w:val="00397FB5"/>
    <w:rsid w:val="003A0CB3"/>
    <w:rsid w:val="003A1809"/>
    <w:rsid w:val="003A370E"/>
    <w:rsid w:val="003A3CFE"/>
    <w:rsid w:val="003A473C"/>
    <w:rsid w:val="003A4D35"/>
    <w:rsid w:val="003A57A8"/>
    <w:rsid w:val="003A63EC"/>
    <w:rsid w:val="003A76A2"/>
    <w:rsid w:val="003B039D"/>
    <w:rsid w:val="003B0E67"/>
    <w:rsid w:val="003B0E99"/>
    <w:rsid w:val="003B21AC"/>
    <w:rsid w:val="003B2D0E"/>
    <w:rsid w:val="003B36F1"/>
    <w:rsid w:val="003B3768"/>
    <w:rsid w:val="003B5D32"/>
    <w:rsid w:val="003B7395"/>
    <w:rsid w:val="003B7489"/>
    <w:rsid w:val="003C1F60"/>
    <w:rsid w:val="003C2AB9"/>
    <w:rsid w:val="003C2F3D"/>
    <w:rsid w:val="003C50E5"/>
    <w:rsid w:val="003C5191"/>
    <w:rsid w:val="003C53D7"/>
    <w:rsid w:val="003C69F0"/>
    <w:rsid w:val="003C7396"/>
    <w:rsid w:val="003D284F"/>
    <w:rsid w:val="003D342D"/>
    <w:rsid w:val="003D36CD"/>
    <w:rsid w:val="003D45B6"/>
    <w:rsid w:val="003D50E8"/>
    <w:rsid w:val="003D6A3E"/>
    <w:rsid w:val="003D6FE5"/>
    <w:rsid w:val="003D73DA"/>
    <w:rsid w:val="003E0639"/>
    <w:rsid w:val="003E0B88"/>
    <w:rsid w:val="003E220C"/>
    <w:rsid w:val="003E222F"/>
    <w:rsid w:val="003E2D7D"/>
    <w:rsid w:val="003E3322"/>
    <w:rsid w:val="003E40FC"/>
    <w:rsid w:val="003E607B"/>
    <w:rsid w:val="003E6230"/>
    <w:rsid w:val="003E795E"/>
    <w:rsid w:val="003E7C6E"/>
    <w:rsid w:val="003F06BE"/>
    <w:rsid w:val="003F134E"/>
    <w:rsid w:val="003F1DB3"/>
    <w:rsid w:val="003F3322"/>
    <w:rsid w:val="003F38EC"/>
    <w:rsid w:val="003F44EF"/>
    <w:rsid w:val="003F6743"/>
    <w:rsid w:val="003F6DE4"/>
    <w:rsid w:val="003F7A89"/>
    <w:rsid w:val="00400F19"/>
    <w:rsid w:val="004010FD"/>
    <w:rsid w:val="00403651"/>
    <w:rsid w:val="00405589"/>
    <w:rsid w:val="00406894"/>
    <w:rsid w:val="00407E97"/>
    <w:rsid w:val="00410E54"/>
    <w:rsid w:val="004118DB"/>
    <w:rsid w:val="00411CEA"/>
    <w:rsid w:val="0041250A"/>
    <w:rsid w:val="004133E4"/>
    <w:rsid w:val="00414136"/>
    <w:rsid w:val="004145FE"/>
    <w:rsid w:val="00416BC2"/>
    <w:rsid w:val="004174BF"/>
    <w:rsid w:val="00417AB4"/>
    <w:rsid w:val="004222CD"/>
    <w:rsid w:val="00423A5B"/>
    <w:rsid w:val="00424089"/>
    <w:rsid w:val="004248EC"/>
    <w:rsid w:val="00424CEC"/>
    <w:rsid w:val="00425203"/>
    <w:rsid w:val="00426E3E"/>
    <w:rsid w:val="00427266"/>
    <w:rsid w:val="00427CBF"/>
    <w:rsid w:val="00431DDD"/>
    <w:rsid w:val="00432391"/>
    <w:rsid w:val="00433487"/>
    <w:rsid w:val="00434C4A"/>
    <w:rsid w:val="00436269"/>
    <w:rsid w:val="00440EC2"/>
    <w:rsid w:val="004432BB"/>
    <w:rsid w:val="0044388E"/>
    <w:rsid w:val="00444DC4"/>
    <w:rsid w:val="004455E9"/>
    <w:rsid w:val="0045053C"/>
    <w:rsid w:val="00452B4A"/>
    <w:rsid w:val="00454162"/>
    <w:rsid w:val="00456E9D"/>
    <w:rsid w:val="00460723"/>
    <w:rsid w:val="004608AF"/>
    <w:rsid w:val="00462C05"/>
    <w:rsid w:val="00462CC5"/>
    <w:rsid w:val="00462FE6"/>
    <w:rsid w:val="00463B14"/>
    <w:rsid w:val="0046578D"/>
    <w:rsid w:val="00465E88"/>
    <w:rsid w:val="004660BE"/>
    <w:rsid w:val="00467BF4"/>
    <w:rsid w:val="00467C42"/>
    <w:rsid w:val="0047119C"/>
    <w:rsid w:val="00472648"/>
    <w:rsid w:val="00473A2D"/>
    <w:rsid w:val="00473F49"/>
    <w:rsid w:val="00477108"/>
    <w:rsid w:val="00477895"/>
    <w:rsid w:val="00483092"/>
    <w:rsid w:val="004836CD"/>
    <w:rsid w:val="00485AA5"/>
    <w:rsid w:val="00485E31"/>
    <w:rsid w:val="00485F3D"/>
    <w:rsid w:val="0048671D"/>
    <w:rsid w:val="00487EE6"/>
    <w:rsid w:val="004906D4"/>
    <w:rsid w:val="0049151D"/>
    <w:rsid w:val="0049226B"/>
    <w:rsid w:val="00494F21"/>
    <w:rsid w:val="00495D5A"/>
    <w:rsid w:val="00496C39"/>
    <w:rsid w:val="004974C8"/>
    <w:rsid w:val="00497571"/>
    <w:rsid w:val="004A14A9"/>
    <w:rsid w:val="004A1D96"/>
    <w:rsid w:val="004A1E15"/>
    <w:rsid w:val="004A3A77"/>
    <w:rsid w:val="004A4099"/>
    <w:rsid w:val="004A40A0"/>
    <w:rsid w:val="004A615A"/>
    <w:rsid w:val="004A761B"/>
    <w:rsid w:val="004B09B6"/>
    <w:rsid w:val="004B0D8F"/>
    <w:rsid w:val="004B184F"/>
    <w:rsid w:val="004B4E31"/>
    <w:rsid w:val="004B5296"/>
    <w:rsid w:val="004B65F7"/>
    <w:rsid w:val="004B6974"/>
    <w:rsid w:val="004B765E"/>
    <w:rsid w:val="004C0CB6"/>
    <w:rsid w:val="004C1EF3"/>
    <w:rsid w:val="004C3212"/>
    <w:rsid w:val="004C3CF9"/>
    <w:rsid w:val="004C5DE3"/>
    <w:rsid w:val="004C5FFA"/>
    <w:rsid w:val="004C679C"/>
    <w:rsid w:val="004C736B"/>
    <w:rsid w:val="004C799A"/>
    <w:rsid w:val="004D143E"/>
    <w:rsid w:val="004D2CF0"/>
    <w:rsid w:val="004D337C"/>
    <w:rsid w:val="004D4B6A"/>
    <w:rsid w:val="004D59D8"/>
    <w:rsid w:val="004D6AD4"/>
    <w:rsid w:val="004D70EE"/>
    <w:rsid w:val="004E10BE"/>
    <w:rsid w:val="004E37E9"/>
    <w:rsid w:val="004E3C9D"/>
    <w:rsid w:val="004E44AA"/>
    <w:rsid w:val="004E5891"/>
    <w:rsid w:val="004E5A6C"/>
    <w:rsid w:val="004E7586"/>
    <w:rsid w:val="004F143A"/>
    <w:rsid w:val="004F32BD"/>
    <w:rsid w:val="004F3767"/>
    <w:rsid w:val="004F39BC"/>
    <w:rsid w:val="004F4597"/>
    <w:rsid w:val="004F5C05"/>
    <w:rsid w:val="004F5F0E"/>
    <w:rsid w:val="004F6483"/>
    <w:rsid w:val="004F6632"/>
    <w:rsid w:val="00502AE9"/>
    <w:rsid w:val="00503509"/>
    <w:rsid w:val="00503A48"/>
    <w:rsid w:val="00503C0C"/>
    <w:rsid w:val="00503D4D"/>
    <w:rsid w:val="00503E21"/>
    <w:rsid w:val="0050589E"/>
    <w:rsid w:val="0050606A"/>
    <w:rsid w:val="00507787"/>
    <w:rsid w:val="00507AAA"/>
    <w:rsid w:val="005112DC"/>
    <w:rsid w:val="00511FAF"/>
    <w:rsid w:val="00514975"/>
    <w:rsid w:val="00515959"/>
    <w:rsid w:val="00515AF4"/>
    <w:rsid w:val="00523EA1"/>
    <w:rsid w:val="00524E2C"/>
    <w:rsid w:val="00524F24"/>
    <w:rsid w:val="00526240"/>
    <w:rsid w:val="005307B0"/>
    <w:rsid w:val="00530B2D"/>
    <w:rsid w:val="00530BCA"/>
    <w:rsid w:val="005311C4"/>
    <w:rsid w:val="0053130C"/>
    <w:rsid w:val="00532787"/>
    <w:rsid w:val="005369C3"/>
    <w:rsid w:val="0053760D"/>
    <w:rsid w:val="00537B8C"/>
    <w:rsid w:val="005406DB"/>
    <w:rsid w:val="00540E69"/>
    <w:rsid w:val="00541A4E"/>
    <w:rsid w:val="00542064"/>
    <w:rsid w:val="005430D5"/>
    <w:rsid w:val="00543AE5"/>
    <w:rsid w:val="0054421C"/>
    <w:rsid w:val="00546841"/>
    <w:rsid w:val="00547BEF"/>
    <w:rsid w:val="00547E36"/>
    <w:rsid w:val="005501D7"/>
    <w:rsid w:val="00550E53"/>
    <w:rsid w:val="00550F7D"/>
    <w:rsid w:val="00551716"/>
    <w:rsid w:val="005526C3"/>
    <w:rsid w:val="005532AA"/>
    <w:rsid w:val="00554652"/>
    <w:rsid w:val="00554B65"/>
    <w:rsid w:val="00554D2B"/>
    <w:rsid w:val="00554F2C"/>
    <w:rsid w:val="00557B91"/>
    <w:rsid w:val="005603C5"/>
    <w:rsid w:val="00561B63"/>
    <w:rsid w:val="00562F89"/>
    <w:rsid w:val="00563FB5"/>
    <w:rsid w:val="00564D1A"/>
    <w:rsid w:val="00564E01"/>
    <w:rsid w:val="00565669"/>
    <w:rsid w:val="00565836"/>
    <w:rsid w:val="005659F3"/>
    <w:rsid w:val="00566320"/>
    <w:rsid w:val="0056790D"/>
    <w:rsid w:val="00567EBA"/>
    <w:rsid w:val="00572095"/>
    <w:rsid w:val="00572F35"/>
    <w:rsid w:val="00573235"/>
    <w:rsid w:val="00573578"/>
    <w:rsid w:val="00574FE5"/>
    <w:rsid w:val="00575EE4"/>
    <w:rsid w:val="00576E1F"/>
    <w:rsid w:val="00577024"/>
    <w:rsid w:val="005771C8"/>
    <w:rsid w:val="005806A6"/>
    <w:rsid w:val="00580868"/>
    <w:rsid w:val="005809AC"/>
    <w:rsid w:val="00580A60"/>
    <w:rsid w:val="00580EEF"/>
    <w:rsid w:val="005815C2"/>
    <w:rsid w:val="00582962"/>
    <w:rsid w:val="00582D13"/>
    <w:rsid w:val="00583CE8"/>
    <w:rsid w:val="00584031"/>
    <w:rsid w:val="00586422"/>
    <w:rsid w:val="005864F2"/>
    <w:rsid w:val="005878A1"/>
    <w:rsid w:val="00587D8E"/>
    <w:rsid w:val="00590E63"/>
    <w:rsid w:val="00591527"/>
    <w:rsid w:val="00591B4B"/>
    <w:rsid w:val="00591BAC"/>
    <w:rsid w:val="0059271D"/>
    <w:rsid w:val="0059283A"/>
    <w:rsid w:val="005933FD"/>
    <w:rsid w:val="00593970"/>
    <w:rsid w:val="005942C0"/>
    <w:rsid w:val="0059553F"/>
    <w:rsid w:val="00595C39"/>
    <w:rsid w:val="005964B1"/>
    <w:rsid w:val="005A2A9A"/>
    <w:rsid w:val="005A2FE0"/>
    <w:rsid w:val="005A36FB"/>
    <w:rsid w:val="005A3DB6"/>
    <w:rsid w:val="005A5782"/>
    <w:rsid w:val="005A5DC5"/>
    <w:rsid w:val="005A6163"/>
    <w:rsid w:val="005A61E5"/>
    <w:rsid w:val="005A76BC"/>
    <w:rsid w:val="005A774C"/>
    <w:rsid w:val="005A7AD1"/>
    <w:rsid w:val="005B1ACA"/>
    <w:rsid w:val="005B372A"/>
    <w:rsid w:val="005B4C25"/>
    <w:rsid w:val="005B4F45"/>
    <w:rsid w:val="005B6241"/>
    <w:rsid w:val="005B67C6"/>
    <w:rsid w:val="005B6BEF"/>
    <w:rsid w:val="005B7F1D"/>
    <w:rsid w:val="005C1045"/>
    <w:rsid w:val="005C19BC"/>
    <w:rsid w:val="005C40C6"/>
    <w:rsid w:val="005C4332"/>
    <w:rsid w:val="005C5CD2"/>
    <w:rsid w:val="005C5F30"/>
    <w:rsid w:val="005C6C14"/>
    <w:rsid w:val="005C6C74"/>
    <w:rsid w:val="005C74B7"/>
    <w:rsid w:val="005C7A0F"/>
    <w:rsid w:val="005D0A50"/>
    <w:rsid w:val="005D1923"/>
    <w:rsid w:val="005D26C7"/>
    <w:rsid w:val="005D2F3C"/>
    <w:rsid w:val="005D4539"/>
    <w:rsid w:val="005D7436"/>
    <w:rsid w:val="005D7A79"/>
    <w:rsid w:val="005D7AE5"/>
    <w:rsid w:val="005D7BDA"/>
    <w:rsid w:val="005D7DA0"/>
    <w:rsid w:val="005E0159"/>
    <w:rsid w:val="005E04C9"/>
    <w:rsid w:val="005E0E74"/>
    <w:rsid w:val="005E1B02"/>
    <w:rsid w:val="005E357E"/>
    <w:rsid w:val="005E3AED"/>
    <w:rsid w:val="005E466E"/>
    <w:rsid w:val="005E5215"/>
    <w:rsid w:val="005E5E80"/>
    <w:rsid w:val="005E61E4"/>
    <w:rsid w:val="005E64B6"/>
    <w:rsid w:val="005E6A12"/>
    <w:rsid w:val="005E7298"/>
    <w:rsid w:val="005E766E"/>
    <w:rsid w:val="005F070B"/>
    <w:rsid w:val="005F235A"/>
    <w:rsid w:val="005F341A"/>
    <w:rsid w:val="005F3AB1"/>
    <w:rsid w:val="005F4808"/>
    <w:rsid w:val="005F484A"/>
    <w:rsid w:val="005F7BE8"/>
    <w:rsid w:val="00600D0A"/>
    <w:rsid w:val="00602349"/>
    <w:rsid w:val="00603D0F"/>
    <w:rsid w:val="00604BD4"/>
    <w:rsid w:val="00605F66"/>
    <w:rsid w:val="00607B06"/>
    <w:rsid w:val="006107EF"/>
    <w:rsid w:val="00611111"/>
    <w:rsid w:val="0061113E"/>
    <w:rsid w:val="00611FAF"/>
    <w:rsid w:val="00612A70"/>
    <w:rsid w:val="00612CDA"/>
    <w:rsid w:val="0061367B"/>
    <w:rsid w:val="00613B69"/>
    <w:rsid w:val="00614274"/>
    <w:rsid w:val="006163F8"/>
    <w:rsid w:val="00621509"/>
    <w:rsid w:val="0062170F"/>
    <w:rsid w:val="006217B1"/>
    <w:rsid w:val="00621956"/>
    <w:rsid w:val="00621A52"/>
    <w:rsid w:val="00622271"/>
    <w:rsid w:val="00622872"/>
    <w:rsid w:val="006230D7"/>
    <w:rsid w:val="00624DCD"/>
    <w:rsid w:val="006273E3"/>
    <w:rsid w:val="00627EAB"/>
    <w:rsid w:val="0063149A"/>
    <w:rsid w:val="006327AA"/>
    <w:rsid w:val="00633903"/>
    <w:rsid w:val="00635984"/>
    <w:rsid w:val="00635E67"/>
    <w:rsid w:val="00635E76"/>
    <w:rsid w:val="00636C8A"/>
    <w:rsid w:val="00636DC9"/>
    <w:rsid w:val="006379C2"/>
    <w:rsid w:val="00637E2D"/>
    <w:rsid w:val="00640441"/>
    <w:rsid w:val="00642688"/>
    <w:rsid w:val="00642DF9"/>
    <w:rsid w:val="00643448"/>
    <w:rsid w:val="0064440F"/>
    <w:rsid w:val="00644714"/>
    <w:rsid w:val="00644A7C"/>
    <w:rsid w:val="00645107"/>
    <w:rsid w:val="00646742"/>
    <w:rsid w:val="00650996"/>
    <w:rsid w:val="0065139B"/>
    <w:rsid w:val="0065172B"/>
    <w:rsid w:val="0065316C"/>
    <w:rsid w:val="006532BC"/>
    <w:rsid w:val="006542C4"/>
    <w:rsid w:val="00654759"/>
    <w:rsid w:val="0065557E"/>
    <w:rsid w:val="006564A3"/>
    <w:rsid w:val="0065680E"/>
    <w:rsid w:val="00656E72"/>
    <w:rsid w:val="00657D70"/>
    <w:rsid w:val="00660E4F"/>
    <w:rsid w:val="00660E8D"/>
    <w:rsid w:val="006618F1"/>
    <w:rsid w:val="00661DAF"/>
    <w:rsid w:val="0066225E"/>
    <w:rsid w:val="00663A5A"/>
    <w:rsid w:val="006647CF"/>
    <w:rsid w:val="00664981"/>
    <w:rsid w:val="00664FB0"/>
    <w:rsid w:val="006700E4"/>
    <w:rsid w:val="00670532"/>
    <w:rsid w:val="006724E1"/>
    <w:rsid w:val="00675746"/>
    <w:rsid w:val="00676142"/>
    <w:rsid w:val="00676BE9"/>
    <w:rsid w:val="00676FE2"/>
    <w:rsid w:val="00677427"/>
    <w:rsid w:val="0067751E"/>
    <w:rsid w:val="00681AB3"/>
    <w:rsid w:val="0068241F"/>
    <w:rsid w:val="006842BC"/>
    <w:rsid w:val="00684C76"/>
    <w:rsid w:val="00685E77"/>
    <w:rsid w:val="00686875"/>
    <w:rsid w:val="006871D4"/>
    <w:rsid w:val="00687B87"/>
    <w:rsid w:val="00690B1D"/>
    <w:rsid w:val="00692BCB"/>
    <w:rsid w:val="00692BE8"/>
    <w:rsid w:val="00692F2D"/>
    <w:rsid w:val="0069383A"/>
    <w:rsid w:val="006941FC"/>
    <w:rsid w:val="00694C35"/>
    <w:rsid w:val="00695244"/>
    <w:rsid w:val="00695A06"/>
    <w:rsid w:val="0069649D"/>
    <w:rsid w:val="00696737"/>
    <w:rsid w:val="00697DB8"/>
    <w:rsid w:val="006A01A7"/>
    <w:rsid w:val="006A1344"/>
    <w:rsid w:val="006A2AD8"/>
    <w:rsid w:val="006A3417"/>
    <w:rsid w:val="006A38CB"/>
    <w:rsid w:val="006A5BCA"/>
    <w:rsid w:val="006A5FC8"/>
    <w:rsid w:val="006A64A8"/>
    <w:rsid w:val="006A6C8F"/>
    <w:rsid w:val="006A6DAA"/>
    <w:rsid w:val="006A6FBB"/>
    <w:rsid w:val="006A7935"/>
    <w:rsid w:val="006A7E3A"/>
    <w:rsid w:val="006B0D77"/>
    <w:rsid w:val="006B2FA2"/>
    <w:rsid w:val="006B3214"/>
    <w:rsid w:val="006B5ACC"/>
    <w:rsid w:val="006B6947"/>
    <w:rsid w:val="006C08C1"/>
    <w:rsid w:val="006C2E9A"/>
    <w:rsid w:val="006C30F2"/>
    <w:rsid w:val="006C78AA"/>
    <w:rsid w:val="006D030D"/>
    <w:rsid w:val="006D2B07"/>
    <w:rsid w:val="006D35BE"/>
    <w:rsid w:val="006D3E43"/>
    <w:rsid w:val="006D4271"/>
    <w:rsid w:val="006D5988"/>
    <w:rsid w:val="006D6F6A"/>
    <w:rsid w:val="006D7B12"/>
    <w:rsid w:val="006D7CC3"/>
    <w:rsid w:val="006E487D"/>
    <w:rsid w:val="006E49C0"/>
    <w:rsid w:val="006E5CED"/>
    <w:rsid w:val="006E6679"/>
    <w:rsid w:val="006E747F"/>
    <w:rsid w:val="006F0520"/>
    <w:rsid w:val="006F2FBF"/>
    <w:rsid w:val="006F31B9"/>
    <w:rsid w:val="006F357C"/>
    <w:rsid w:val="006F4C05"/>
    <w:rsid w:val="006F5F06"/>
    <w:rsid w:val="006F6142"/>
    <w:rsid w:val="006F7319"/>
    <w:rsid w:val="0070037B"/>
    <w:rsid w:val="0070152D"/>
    <w:rsid w:val="00702FC8"/>
    <w:rsid w:val="00703534"/>
    <w:rsid w:val="00703CC1"/>
    <w:rsid w:val="007043CE"/>
    <w:rsid w:val="00707075"/>
    <w:rsid w:val="00711454"/>
    <w:rsid w:val="007115D0"/>
    <w:rsid w:val="00712F33"/>
    <w:rsid w:val="0071303E"/>
    <w:rsid w:val="007134BF"/>
    <w:rsid w:val="00714110"/>
    <w:rsid w:val="00715481"/>
    <w:rsid w:val="00716512"/>
    <w:rsid w:val="00717851"/>
    <w:rsid w:val="00723E31"/>
    <w:rsid w:val="00724158"/>
    <w:rsid w:val="007252D4"/>
    <w:rsid w:val="00725FAC"/>
    <w:rsid w:val="00727A32"/>
    <w:rsid w:val="00730E92"/>
    <w:rsid w:val="007323DA"/>
    <w:rsid w:val="0073415A"/>
    <w:rsid w:val="0073488E"/>
    <w:rsid w:val="00735560"/>
    <w:rsid w:val="0073739E"/>
    <w:rsid w:val="0073748F"/>
    <w:rsid w:val="00737569"/>
    <w:rsid w:val="00741C4B"/>
    <w:rsid w:val="007422C2"/>
    <w:rsid w:val="007423D5"/>
    <w:rsid w:val="00742644"/>
    <w:rsid w:val="00742FBB"/>
    <w:rsid w:val="0074307F"/>
    <w:rsid w:val="00743961"/>
    <w:rsid w:val="00744BC7"/>
    <w:rsid w:val="007456AE"/>
    <w:rsid w:val="00745D48"/>
    <w:rsid w:val="00747861"/>
    <w:rsid w:val="007502BF"/>
    <w:rsid w:val="0075123F"/>
    <w:rsid w:val="00752365"/>
    <w:rsid w:val="007524A8"/>
    <w:rsid w:val="007538C0"/>
    <w:rsid w:val="00753E01"/>
    <w:rsid w:val="007545D7"/>
    <w:rsid w:val="00755026"/>
    <w:rsid w:val="007569B3"/>
    <w:rsid w:val="00756C63"/>
    <w:rsid w:val="00756F71"/>
    <w:rsid w:val="00757623"/>
    <w:rsid w:val="00757E42"/>
    <w:rsid w:val="00757F05"/>
    <w:rsid w:val="0076446D"/>
    <w:rsid w:val="00765D44"/>
    <w:rsid w:val="00767C8C"/>
    <w:rsid w:val="00770430"/>
    <w:rsid w:val="00770489"/>
    <w:rsid w:val="00771367"/>
    <w:rsid w:val="0077181A"/>
    <w:rsid w:val="00771DBE"/>
    <w:rsid w:val="00773B58"/>
    <w:rsid w:val="007742E0"/>
    <w:rsid w:val="00774AD6"/>
    <w:rsid w:val="00774C47"/>
    <w:rsid w:val="00777932"/>
    <w:rsid w:val="0078264D"/>
    <w:rsid w:val="00783BCB"/>
    <w:rsid w:val="007846C2"/>
    <w:rsid w:val="00786D80"/>
    <w:rsid w:val="00792A36"/>
    <w:rsid w:val="00792DCD"/>
    <w:rsid w:val="00793518"/>
    <w:rsid w:val="007940A0"/>
    <w:rsid w:val="007941C6"/>
    <w:rsid w:val="0079544D"/>
    <w:rsid w:val="007960A7"/>
    <w:rsid w:val="007A06EA"/>
    <w:rsid w:val="007A5DB2"/>
    <w:rsid w:val="007A6145"/>
    <w:rsid w:val="007B026C"/>
    <w:rsid w:val="007B0312"/>
    <w:rsid w:val="007B0F94"/>
    <w:rsid w:val="007B1D0F"/>
    <w:rsid w:val="007B2956"/>
    <w:rsid w:val="007B2A4F"/>
    <w:rsid w:val="007B32B7"/>
    <w:rsid w:val="007B38D5"/>
    <w:rsid w:val="007B3F3B"/>
    <w:rsid w:val="007B52C7"/>
    <w:rsid w:val="007B5A34"/>
    <w:rsid w:val="007B635A"/>
    <w:rsid w:val="007B6491"/>
    <w:rsid w:val="007B7521"/>
    <w:rsid w:val="007B78E4"/>
    <w:rsid w:val="007C0C8A"/>
    <w:rsid w:val="007C1164"/>
    <w:rsid w:val="007C1DF1"/>
    <w:rsid w:val="007C1F2A"/>
    <w:rsid w:val="007C248E"/>
    <w:rsid w:val="007C2DFE"/>
    <w:rsid w:val="007C4590"/>
    <w:rsid w:val="007C5739"/>
    <w:rsid w:val="007C7392"/>
    <w:rsid w:val="007C76FD"/>
    <w:rsid w:val="007C7A40"/>
    <w:rsid w:val="007D0709"/>
    <w:rsid w:val="007D132E"/>
    <w:rsid w:val="007D1627"/>
    <w:rsid w:val="007D4B53"/>
    <w:rsid w:val="007D527C"/>
    <w:rsid w:val="007D5B7D"/>
    <w:rsid w:val="007D68B1"/>
    <w:rsid w:val="007E283F"/>
    <w:rsid w:val="007E3F7F"/>
    <w:rsid w:val="007E52B3"/>
    <w:rsid w:val="007E5AF0"/>
    <w:rsid w:val="007E640F"/>
    <w:rsid w:val="007E6CA4"/>
    <w:rsid w:val="007E6F3A"/>
    <w:rsid w:val="007E73ED"/>
    <w:rsid w:val="007E7F8B"/>
    <w:rsid w:val="007F0155"/>
    <w:rsid w:val="007F016C"/>
    <w:rsid w:val="007F2DBF"/>
    <w:rsid w:val="007F63FE"/>
    <w:rsid w:val="007F75F4"/>
    <w:rsid w:val="008002FD"/>
    <w:rsid w:val="0080045B"/>
    <w:rsid w:val="00800706"/>
    <w:rsid w:val="0080117F"/>
    <w:rsid w:val="00801B9E"/>
    <w:rsid w:val="00803BA6"/>
    <w:rsid w:val="00803FB3"/>
    <w:rsid w:val="00804119"/>
    <w:rsid w:val="008045B2"/>
    <w:rsid w:val="00805EEF"/>
    <w:rsid w:val="008079C5"/>
    <w:rsid w:val="00807A2C"/>
    <w:rsid w:val="00810128"/>
    <w:rsid w:val="008104DC"/>
    <w:rsid w:val="00810E3C"/>
    <w:rsid w:val="00813A3C"/>
    <w:rsid w:val="00813B3F"/>
    <w:rsid w:val="00814445"/>
    <w:rsid w:val="008155A2"/>
    <w:rsid w:val="008170DA"/>
    <w:rsid w:val="00822886"/>
    <w:rsid w:val="00825E34"/>
    <w:rsid w:val="00826324"/>
    <w:rsid w:val="008273EA"/>
    <w:rsid w:val="008277C8"/>
    <w:rsid w:val="00827B78"/>
    <w:rsid w:val="008309B3"/>
    <w:rsid w:val="008315D8"/>
    <w:rsid w:val="00831C68"/>
    <w:rsid w:val="008326D4"/>
    <w:rsid w:val="008330AA"/>
    <w:rsid w:val="0083420C"/>
    <w:rsid w:val="00834590"/>
    <w:rsid w:val="00834F00"/>
    <w:rsid w:val="00835794"/>
    <w:rsid w:val="00836520"/>
    <w:rsid w:val="00836CBE"/>
    <w:rsid w:val="008376DF"/>
    <w:rsid w:val="00840487"/>
    <w:rsid w:val="00840D71"/>
    <w:rsid w:val="00841F1D"/>
    <w:rsid w:val="00843400"/>
    <w:rsid w:val="008445C1"/>
    <w:rsid w:val="008468E9"/>
    <w:rsid w:val="008470A1"/>
    <w:rsid w:val="00847CD1"/>
    <w:rsid w:val="00850225"/>
    <w:rsid w:val="008502F1"/>
    <w:rsid w:val="008503BC"/>
    <w:rsid w:val="008520E7"/>
    <w:rsid w:val="00853C35"/>
    <w:rsid w:val="008552C2"/>
    <w:rsid w:val="00855FEF"/>
    <w:rsid w:val="0085612D"/>
    <w:rsid w:val="0085662D"/>
    <w:rsid w:val="00856EA4"/>
    <w:rsid w:val="00857C9B"/>
    <w:rsid w:val="00861119"/>
    <w:rsid w:val="00864AAE"/>
    <w:rsid w:val="00866520"/>
    <w:rsid w:val="00866A7A"/>
    <w:rsid w:val="00867A30"/>
    <w:rsid w:val="00870DDF"/>
    <w:rsid w:val="0087143B"/>
    <w:rsid w:val="00872215"/>
    <w:rsid w:val="008722D8"/>
    <w:rsid w:val="008737E8"/>
    <w:rsid w:val="00873868"/>
    <w:rsid w:val="00875036"/>
    <w:rsid w:val="00877901"/>
    <w:rsid w:val="00880BF6"/>
    <w:rsid w:val="00880EA3"/>
    <w:rsid w:val="008829F5"/>
    <w:rsid w:val="008832EA"/>
    <w:rsid w:val="00883642"/>
    <w:rsid w:val="00883AB9"/>
    <w:rsid w:val="00885345"/>
    <w:rsid w:val="008853C6"/>
    <w:rsid w:val="008871E3"/>
    <w:rsid w:val="00890135"/>
    <w:rsid w:val="008909AB"/>
    <w:rsid w:val="00892379"/>
    <w:rsid w:val="008931CF"/>
    <w:rsid w:val="00893614"/>
    <w:rsid w:val="008949D8"/>
    <w:rsid w:val="00895F7D"/>
    <w:rsid w:val="00895FC8"/>
    <w:rsid w:val="008965B7"/>
    <w:rsid w:val="00896CCA"/>
    <w:rsid w:val="00897151"/>
    <w:rsid w:val="00897767"/>
    <w:rsid w:val="008A0121"/>
    <w:rsid w:val="008A01A4"/>
    <w:rsid w:val="008A22BB"/>
    <w:rsid w:val="008A26C2"/>
    <w:rsid w:val="008A32A0"/>
    <w:rsid w:val="008A334A"/>
    <w:rsid w:val="008A418F"/>
    <w:rsid w:val="008A4E26"/>
    <w:rsid w:val="008A78D3"/>
    <w:rsid w:val="008B0518"/>
    <w:rsid w:val="008B1A0C"/>
    <w:rsid w:val="008B2BDC"/>
    <w:rsid w:val="008B338F"/>
    <w:rsid w:val="008B69BF"/>
    <w:rsid w:val="008B72F6"/>
    <w:rsid w:val="008B7470"/>
    <w:rsid w:val="008C1190"/>
    <w:rsid w:val="008C1207"/>
    <w:rsid w:val="008C2112"/>
    <w:rsid w:val="008C4333"/>
    <w:rsid w:val="008C4B43"/>
    <w:rsid w:val="008C5877"/>
    <w:rsid w:val="008C5B09"/>
    <w:rsid w:val="008C6B4A"/>
    <w:rsid w:val="008D0CFE"/>
    <w:rsid w:val="008D34A3"/>
    <w:rsid w:val="008D565B"/>
    <w:rsid w:val="008D68E0"/>
    <w:rsid w:val="008D73DD"/>
    <w:rsid w:val="008E06DE"/>
    <w:rsid w:val="008E0D45"/>
    <w:rsid w:val="008E1949"/>
    <w:rsid w:val="008E2A0F"/>
    <w:rsid w:val="008E2E52"/>
    <w:rsid w:val="008E35E2"/>
    <w:rsid w:val="008E454E"/>
    <w:rsid w:val="008E507A"/>
    <w:rsid w:val="008E5BA7"/>
    <w:rsid w:val="008E5D21"/>
    <w:rsid w:val="008F00A5"/>
    <w:rsid w:val="008F088A"/>
    <w:rsid w:val="008F0F94"/>
    <w:rsid w:val="008F2748"/>
    <w:rsid w:val="008F2DA2"/>
    <w:rsid w:val="008F4A7E"/>
    <w:rsid w:val="008F5347"/>
    <w:rsid w:val="008F7AF5"/>
    <w:rsid w:val="0090285F"/>
    <w:rsid w:val="00902F43"/>
    <w:rsid w:val="0090481B"/>
    <w:rsid w:val="00905562"/>
    <w:rsid w:val="00905C0A"/>
    <w:rsid w:val="00905E2E"/>
    <w:rsid w:val="009063E4"/>
    <w:rsid w:val="00910263"/>
    <w:rsid w:val="00910812"/>
    <w:rsid w:val="00910B38"/>
    <w:rsid w:val="009140F6"/>
    <w:rsid w:val="0092048F"/>
    <w:rsid w:val="009215F2"/>
    <w:rsid w:val="009218C6"/>
    <w:rsid w:val="00923467"/>
    <w:rsid w:val="00924A8F"/>
    <w:rsid w:val="00924F2F"/>
    <w:rsid w:val="009300BC"/>
    <w:rsid w:val="00931247"/>
    <w:rsid w:val="009313F0"/>
    <w:rsid w:val="00932195"/>
    <w:rsid w:val="00935D85"/>
    <w:rsid w:val="009371F5"/>
    <w:rsid w:val="00937B66"/>
    <w:rsid w:val="009404CA"/>
    <w:rsid w:val="009407A2"/>
    <w:rsid w:val="00940945"/>
    <w:rsid w:val="0094168C"/>
    <w:rsid w:val="009448EB"/>
    <w:rsid w:val="00944C1C"/>
    <w:rsid w:val="00944F1C"/>
    <w:rsid w:val="009458D9"/>
    <w:rsid w:val="00946394"/>
    <w:rsid w:val="00950628"/>
    <w:rsid w:val="00951688"/>
    <w:rsid w:val="00951783"/>
    <w:rsid w:val="00951D0D"/>
    <w:rsid w:val="0095277C"/>
    <w:rsid w:val="009534DA"/>
    <w:rsid w:val="00953DCE"/>
    <w:rsid w:val="009541AA"/>
    <w:rsid w:val="0095468A"/>
    <w:rsid w:val="00957956"/>
    <w:rsid w:val="00960C72"/>
    <w:rsid w:val="00960CAA"/>
    <w:rsid w:val="00961139"/>
    <w:rsid w:val="0096126F"/>
    <w:rsid w:val="00961780"/>
    <w:rsid w:val="009620AF"/>
    <w:rsid w:val="0096427C"/>
    <w:rsid w:val="00964708"/>
    <w:rsid w:val="009653DA"/>
    <w:rsid w:val="00965F37"/>
    <w:rsid w:val="009660C6"/>
    <w:rsid w:val="009673F3"/>
    <w:rsid w:val="0097247F"/>
    <w:rsid w:val="00973540"/>
    <w:rsid w:val="009739D6"/>
    <w:rsid w:val="00974E4B"/>
    <w:rsid w:val="00977825"/>
    <w:rsid w:val="00977D75"/>
    <w:rsid w:val="00981374"/>
    <w:rsid w:val="00982257"/>
    <w:rsid w:val="0098249D"/>
    <w:rsid w:val="00982AA1"/>
    <w:rsid w:val="00982ABC"/>
    <w:rsid w:val="00984A04"/>
    <w:rsid w:val="0098668F"/>
    <w:rsid w:val="009902D9"/>
    <w:rsid w:val="00992392"/>
    <w:rsid w:val="00993744"/>
    <w:rsid w:val="0099564A"/>
    <w:rsid w:val="00996CFA"/>
    <w:rsid w:val="009A11DB"/>
    <w:rsid w:val="009A1351"/>
    <w:rsid w:val="009A1882"/>
    <w:rsid w:val="009A1CC5"/>
    <w:rsid w:val="009A2226"/>
    <w:rsid w:val="009A27B6"/>
    <w:rsid w:val="009A3529"/>
    <w:rsid w:val="009A5197"/>
    <w:rsid w:val="009B04F0"/>
    <w:rsid w:val="009B222F"/>
    <w:rsid w:val="009B2CD0"/>
    <w:rsid w:val="009B313D"/>
    <w:rsid w:val="009B33FD"/>
    <w:rsid w:val="009B3A73"/>
    <w:rsid w:val="009B3D6B"/>
    <w:rsid w:val="009B432D"/>
    <w:rsid w:val="009B5144"/>
    <w:rsid w:val="009B541A"/>
    <w:rsid w:val="009B6704"/>
    <w:rsid w:val="009B7A3C"/>
    <w:rsid w:val="009C0859"/>
    <w:rsid w:val="009C088E"/>
    <w:rsid w:val="009C0B2E"/>
    <w:rsid w:val="009C1515"/>
    <w:rsid w:val="009C18A4"/>
    <w:rsid w:val="009C1DE7"/>
    <w:rsid w:val="009C4E44"/>
    <w:rsid w:val="009C4FC1"/>
    <w:rsid w:val="009C5600"/>
    <w:rsid w:val="009C5A42"/>
    <w:rsid w:val="009C6798"/>
    <w:rsid w:val="009C6895"/>
    <w:rsid w:val="009C6AB6"/>
    <w:rsid w:val="009C773D"/>
    <w:rsid w:val="009C789B"/>
    <w:rsid w:val="009C796E"/>
    <w:rsid w:val="009D0438"/>
    <w:rsid w:val="009D367A"/>
    <w:rsid w:val="009D3E33"/>
    <w:rsid w:val="009D4281"/>
    <w:rsid w:val="009D697C"/>
    <w:rsid w:val="009D7027"/>
    <w:rsid w:val="009D7073"/>
    <w:rsid w:val="009D771C"/>
    <w:rsid w:val="009E0787"/>
    <w:rsid w:val="009E08EB"/>
    <w:rsid w:val="009E27F8"/>
    <w:rsid w:val="009E285F"/>
    <w:rsid w:val="009E3ECB"/>
    <w:rsid w:val="009E3FC0"/>
    <w:rsid w:val="009E4535"/>
    <w:rsid w:val="009E46FA"/>
    <w:rsid w:val="009E4AA0"/>
    <w:rsid w:val="009E4B20"/>
    <w:rsid w:val="009E547A"/>
    <w:rsid w:val="009F0050"/>
    <w:rsid w:val="009F26BE"/>
    <w:rsid w:val="009F5032"/>
    <w:rsid w:val="009F668C"/>
    <w:rsid w:val="009F7C41"/>
    <w:rsid w:val="009F7F51"/>
    <w:rsid w:val="00A01B91"/>
    <w:rsid w:val="00A0207E"/>
    <w:rsid w:val="00A02195"/>
    <w:rsid w:val="00A041C8"/>
    <w:rsid w:val="00A05121"/>
    <w:rsid w:val="00A069DC"/>
    <w:rsid w:val="00A101C8"/>
    <w:rsid w:val="00A11074"/>
    <w:rsid w:val="00A11CE3"/>
    <w:rsid w:val="00A13195"/>
    <w:rsid w:val="00A20236"/>
    <w:rsid w:val="00A21846"/>
    <w:rsid w:val="00A22921"/>
    <w:rsid w:val="00A22A7E"/>
    <w:rsid w:val="00A244D1"/>
    <w:rsid w:val="00A24B22"/>
    <w:rsid w:val="00A27FA5"/>
    <w:rsid w:val="00A3184A"/>
    <w:rsid w:val="00A32647"/>
    <w:rsid w:val="00A33846"/>
    <w:rsid w:val="00A33A3E"/>
    <w:rsid w:val="00A36364"/>
    <w:rsid w:val="00A370E9"/>
    <w:rsid w:val="00A42DB0"/>
    <w:rsid w:val="00A4331E"/>
    <w:rsid w:val="00A433F4"/>
    <w:rsid w:val="00A43416"/>
    <w:rsid w:val="00A44BD6"/>
    <w:rsid w:val="00A46088"/>
    <w:rsid w:val="00A46131"/>
    <w:rsid w:val="00A518C8"/>
    <w:rsid w:val="00A520EA"/>
    <w:rsid w:val="00A52B2E"/>
    <w:rsid w:val="00A53049"/>
    <w:rsid w:val="00A5317F"/>
    <w:rsid w:val="00A532C4"/>
    <w:rsid w:val="00A539B9"/>
    <w:rsid w:val="00A53C61"/>
    <w:rsid w:val="00A543E4"/>
    <w:rsid w:val="00A54430"/>
    <w:rsid w:val="00A56458"/>
    <w:rsid w:val="00A56B4C"/>
    <w:rsid w:val="00A57218"/>
    <w:rsid w:val="00A57ABE"/>
    <w:rsid w:val="00A603E9"/>
    <w:rsid w:val="00A60F52"/>
    <w:rsid w:val="00A617C7"/>
    <w:rsid w:val="00A637F6"/>
    <w:rsid w:val="00A65C88"/>
    <w:rsid w:val="00A65F2B"/>
    <w:rsid w:val="00A661F1"/>
    <w:rsid w:val="00A66409"/>
    <w:rsid w:val="00A66515"/>
    <w:rsid w:val="00A675B6"/>
    <w:rsid w:val="00A7006A"/>
    <w:rsid w:val="00A70AE8"/>
    <w:rsid w:val="00A71BEA"/>
    <w:rsid w:val="00A74875"/>
    <w:rsid w:val="00A76197"/>
    <w:rsid w:val="00A80223"/>
    <w:rsid w:val="00A80EBB"/>
    <w:rsid w:val="00A81436"/>
    <w:rsid w:val="00A819C4"/>
    <w:rsid w:val="00A87CF2"/>
    <w:rsid w:val="00A916BB"/>
    <w:rsid w:val="00A92145"/>
    <w:rsid w:val="00A923F3"/>
    <w:rsid w:val="00A9368D"/>
    <w:rsid w:val="00A938A7"/>
    <w:rsid w:val="00A93977"/>
    <w:rsid w:val="00A94EB0"/>
    <w:rsid w:val="00A94EE0"/>
    <w:rsid w:val="00A958B7"/>
    <w:rsid w:val="00AA00BC"/>
    <w:rsid w:val="00AA0852"/>
    <w:rsid w:val="00AA2952"/>
    <w:rsid w:val="00AA2CA7"/>
    <w:rsid w:val="00AA53AB"/>
    <w:rsid w:val="00AA5421"/>
    <w:rsid w:val="00AA7011"/>
    <w:rsid w:val="00AB078C"/>
    <w:rsid w:val="00AB092F"/>
    <w:rsid w:val="00AB0EAA"/>
    <w:rsid w:val="00AB1554"/>
    <w:rsid w:val="00AB27F5"/>
    <w:rsid w:val="00AB3248"/>
    <w:rsid w:val="00AB5B39"/>
    <w:rsid w:val="00AB5DBF"/>
    <w:rsid w:val="00AB6950"/>
    <w:rsid w:val="00AC1DF1"/>
    <w:rsid w:val="00AC2A52"/>
    <w:rsid w:val="00AC3174"/>
    <w:rsid w:val="00AC6518"/>
    <w:rsid w:val="00AC761E"/>
    <w:rsid w:val="00AD05EA"/>
    <w:rsid w:val="00AD0D88"/>
    <w:rsid w:val="00AD104C"/>
    <w:rsid w:val="00AD36D6"/>
    <w:rsid w:val="00AD3DC7"/>
    <w:rsid w:val="00AD3EE5"/>
    <w:rsid w:val="00AD4282"/>
    <w:rsid w:val="00AD4555"/>
    <w:rsid w:val="00AD46E3"/>
    <w:rsid w:val="00AD490D"/>
    <w:rsid w:val="00AD5DE2"/>
    <w:rsid w:val="00AD7DF9"/>
    <w:rsid w:val="00AE02ED"/>
    <w:rsid w:val="00AE55EE"/>
    <w:rsid w:val="00AE59F8"/>
    <w:rsid w:val="00AE61E7"/>
    <w:rsid w:val="00AE6336"/>
    <w:rsid w:val="00AF0EC2"/>
    <w:rsid w:val="00AF14A6"/>
    <w:rsid w:val="00AF20C1"/>
    <w:rsid w:val="00AF2F5E"/>
    <w:rsid w:val="00AF33F2"/>
    <w:rsid w:val="00AF5533"/>
    <w:rsid w:val="00AF7F80"/>
    <w:rsid w:val="00B0030C"/>
    <w:rsid w:val="00B00623"/>
    <w:rsid w:val="00B01C39"/>
    <w:rsid w:val="00B0235E"/>
    <w:rsid w:val="00B04696"/>
    <w:rsid w:val="00B04C6B"/>
    <w:rsid w:val="00B04F0B"/>
    <w:rsid w:val="00B06E99"/>
    <w:rsid w:val="00B07BEF"/>
    <w:rsid w:val="00B108A7"/>
    <w:rsid w:val="00B113CF"/>
    <w:rsid w:val="00B11881"/>
    <w:rsid w:val="00B11FDC"/>
    <w:rsid w:val="00B14286"/>
    <w:rsid w:val="00B149A5"/>
    <w:rsid w:val="00B153A9"/>
    <w:rsid w:val="00B2120D"/>
    <w:rsid w:val="00B21977"/>
    <w:rsid w:val="00B222DB"/>
    <w:rsid w:val="00B226BD"/>
    <w:rsid w:val="00B23108"/>
    <w:rsid w:val="00B2418C"/>
    <w:rsid w:val="00B24EBC"/>
    <w:rsid w:val="00B26E63"/>
    <w:rsid w:val="00B31FB0"/>
    <w:rsid w:val="00B337DA"/>
    <w:rsid w:val="00B3465F"/>
    <w:rsid w:val="00B3577E"/>
    <w:rsid w:val="00B3701D"/>
    <w:rsid w:val="00B40FF6"/>
    <w:rsid w:val="00B41A3D"/>
    <w:rsid w:val="00B41E42"/>
    <w:rsid w:val="00B426AF"/>
    <w:rsid w:val="00B44595"/>
    <w:rsid w:val="00B463B5"/>
    <w:rsid w:val="00B472D0"/>
    <w:rsid w:val="00B4797E"/>
    <w:rsid w:val="00B47A18"/>
    <w:rsid w:val="00B47B61"/>
    <w:rsid w:val="00B50743"/>
    <w:rsid w:val="00B50981"/>
    <w:rsid w:val="00B51DCA"/>
    <w:rsid w:val="00B523F6"/>
    <w:rsid w:val="00B535CD"/>
    <w:rsid w:val="00B5402D"/>
    <w:rsid w:val="00B54476"/>
    <w:rsid w:val="00B55068"/>
    <w:rsid w:val="00B60087"/>
    <w:rsid w:val="00B60974"/>
    <w:rsid w:val="00B61C18"/>
    <w:rsid w:val="00B62FEC"/>
    <w:rsid w:val="00B630AC"/>
    <w:rsid w:val="00B6409E"/>
    <w:rsid w:val="00B64236"/>
    <w:rsid w:val="00B6513D"/>
    <w:rsid w:val="00B65140"/>
    <w:rsid w:val="00B66CEF"/>
    <w:rsid w:val="00B66F3F"/>
    <w:rsid w:val="00B678A7"/>
    <w:rsid w:val="00B67F8B"/>
    <w:rsid w:val="00B71B8F"/>
    <w:rsid w:val="00B72159"/>
    <w:rsid w:val="00B7305A"/>
    <w:rsid w:val="00B731BC"/>
    <w:rsid w:val="00B73B7D"/>
    <w:rsid w:val="00B744FB"/>
    <w:rsid w:val="00B75073"/>
    <w:rsid w:val="00B7766F"/>
    <w:rsid w:val="00B77F9E"/>
    <w:rsid w:val="00B80C1F"/>
    <w:rsid w:val="00B81013"/>
    <w:rsid w:val="00B8166F"/>
    <w:rsid w:val="00B81ADB"/>
    <w:rsid w:val="00B82DBF"/>
    <w:rsid w:val="00B83140"/>
    <w:rsid w:val="00B849DD"/>
    <w:rsid w:val="00B84EC1"/>
    <w:rsid w:val="00B85073"/>
    <w:rsid w:val="00B87228"/>
    <w:rsid w:val="00B8762B"/>
    <w:rsid w:val="00B94C14"/>
    <w:rsid w:val="00B95432"/>
    <w:rsid w:val="00B95792"/>
    <w:rsid w:val="00B9623D"/>
    <w:rsid w:val="00B9639E"/>
    <w:rsid w:val="00B96434"/>
    <w:rsid w:val="00B96C79"/>
    <w:rsid w:val="00B96D10"/>
    <w:rsid w:val="00BA0C7F"/>
    <w:rsid w:val="00BA21CD"/>
    <w:rsid w:val="00BA26AE"/>
    <w:rsid w:val="00BA2F7E"/>
    <w:rsid w:val="00BA369B"/>
    <w:rsid w:val="00BA40A2"/>
    <w:rsid w:val="00BA4347"/>
    <w:rsid w:val="00BA5337"/>
    <w:rsid w:val="00BA7372"/>
    <w:rsid w:val="00BB0B28"/>
    <w:rsid w:val="00BB0F14"/>
    <w:rsid w:val="00BB1674"/>
    <w:rsid w:val="00BB2515"/>
    <w:rsid w:val="00BB37B4"/>
    <w:rsid w:val="00BB39B2"/>
    <w:rsid w:val="00BB3E4C"/>
    <w:rsid w:val="00BB4ACF"/>
    <w:rsid w:val="00BB556E"/>
    <w:rsid w:val="00BB686A"/>
    <w:rsid w:val="00BB708C"/>
    <w:rsid w:val="00BC1A67"/>
    <w:rsid w:val="00BC1DA1"/>
    <w:rsid w:val="00BC44AD"/>
    <w:rsid w:val="00BC4F70"/>
    <w:rsid w:val="00BC63CB"/>
    <w:rsid w:val="00BD11F8"/>
    <w:rsid w:val="00BD22E5"/>
    <w:rsid w:val="00BD2AAD"/>
    <w:rsid w:val="00BD301C"/>
    <w:rsid w:val="00BD4D44"/>
    <w:rsid w:val="00BD70A2"/>
    <w:rsid w:val="00BD7A42"/>
    <w:rsid w:val="00BD7E3E"/>
    <w:rsid w:val="00BE04AB"/>
    <w:rsid w:val="00BE13E5"/>
    <w:rsid w:val="00BE1584"/>
    <w:rsid w:val="00BE185A"/>
    <w:rsid w:val="00BE1BB7"/>
    <w:rsid w:val="00BE1E30"/>
    <w:rsid w:val="00BE22B7"/>
    <w:rsid w:val="00BE23BD"/>
    <w:rsid w:val="00BE2672"/>
    <w:rsid w:val="00BE2C05"/>
    <w:rsid w:val="00BE3945"/>
    <w:rsid w:val="00BE39E0"/>
    <w:rsid w:val="00BE3A0D"/>
    <w:rsid w:val="00BE4195"/>
    <w:rsid w:val="00BE43FE"/>
    <w:rsid w:val="00BE4B55"/>
    <w:rsid w:val="00BE502D"/>
    <w:rsid w:val="00BE5AE6"/>
    <w:rsid w:val="00BE77CF"/>
    <w:rsid w:val="00BF069E"/>
    <w:rsid w:val="00BF0B1C"/>
    <w:rsid w:val="00BF10BB"/>
    <w:rsid w:val="00BF1AEC"/>
    <w:rsid w:val="00BF1B81"/>
    <w:rsid w:val="00BF25DC"/>
    <w:rsid w:val="00BF3CDF"/>
    <w:rsid w:val="00C008C1"/>
    <w:rsid w:val="00C01BCF"/>
    <w:rsid w:val="00C03226"/>
    <w:rsid w:val="00C03FD7"/>
    <w:rsid w:val="00C0472E"/>
    <w:rsid w:val="00C0709E"/>
    <w:rsid w:val="00C07120"/>
    <w:rsid w:val="00C079ED"/>
    <w:rsid w:val="00C07F9D"/>
    <w:rsid w:val="00C100E4"/>
    <w:rsid w:val="00C10F64"/>
    <w:rsid w:val="00C13151"/>
    <w:rsid w:val="00C1419E"/>
    <w:rsid w:val="00C14FC6"/>
    <w:rsid w:val="00C15A08"/>
    <w:rsid w:val="00C20379"/>
    <w:rsid w:val="00C20592"/>
    <w:rsid w:val="00C224AD"/>
    <w:rsid w:val="00C23008"/>
    <w:rsid w:val="00C236A3"/>
    <w:rsid w:val="00C23AB5"/>
    <w:rsid w:val="00C26067"/>
    <w:rsid w:val="00C2666B"/>
    <w:rsid w:val="00C26886"/>
    <w:rsid w:val="00C27718"/>
    <w:rsid w:val="00C279E1"/>
    <w:rsid w:val="00C27B82"/>
    <w:rsid w:val="00C30009"/>
    <w:rsid w:val="00C30B20"/>
    <w:rsid w:val="00C30B52"/>
    <w:rsid w:val="00C312EB"/>
    <w:rsid w:val="00C32648"/>
    <w:rsid w:val="00C32B22"/>
    <w:rsid w:val="00C340E7"/>
    <w:rsid w:val="00C3417D"/>
    <w:rsid w:val="00C349FC"/>
    <w:rsid w:val="00C34F31"/>
    <w:rsid w:val="00C354FE"/>
    <w:rsid w:val="00C366B8"/>
    <w:rsid w:val="00C3683E"/>
    <w:rsid w:val="00C36DC3"/>
    <w:rsid w:val="00C37153"/>
    <w:rsid w:val="00C37B58"/>
    <w:rsid w:val="00C410D1"/>
    <w:rsid w:val="00C42D89"/>
    <w:rsid w:val="00C432C3"/>
    <w:rsid w:val="00C4472B"/>
    <w:rsid w:val="00C452C6"/>
    <w:rsid w:val="00C465E7"/>
    <w:rsid w:val="00C466FA"/>
    <w:rsid w:val="00C4693E"/>
    <w:rsid w:val="00C46E3B"/>
    <w:rsid w:val="00C47BDE"/>
    <w:rsid w:val="00C51646"/>
    <w:rsid w:val="00C51F3C"/>
    <w:rsid w:val="00C52344"/>
    <w:rsid w:val="00C54035"/>
    <w:rsid w:val="00C54608"/>
    <w:rsid w:val="00C552BC"/>
    <w:rsid w:val="00C5642E"/>
    <w:rsid w:val="00C573E1"/>
    <w:rsid w:val="00C608F8"/>
    <w:rsid w:val="00C62FAE"/>
    <w:rsid w:val="00C632B4"/>
    <w:rsid w:val="00C63411"/>
    <w:rsid w:val="00C63AF4"/>
    <w:rsid w:val="00C6440E"/>
    <w:rsid w:val="00C64679"/>
    <w:rsid w:val="00C647AE"/>
    <w:rsid w:val="00C666A3"/>
    <w:rsid w:val="00C7050C"/>
    <w:rsid w:val="00C706AF"/>
    <w:rsid w:val="00C7110D"/>
    <w:rsid w:val="00C747C2"/>
    <w:rsid w:val="00C74808"/>
    <w:rsid w:val="00C7481C"/>
    <w:rsid w:val="00C74CA2"/>
    <w:rsid w:val="00C774F5"/>
    <w:rsid w:val="00C779A1"/>
    <w:rsid w:val="00C77AE8"/>
    <w:rsid w:val="00C8221D"/>
    <w:rsid w:val="00C835B8"/>
    <w:rsid w:val="00C85C7D"/>
    <w:rsid w:val="00C86118"/>
    <w:rsid w:val="00C8654F"/>
    <w:rsid w:val="00C86AF0"/>
    <w:rsid w:val="00C86B85"/>
    <w:rsid w:val="00C87C65"/>
    <w:rsid w:val="00C90A04"/>
    <w:rsid w:val="00C9182B"/>
    <w:rsid w:val="00C9223C"/>
    <w:rsid w:val="00C92D65"/>
    <w:rsid w:val="00C939C4"/>
    <w:rsid w:val="00C97FBC"/>
    <w:rsid w:val="00CA11B2"/>
    <w:rsid w:val="00CA1671"/>
    <w:rsid w:val="00CA18B3"/>
    <w:rsid w:val="00CA213F"/>
    <w:rsid w:val="00CA2371"/>
    <w:rsid w:val="00CA2544"/>
    <w:rsid w:val="00CA2A77"/>
    <w:rsid w:val="00CA3476"/>
    <w:rsid w:val="00CA38D6"/>
    <w:rsid w:val="00CA41A5"/>
    <w:rsid w:val="00CA4CEE"/>
    <w:rsid w:val="00CA6D92"/>
    <w:rsid w:val="00CA77E3"/>
    <w:rsid w:val="00CB0695"/>
    <w:rsid w:val="00CB08AC"/>
    <w:rsid w:val="00CB21C4"/>
    <w:rsid w:val="00CB23F9"/>
    <w:rsid w:val="00CB247D"/>
    <w:rsid w:val="00CB3251"/>
    <w:rsid w:val="00CB4503"/>
    <w:rsid w:val="00CB4DDC"/>
    <w:rsid w:val="00CB598A"/>
    <w:rsid w:val="00CB67C2"/>
    <w:rsid w:val="00CB69BC"/>
    <w:rsid w:val="00CB6FB0"/>
    <w:rsid w:val="00CB77F6"/>
    <w:rsid w:val="00CC1348"/>
    <w:rsid w:val="00CC2309"/>
    <w:rsid w:val="00CC2497"/>
    <w:rsid w:val="00CC2F77"/>
    <w:rsid w:val="00CC36B8"/>
    <w:rsid w:val="00CC5A5F"/>
    <w:rsid w:val="00CC6980"/>
    <w:rsid w:val="00CC7D91"/>
    <w:rsid w:val="00CC7F98"/>
    <w:rsid w:val="00CD03F0"/>
    <w:rsid w:val="00CD1672"/>
    <w:rsid w:val="00CD1C7D"/>
    <w:rsid w:val="00CD1E38"/>
    <w:rsid w:val="00CD2AD2"/>
    <w:rsid w:val="00CD2AFD"/>
    <w:rsid w:val="00CD315D"/>
    <w:rsid w:val="00CD43B5"/>
    <w:rsid w:val="00CD452D"/>
    <w:rsid w:val="00CD4FE3"/>
    <w:rsid w:val="00CD531D"/>
    <w:rsid w:val="00CD533C"/>
    <w:rsid w:val="00CD6209"/>
    <w:rsid w:val="00CD6E05"/>
    <w:rsid w:val="00CD704C"/>
    <w:rsid w:val="00CD717B"/>
    <w:rsid w:val="00CD79A2"/>
    <w:rsid w:val="00CE06A0"/>
    <w:rsid w:val="00CE1A38"/>
    <w:rsid w:val="00CE20FD"/>
    <w:rsid w:val="00CE373F"/>
    <w:rsid w:val="00CE391E"/>
    <w:rsid w:val="00CE5B35"/>
    <w:rsid w:val="00CE69BB"/>
    <w:rsid w:val="00CE6B32"/>
    <w:rsid w:val="00CE76C5"/>
    <w:rsid w:val="00CF1007"/>
    <w:rsid w:val="00CF17EC"/>
    <w:rsid w:val="00CF2B87"/>
    <w:rsid w:val="00CF3558"/>
    <w:rsid w:val="00CF35AA"/>
    <w:rsid w:val="00CF3F60"/>
    <w:rsid w:val="00CF6D75"/>
    <w:rsid w:val="00D02BB5"/>
    <w:rsid w:val="00D02D9E"/>
    <w:rsid w:val="00D0466C"/>
    <w:rsid w:val="00D067E0"/>
    <w:rsid w:val="00D079C5"/>
    <w:rsid w:val="00D07C0B"/>
    <w:rsid w:val="00D1090E"/>
    <w:rsid w:val="00D10B1B"/>
    <w:rsid w:val="00D122E7"/>
    <w:rsid w:val="00D13953"/>
    <w:rsid w:val="00D14334"/>
    <w:rsid w:val="00D14A4D"/>
    <w:rsid w:val="00D1546B"/>
    <w:rsid w:val="00D179B7"/>
    <w:rsid w:val="00D201CC"/>
    <w:rsid w:val="00D2052C"/>
    <w:rsid w:val="00D206C8"/>
    <w:rsid w:val="00D21321"/>
    <w:rsid w:val="00D21AB4"/>
    <w:rsid w:val="00D21ADC"/>
    <w:rsid w:val="00D2278B"/>
    <w:rsid w:val="00D22E68"/>
    <w:rsid w:val="00D24A11"/>
    <w:rsid w:val="00D24C63"/>
    <w:rsid w:val="00D25EB5"/>
    <w:rsid w:val="00D26408"/>
    <w:rsid w:val="00D26E31"/>
    <w:rsid w:val="00D27109"/>
    <w:rsid w:val="00D27135"/>
    <w:rsid w:val="00D27776"/>
    <w:rsid w:val="00D27E31"/>
    <w:rsid w:val="00D27F62"/>
    <w:rsid w:val="00D31E9E"/>
    <w:rsid w:val="00D324AC"/>
    <w:rsid w:val="00D336F6"/>
    <w:rsid w:val="00D33FA1"/>
    <w:rsid w:val="00D34865"/>
    <w:rsid w:val="00D36C3F"/>
    <w:rsid w:val="00D4069A"/>
    <w:rsid w:val="00D415BF"/>
    <w:rsid w:val="00D41E69"/>
    <w:rsid w:val="00D42130"/>
    <w:rsid w:val="00D427A7"/>
    <w:rsid w:val="00D45094"/>
    <w:rsid w:val="00D466D1"/>
    <w:rsid w:val="00D5001A"/>
    <w:rsid w:val="00D52A11"/>
    <w:rsid w:val="00D52F30"/>
    <w:rsid w:val="00D5364D"/>
    <w:rsid w:val="00D547F0"/>
    <w:rsid w:val="00D54D49"/>
    <w:rsid w:val="00D54E6D"/>
    <w:rsid w:val="00D56CAD"/>
    <w:rsid w:val="00D604A1"/>
    <w:rsid w:val="00D61A35"/>
    <w:rsid w:val="00D63C5D"/>
    <w:rsid w:val="00D642BC"/>
    <w:rsid w:val="00D65990"/>
    <w:rsid w:val="00D65A67"/>
    <w:rsid w:val="00D65CB4"/>
    <w:rsid w:val="00D669C8"/>
    <w:rsid w:val="00D67CF9"/>
    <w:rsid w:val="00D67D41"/>
    <w:rsid w:val="00D70108"/>
    <w:rsid w:val="00D724B9"/>
    <w:rsid w:val="00D730E6"/>
    <w:rsid w:val="00D73FCF"/>
    <w:rsid w:val="00D73FDB"/>
    <w:rsid w:val="00D740FD"/>
    <w:rsid w:val="00D74953"/>
    <w:rsid w:val="00D76AFE"/>
    <w:rsid w:val="00D77290"/>
    <w:rsid w:val="00D802FC"/>
    <w:rsid w:val="00D810B4"/>
    <w:rsid w:val="00D82D32"/>
    <w:rsid w:val="00D83894"/>
    <w:rsid w:val="00D838C3"/>
    <w:rsid w:val="00D83959"/>
    <w:rsid w:val="00D8565A"/>
    <w:rsid w:val="00D85AC4"/>
    <w:rsid w:val="00D861FC"/>
    <w:rsid w:val="00D867BF"/>
    <w:rsid w:val="00D86AD4"/>
    <w:rsid w:val="00D87449"/>
    <w:rsid w:val="00D87496"/>
    <w:rsid w:val="00D90EAE"/>
    <w:rsid w:val="00D91059"/>
    <w:rsid w:val="00D93D81"/>
    <w:rsid w:val="00D96F18"/>
    <w:rsid w:val="00D9719B"/>
    <w:rsid w:val="00D97678"/>
    <w:rsid w:val="00D97F37"/>
    <w:rsid w:val="00DA08B2"/>
    <w:rsid w:val="00DA27CC"/>
    <w:rsid w:val="00DA3153"/>
    <w:rsid w:val="00DA3D41"/>
    <w:rsid w:val="00DA53DC"/>
    <w:rsid w:val="00DA58E0"/>
    <w:rsid w:val="00DA62B8"/>
    <w:rsid w:val="00DA660C"/>
    <w:rsid w:val="00DA7060"/>
    <w:rsid w:val="00DB0020"/>
    <w:rsid w:val="00DB06B3"/>
    <w:rsid w:val="00DB1C94"/>
    <w:rsid w:val="00DB227F"/>
    <w:rsid w:val="00DB2514"/>
    <w:rsid w:val="00DB3131"/>
    <w:rsid w:val="00DB381B"/>
    <w:rsid w:val="00DB3EE9"/>
    <w:rsid w:val="00DB586C"/>
    <w:rsid w:val="00DB7901"/>
    <w:rsid w:val="00DC10E5"/>
    <w:rsid w:val="00DC13E3"/>
    <w:rsid w:val="00DC19CC"/>
    <w:rsid w:val="00DC2108"/>
    <w:rsid w:val="00DC3405"/>
    <w:rsid w:val="00DC41CB"/>
    <w:rsid w:val="00DC4FE2"/>
    <w:rsid w:val="00DC51D3"/>
    <w:rsid w:val="00DC56AB"/>
    <w:rsid w:val="00DC6208"/>
    <w:rsid w:val="00DC62B8"/>
    <w:rsid w:val="00DC6312"/>
    <w:rsid w:val="00DC6CDF"/>
    <w:rsid w:val="00DC7D85"/>
    <w:rsid w:val="00DD11BF"/>
    <w:rsid w:val="00DD2F29"/>
    <w:rsid w:val="00DD3108"/>
    <w:rsid w:val="00DD3497"/>
    <w:rsid w:val="00DD3B53"/>
    <w:rsid w:val="00DD4EDF"/>
    <w:rsid w:val="00DE3118"/>
    <w:rsid w:val="00DE39F0"/>
    <w:rsid w:val="00DF0226"/>
    <w:rsid w:val="00DF064B"/>
    <w:rsid w:val="00DF08BB"/>
    <w:rsid w:val="00DF0A66"/>
    <w:rsid w:val="00DF243E"/>
    <w:rsid w:val="00DF4D59"/>
    <w:rsid w:val="00DF5E73"/>
    <w:rsid w:val="00DF5F60"/>
    <w:rsid w:val="00DF61A1"/>
    <w:rsid w:val="00DF631C"/>
    <w:rsid w:val="00DF68BE"/>
    <w:rsid w:val="00DF7479"/>
    <w:rsid w:val="00E00BED"/>
    <w:rsid w:val="00E017AC"/>
    <w:rsid w:val="00E01D92"/>
    <w:rsid w:val="00E02141"/>
    <w:rsid w:val="00E03014"/>
    <w:rsid w:val="00E04342"/>
    <w:rsid w:val="00E0516A"/>
    <w:rsid w:val="00E05FE0"/>
    <w:rsid w:val="00E06095"/>
    <w:rsid w:val="00E07333"/>
    <w:rsid w:val="00E075BE"/>
    <w:rsid w:val="00E07627"/>
    <w:rsid w:val="00E07C69"/>
    <w:rsid w:val="00E107F2"/>
    <w:rsid w:val="00E10820"/>
    <w:rsid w:val="00E11193"/>
    <w:rsid w:val="00E124B3"/>
    <w:rsid w:val="00E12A5C"/>
    <w:rsid w:val="00E12E6B"/>
    <w:rsid w:val="00E1300A"/>
    <w:rsid w:val="00E13291"/>
    <w:rsid w:val="00E1693E"/>
    <w:rsid w:val="00E16EDE"/>
    <w:rsid w:val="00E1714F"/>
    <w:rsid w:val="00E1791B"/>
    <w:rsid w:val="00E17F83"/>
    <w:rsid w:val="00E20737"/>
    <w:rsid w:val="00E20B11"/>
    <w:rsid w:val="00E2171B"/>
    <w:rsid w:val="00E218FE"/>
    <w:rsid w:val="00E22CC5"/>
    <w:rsid w:val="00E2301D"/>
    <w:rsid w:val="00E240DC"/>
    <w:rsid w:val="00E2565E"/>
    <w:rsid w:val="00E2758F"/>
    <w:rsid w:val="00E27C95"/>
    <w:rsid w:val="00E31740"/>
    <w:rsid w:val="00E338F4"/>
    <w:rsid w:val="00E348FE"/>
    <w:rsid w:val="00E35032"/>
    <w:rsid w:val="00E3521B"/>
    <w:rsid w:val="00E3534C"/>
    <w:rsid w:val="00E36576"/>
    <w:rsid w:val="00E36B13"/>
    <w:rsid w:val="00E4033F"/>
    <w:rsid w:val="00E4055E"/>
    <w:rsid w:val="00E40A52"/>
    <w:rsid w:val="00E41930"/>
    <w:rsid w:val="00E44DBA"/>
    <w:rsid w:val="00E44F33"/>
    <w:rsid w:val="00E461BB"/>
    <w:rsid w:val="00E47F75"/>
    <w:rsid w:val="00E5176B"/>
    <w:rsid w:val="00E5239F"/>
    <w:rsid w:val="00E5267B"/>
    <w:rsid w:val="00E55DE1"/>
    <w:rsid w:val="00E60C7D"/>
    <w:rsid w:val="00E61B07"/>
    <w:rsid w:val="00E61CC2"/>
    <w:rsid w:val="00E646F8"/>
    <w:rsid w:val="00E64973"/>
    <w:rsid w:val="00E64B09"/>
    <w:rsid w:val="00E64F18"/>
    <w:rsid w:val="00E65D3F"/>
    <w:rsid w:val="00E67054"/>
    <w:rsid w:val="00E6752E"/>
    <w:rsid w:val="00E70030"/>
    <w:rsid w:val="00E707F1"/>
    <w:rsid w:val="00E73584"/>
    <w:rsid w:val="00E74177"/>
    <w:rsid w:val="00E74552"/>
    <w:rsid w:val="00E7497D"/>
    <w:rsid w:val="00E75553"/>
    <w:rsid w:val="00E755DF"/>
    <w:rsid w:val="00E75A13"/>
    <w:rsid w:val="00E75DC5"/>
    <w:rsid w:val="00E76086"/>
    <w:rsid w:val="00E76327"/>
    <w:rsid w:val="00E764EE"/>
    <w:rsid w:val="00E774B7"/>
    <w:rsid w:val="00E8004A"/>
    <w:rsid w:val="00E85085"/>
    <w:rsid w:val="00E857BB"/>
    <w:rsid w:val="00E86423"/>
    <w:rsid w:val="00E867D8"/>
    <w:rsid w:val="00E86B6F"/>
    <w:rsid w:val="00E87574"/>
    <w:rsid w:val="00E879DC"/>
    <w:rsid w:val="00E9011D"/>
    <w:rsid w:val="00E9012B"/>
    <w:rsid w:val="00E90EAD"/>
    <w:rsid w:val="00E9119C"/>
    <w:rsid w:val="00E91667"/>
    <w:rsid w:val="00E91702"/>
    <w:rsid w:val="00E92034"/>
    <w:rsid w:val="00E92293"/>
    <w:rsid w:val="00E9250C"/>
    <w:rsid w:val="00E93056"/>
    <w:rsid w:val="00E93135"/>
    <w:rsid w:val="00E93E1C"/>
    <w:rsid w:val="00E9561A"/>
    <w:rsid w:val="00E960E8"/>
    <w:rsid w:val="00E9725E"/>
    <w:rsid w:val="00EA181E"/>
    <w:rsid w:val="00EA1CE9"/>
    <w:rsid w:val="00EA3218"/>
    <w:rsid w:val="00EA39BC"/>
    <w:rsid w:val="00EA3ECE"/>
    <w:rsid w:val="00EA3FB7"/>
    <w:rsid w:val="00EA5ACB"/>
    <w:rsid w:val="00EA667D"/>
    <w:rsid w:val="00EA79C4"/>
    <w:rsid w:val="00EB1988"/>
    <w:rsid w:val="00EB2474"/>
    <w:rsid w:val="00EB2B92"/>
    <w:rsid w:val="00EB3780"/>
    <w:rsid w:val="00EB3F03"/>
    <w:rsid w:val="00EB51E1"/>
    <w:rsid w:val="00EB6E60"/>
    <w:rsid w:val="00EC09DC"/>
    <w:rsid w:val="00EC124B"/>
    <w:rsid w:val="00EC204B"/>
    <w:rsid w:val="00EC2F22"/>
    <w:rsid w:val="00EC3311"/>
    <w:rsid w:val="00EC34D1"/>
    <w:rsid w:val="00EC3A30"/>
    <w:rsid w:val="00EC3E0A"/>
    <w:rsid w:val="00EC4292"/>
    <w:rsid w:val="00EC4EAF"/>
    <w:rsid w:val="00EC526D"/>
    <w:rsid w:val="00EC53EC"/>
    <w:rsid w:val="00EC5906"/>
    <w:rsid w:val="00ED0402"/>
    <w:rsid w:val="00ED3092"/>
    <w:rsid w:val="00ED3CD4"/>
    <w:rsid w:val="00ED574D"/>
    <w:rsid w:val="00EE20B9"/>
    <w:rsid w:val="00EE49E2"/>
    <w:rsid w:val="00EE7ABB"/>
    <w:rsid w:val="00EF116C"/>
    <w:rsid w:val="00EF11A9"/>
    <w:rsid w:val="00EF2BF6"/>
    <w:rsid w:val="00EF2D32"/>
    <w:rsid w:val="00EF52B2"/>
    <w:rsid w:val="00EF582B"/>
    <w:rsid w:val="00EF61D7"/>
    <w:rsid w:val="00EF65F1"/>
    <w:rsid w:val="00EF7A0C"/>
    <w:rsid w:val="00EF7E79"/>
    <w:rsid w:val="00F0271B"/>
    <w:rsid w:val="00F038CC"/>
    <w:rsid w:val="00F05201"/>
    <w:rsid w:val="00F0609D"/>
    <w:rsid w:val="00F07E62"/>
    <w:rsid w:val="00F11245"/>
    <w:rsid w:val="00F116A3"/>
    <w:rsid w:val="00F12542"/>
    <w:rsid w:val="00F139F2"/>
    <w:rsid w:val="00F14F4D"/>
    <w:rsid w:val="00F15960"/>
    <w:rsid w:val="00F15A97"/>
    <w:rsid w:val="00F15B7F"/>
    <w:rsid w:val="00F16346"/>
    <w:rsid w:val="00F165CD"/>
    <w:rsid w:val="00F201E3"/>
    <w:rsid w:val="00F21500"/>
    <w:rsid w:val="00F22468"/>
    <w:rsid w:val="00F23332"/>
    <w:rsid w:val="00F235D4"/>
    <w:rsid w:val="00F24073"/>
    <w:rsid w:val="00F24B58"/>
    <w:rsid w:val="00F2594C"/>
    <w:rsid w:val="00F25EDD"/>
    <w:rsid w:val="00F27B6C"/>
    <w:rsid w:val="00F30422"/>
    <w:rsid w:val="00F30800"/>
    <w:rsid w:val="00F31BF4"/>
    <w:rsid w:val="00F32662"/>
    <w:rsid w:val="00F33D8E"/>
    <w:rsid w:val="00F3471C"/>
    <w:rsid w:val="00F34EFB"/>
    <w:rsid w:val="00F35234"/>
    <w:rsid w:val="00F35C79"/>
    <w:rsid w:val="00F37266"/>
    <w:rsid w:val="00F4323E"/>
    <w:rsid w:val="00F471D5"/>
    <w:rsid w:val="00F47A5B"/>
    <w:rsid w:val="00F50001"/>
    <w:rsid w:val="00F5044E"/>
    <w:rsid w:val="00F50BA4"/>
    <w:rsid w:val="00F51492"/>
    <w:rsid w:val="00F5269C"/>
    <w:rsid w:val="00F5280F"/>
    <w:rsid w:val="00F5315C"/>
    <w:rsid w:val="00F5454A"/>
    <w:rsid w:val="00F573B1"/>
    <w:rsid w:val="00F57797"/>
    <w:rsid w:val="00F6169B"/>
    <w:rsid w:val="00F627D9"/>
    <w:rsid w:val="00F62A26"/>
    <w:rsid w:val="00F64565"/>
    <w:rsid w:val="00F73C85"/>
    <w:rsid w:val="00F7476A"/>
    <w:rsid w:val="00F74967"/>
    <w:rsid w:val="00F75836"/>
    <w:rsid w:val="00F76110"/>
    <w:rsid w:val="00F76659"/>
    <w:rsid w:val="00F76A2F"/>
    <w:rsid w:val="00F77AEC"/>
    <w:rsid w:val="00F8279C"/>
    <w:rsid w:val="00F83571"/>
    <w:rsid w:val="00F846D3"/>
    <w:rsid w:val="00F867DE"/>
    <w:rsid w:val="00F876E4"/>
    <w:rsid w:val="00F9066D"/>
    <w:rsid w:val="00F91C5C"/>
    <w:rsid w:val="00F91DC2"/>
    <w:rsid w:val="00F931E9"/>
    <w:rsid w:val="00F9367B"/>
    <w:rsid w:val="00F9409F"/>
    <w:rsid w:val="00F97603"/>
    <w:rsid w:val="00FA0069"/>
    <w:rsid w:val="00FA0EF3"/>
    <w:rsid w:val="00FA2849"/>
    <w:rsid w:val="00FA2D1B"/>
    <w:rsid w:val="00FA5287"/>
    <w:rsid w:val="00FA7316"/>
    <w:rsid w:val="00FA760A"/>
    <w:rsid w:val="00FA7D01"/>
    <w:rsid w:val="00FB060C"/>
    <w:rsid w:val="00FB0C75"/>
    <w:rsid w:val="00FB12E8"/>
    <w:rsid w:val="00FB146D"/>
    <w:rsid w:val="00FB1586"/>
    <w:rsid w:val="00FB202A"/>
    <w:rsid w:val="00FB21FC"/>
    <w:rsid w:val="00FB2BC0"/>
    <w:rsid w:val="00FB2C94"/>
    <w:rsid w:val="00FB32C0"/>
    <w:rsid w:val="00FB732D"/>
    <w:rsid w:val="00FC005B"/>
    <w:rsid w:val="00FC12F7"/>
    <w:rsid w:val="00FC2AEE"/>
    <w:rsid w:val="00FC7B30"/>
    <w:rsid w:val="00FD06F3"/>
    <w:rsid w:val="00FD1033"/>
    <w:rsid w:val="00FD16D4"/>
    <w:rsid w:val="00FD1F40"/>
    <w:rsid w:val="00FD3A85"/>
    <w:rsid w:val="00FD414B"/>
    <w:rsid w:val="00FD54CC"/>
    <w:rsid w:val="00FD5987"/>
    <w:rsid w:val="00FD5D00"/>
    <w:rsid w:val="00FE194F"/>
    <w:rsid w:val="00FE1F02"/>
    <w:rsid w:val="00FE2DAD"/>
    <w:rsid w:val="00FE4F6E"/>
    <w:rsid w:val="00FE5E3B"/>
    <w:rsid w:val="00FE7121"/>
    <w:rsid w:val="00FF13C8"/>
    <w:rsid w:val="00FF17A6"/>
    <w:rsid w:val="00FF1853"/>
    <w:rsid w:val="00FF1A82"/>
    <w:rsid w:val="00FF25DE"/>
    <w:rsid w:val="00FF2CE1"/>
    <w:rsid w:val="00FF6BC9"/>
    <w:rsid w:val="00FF7742"/>
    <w:rsid w:val="00FF780E"/>
    <w:rsid w:val="00FF7B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A3F7"/>
  <w15:chartTrackingRefBased/>
  <w15:docId w15:val="{2B1907A7-C7C3-4CD0-B0C4-8B6D4F1C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67"/>
    <w:pPr>
      <w:spacing w:after="0" w:line="360" w:lineRule="auto"/>
      <w:jc w:val="both"/>
    </w:pPr>
    <w:rPr>
      <w:rFonts w:ascii="Baskerville Old Face" w:hAnsi="Baskerville Old Face" w:cs="Times New Roman"/>
      <w:lang w:val="en-GB"/>
    </w:rPr>
  </w:style>
  <w:style w:type="paragraph" w:styleId="Heading1">
    <w:name w:val="heading 1"/>
    <w:basedOn w:val="Normal"/>
    <w:next w:val="Normal"/>
    <w:link w:val="Heading1Char"/>
    <w:uiPriority w:val="9"/>
    <w:qFormat/>
    <w:rsid w:val="00FF1853"/>
    <w:pPr>
      <w:spacing w:after="480"/>
      <w:jc w:val="center"/>
      <w:outlineLvl w:val="0"/>
    </w:pPr>
    <w:rPr>
      <w:b/>
      <w:bCs/>
      <w:sz w:val="36"/>
      <w:szCs w:val="36"/>
    </w:rPr>
  </w:style>
  <w:style w:type="paragraph" w:styleId="Heading2">
    <w:name w:val="heading 2"/>
    <w:basedOn w:val="Normal"/>
    <w:next w:val="Normal"/>
    <w:link w:val="Heading2Char"/>
    <w:uiPriority w:val="9"/>
    <w:unhideWhenUsed/>
    <w:qFormat/>
    <w:rsid w:val="00923467"/>
    <w:pPr>
      <w:spacing w:after="240"/>
      <w:jc w:val="center"/>
      <w:outlineLvl w:val="1"/>
    </w:pPr>
    <w:rPr>
      <w:b/>
      <w:bCs/>
    </w:rPr>
  </w:style>
  <w:style w:type="paragraph" w:styleId="Heading3">
    <w:name w:val="heading 3"/>
    <w:basedOn w:val="Normal"/>
    <w:next w:val="Normal"/>
    <w:link w:val="Heading3Char"/>
    <w:uiPriority w:val="9"/>
    <w:unhideWhenUsed/>
    <w:qFormat/>
    <w:rsid w:val="00EF2D32"/>
    <w:pP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A68"/>
    <w:pPr>
      <w:tabs>
        <w:tab w:val="center" w:pos="4680"/>
        <w:tab w:val="right" w:pos="9360"/>
      </w:tabs>
      <w:spacing w:line="240" w:lineRule="auto"/>
    </w:pPr>
  </w:style>
  <w:style w:type="character" w:customStyle="1" w:styleId="HeaderChar">
    <w:name w:val="Header Char"/>
    <w:basedOn w:val="DefaultParagraphFont"/>
    <w:link w:val="Header"/>
    <w:uiPriority w:val="99"/>
    <w:rsid w:val="000E4A68"/>
  </w:style>
  <w:style w:type="paragraph" w:styleId="Footer">
    <w:name w:val="footer"/>
    <w:basedOn w:val="Normal"/>
    <w:link w:val="FooterChar"/>
    <w:uiPriority w:val="99"/>
    <w:unhideWhenUsed/>
    <w:rsid w:val="000E4A68"/>
    <w:pPr>
      <w:tabs>
        <w:tab w:val="center" w:pos="4680"/>
        <w:tab w:val="right" w:pos="9360"/>
      </w:tabs>
      <w:spacing w:line="240" w:lineRule="auto"/>
    </w:pPr>
  </w:style>
  <w:style w:type="character" w:customStyle="1" w:styleId="FooterChar">
    <w:name w:val="Footer Char"/>
    <w:basedOn w:val="DefaultParagraphFont"/>
    <w:link w:val="Footer"/>
    <w:uiPriority w:val="99"/>
    <w:rsid w:val="000E4A68"/>
  </w:style>
  <w:style w:type="paragraph" w:styleId="ListParagraph">
    <w:name w:val="List Paragraph"/>
    <w:aliases w:val="lp1,Bullets,List Paragraph nowy,References,Numbered List Paragraph,List Paragraph (numbered (a)),Ha,List_Paragraph,Multilevel para_II,List Paragraph1,Bullet Points,Liste Paragraf,Paragraph,Paragraphe de liste PBLH,Llista Nivell1,List1,EC"/>
    <w:basedOn w:val="Normal"/>
    <w:link w:val="ListParagraphChar"/>
    <w:uiPriority w:val="34"/>
    <w:qFormat/>
    <w:rsid w:val="00AD4555"/>
    <w:pPr>
      <w:ind w:left="720"/>
      <w:contextualSpacing/>
    </w:pPr>
  </w:style>
  <w:style w:type="character" w:customStyle="1" w:styleId="ListParagraphChar">
    <w:name w:val="List Paragraph Char"/>
    <w:aliases w:val="lp1 Char,Bullets Char,List Paragraph nowy Char,References Char,Numbered List Paragraph Char,List Paragraph (numbered (a)) Char,Ha Char,List_Paragraph Char,Multilevel para_II Char,List Paragraph1 Char,Bullet Points Char,Paragraph Char"/>
    <w:link w:val="ListParagraph"/>
    <w:uiPriority w:val="34"/>
    <w:qFormat/>
    <w:rsid w:val="009A27B6"/>
  </w:style>
  <w:style w:type="table" w:styleId="GridTable4-Accent5">
    <w:name w:val="Grid Table 4 Accent 5"/>
    <w:basedOn w:val="TableNormal"/>
    <w:uiPriority w:val="49"/>
    <w:rsid w:val="009A5197"/>
    <w:pPr>
      <w:spacing w:after="0" w:line="240" w:lineRule="auto"/>
    </w:pPr>
    <w:rPr>
      <w:rFonts w:ascii="Baskerville Old Face" w:hAnsi="Baskerville Old Fac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cPr>
      <w:vAlign w:val="bottom"/>
    </w:tc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5380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3">
    <w:name w:val="Grid Table 5 Dark Accent 3"/>
    <w:basedOn w:val="TableNormal"/>
    <w:uiPriority w:val="50"/>
    <w:rsid w:val="002904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2904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urful">
    <w:name w:val="List Table 7 Colorful"/>
    <w:basedOn w:val="TableNormal"/>
    <w:uiPriority w:val="52"/>
    <w:rsid w:val="002904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3">
    <w:name w:val="List Table 4 Accent 3"/>
    <w:basedOn w:val="TableNormal"/>
    <w:uiPriority w:val="49"/>
    <w:rsid w:val="002904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4">
    <w:name w:val="Grid Table 1 Light Accent 4"/>
    <w:basedOn w:val="TableNormal"/>
    <w:uiPriority w:val="46"/>
    <w:rsid w:val="009C679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6ColourfulAccent5">
    <w:name w:val="Grid Table 6 Colorful Accent 5"/>
    <w:basedOn w:val="TableNormal"/>
    <w:uiPriority w:val="51"/>
    <w:rsid w:val="0002533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urfulAccent6">
    <w:name w:val="List Table 6 Colorful Accent 6"/>
    <w:basedOn w:val="TableNormal"/>
    <w:uiPriority w:val="51"/>
    <w:rsid w:val="0002533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urful">
    <w:name w:val="Grid Table 6 Colorful"/>
    <w:basedOn w:val="TableNormal"/>
    <w:uiPriority w:val="51"/>
    <w:rsid w:val="00563FB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563FB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5">
    <w:name w:val="Grid Table 2 Accent 5"/>
    <w:basedOn w:val="TableNormal"/>
    <w:uiPriority w:val="47"/>
    <w:rsid w:val="00EF2D3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cPr>
      <w:vAlign w:val="bottom"/>
    </w:tc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4">
    <w:name w:val="Grid Table 2 Accent 4"/>
    <w:basedOn w:val="TableNormal"/>
    <w:uiPriority w:val="47"/>
    <w:rsid w:val="009E453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5">
    <w:name w:val="Grid Table 3 Accent 5"/>
    <w:basedOn w:val="TableNormal"/>
    <w:uiPriority w:val="48"/>
    <w:rsid w:val="00EA3FB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Grid">
    <w:name w:val="Table Grid"/>
    <w:basedOn w:val="TableNormal"/>
    <w:uiPriority w:val="39"/>
    <w:rsid w:val="006532B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urfulAccent6">
    <w:name w:val="Grid Table 6 Colorful Accent 6"/>
    <w:basedOn w:val="TableNormal"/>
    <w:uiPriority w:val="51"/>
    <w:rsid w:val="0045053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3">
    <w:name w:val="Grid Table 2 Accent 3"/>
    <w:basedOn w:val="TableNormal"/>
    <w:uiPriority w:val="47"/>
    <w:rsid w:val="006F5F0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5">
    <w:name w:val="List Table 4 Accent 5"/>
    <w:basedOn w:val="TableNormal"/>
    <w:uiPriority w:val="49"/>
    <w:rsid w:val="00F0609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
    <w:name w:val="List Table 3"/>
    <w:basedOn w:val="TableNormal"/>
    <w:uiPriority w:val="48"/>
    <w:rsid w:val="00E40A5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40A5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2-Accent2">
    <w:name w:val="Grid Table 2 Accent 2"/>
    <w:basedOn w:val="TableNormal"/>
    <w:uiPriority w:val="47"/>
    <w:rsid w:val="00E40A5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5">
    <w:name w:val="Grid Table 1 Light Accent 5"/>
    <w:basedOn w:val="TableNormal"/>
    <w:uiPriority w:val="46"/>
    <w:rsid w:val="00F7665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6ColourfulAccent4">
    <w:name w:val="Grid Table 6 Colorful Accent 4"/>
    <w:basedOn w:val="TableNormal"/>
    <w:uiPriority w:val="51"/>
    <w:rsid w:val="00F7665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15">
    <w:name w:val="15"/>
    <w:basedOn w:val="DefaultParagraphFont"/>
    <w:rsid w:val="00BB1674"/>
    <w:rPr>
      <w:rFonts w:ascii="Times New Roman" w:hAnsi="Times New Roman" w:cs="Times New Roman" w:hint="default"/>
      <w:b/>
      <w:bCs/>
    </w:rPr>
  </w:style>
  <w:style w:type="table" w:customStyle="1" w:styleId="TableGrid1">
    <w:name w:val="Table Grid1"/>
    <w:basedOn w:val="TableNormal"/>
    <w:rsid w:val="00440EC2"/>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6ColourfulAccent2">
    <w:name w:val="Grid Table 6 Colorful Accent 2"/>
    <w:basedOn w:val="TableNormal"/>
    <w:uiPriority w:val="51"/>
    <w:rsid w:val="0064344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6">
    <w:name w:val="List Table 3 Accent 6"/>
    <w:basedOn w:val="TableNormal"/>
    <w:uiPriority w:val="48"/>
    <w:rsid w:val="0064344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5Dark-Accent5">
    <w:name w:val="Grid Table 5 Dark Accent 5"/>
    <w:basedOn w:val="TableNormal"/>
    <w:uiPriority w:val="50"/>
    <w:rsid w:val="00580A6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2">
    <w:name w:val="Grid Table 5 Dark Accent 2"/>
    <w:basedOn w:val="TableNormal"/>
    <w:uiPriority w:val="50"/>
    <w:rsid w:val="00FA52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Revision">
    <w:name w:val="Revision"/>
    <w:hidden/>
    <w:uiPriority w:val="99"/>
    <w:semiHidden/>
    <w:rsid w:val="00CE06A0"/>
    <w:pPr>
      <w:spacing w:after="0" w:line="240" w:lineRule="auto"/>
    </w:pPr>
  </w:style>
  <w:style w:type="paragraph" w:customStyle="1" w:styleId="ParagraphNumbering">
    <w:name w:val="Paragraph Numbering"/>
    <w:basedOn w:val="Normal"/>
    <w:link w:val="ParagraphNumberingChar"/>
    <w:uiPriority w:val="1"/>
    <w:qFormat/>
    <w:rsid w:val="002E29B9"/>
    <w:pPr>
      <w:numPr>
        <w:numId w:val="28"/>
      </w:numPr>
      <w:spacing w:after="240" w:line="264" w:lineRule="auto"/>
    </w:pPr>
    <w:rPr>
      <w:rFonts w:ascii="Segoe UI" w:eastAsia="SimSun" w:hAnsi="Segoe UI"/>
      <w:sz w:val="21"/>
      <w:szCs w:val="24"/>
    </w:rPr>
  </w:style>
  <w:style w:type="character" w:customStyle="1" w:styleId="ParagraphNumberingChar">
    <w:name w:val="Paragraph Numbering Char"/>
    <w:basedOn w:val="DefaultParagraphFont"/>
    <w:link w:val="ParagraphNumbering"/>
    <w:uiPriority w:val="1"/>
    <w:locked/>
    <w:rsid w:val="002E29B9"/>
    <w:rPr>
      <w:rFonts w:ascii="Segoe UI" w:eastAsia="SimSun" w:hAnsi="Segoe UI" w:cs="Times New Roman"/>
      <w:sz w:val="21"/>
      <w:szCs w:val="24"/>
    </w:rPr>
  </w:style>
  <w:style w:type="character" w:customStyle="1" w:styleId="Heading1Char">
    <w:name w:val="Heading 1 Char"/>
    <w:basedOn w:val="DefaultParagraphFont"/>
    <w:link w:val="Heading1"/>
    <w:uiPriority w:val="9"/>
    <w:rsid w:val="00FF1853"/>
    <w:rPr>
      <w:rFonts w:ascii="Baskerville Old Face" w:hAnsi="Baskerville Old Face" w:cs="Times New Roman"/>
      <w:b/>
      <w:bCs/>
      <w:sz w:val="36"/>
      <w:szCs w:val="36"/>
      <w:lang w:val="en-GB"/>
    </w:rPr>
  </w:style>
  <w:style w:type="table" w:styleId="GridTable4">
    <w:name w:val="Grid Table 4"/>
    <w:basedOn w:val="TableNormal"/>
    <w:uiPriority w:val="49"/>
    <w:rsid w:val="00A572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70108"/>
    <w:pPr>
      <w:spacing w:after="0" w:line="240" w:lineRule="auto"/>
    </w:pPr>
    <w:rPr>
      <w:rFonts w:eastAsiaTheme="minorEastAsia"/>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834590"/>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462FE6"/>
    <w:rPr>
      <w:sz w:val="16"/>
      <w:szCs w:val="16"/>
    </w:rPr>
  </w:style>
  <w:style w:type="paragraph" w:styleId="CommentText">
    <w:name w:val="annotation text"/>
    <w:basedOn w:val="Normal"/>
    <w:link w:val="CommentTextChar"/>
    <w:uiPriority w:val="99"/>
    <w:semiHidden/>
    <w:unhideWhenUsed/>
    <w:rsid w:val="00462FE6"/>
    <w:pPr>
      <w:spacing w:line="240" w:lineRule="auto"/>
    </w:pPr>
    <w:rPr>
      <w:sz w:val="20"/>
      <w:szCs w:val="20"/>
    </w:rPr>
  </w:style>
  <w:style w:type="character" w:customStyle="1" w:styleId="CommentTextChar">
    <w:name w:val="Comment Text Char"/>
    <w:basedOn w:val="DefaultParagraphFont"/>
    <w:link w:val="CommentText"/>
    <w:uiPriority w:val="99"/>
    <w:semiHidden/>
    <w:rsid w:val="00462FE6"/>
    <w:rPr>
      <w:sz w:val="20"/>
      <w:szCs w:val="20"/>
    </w:rPr>
  </w:style>
  <w:style w:type="paragraph" w:styleId="CommentSubject">
    <w:name w:val="annotation subject"/>
    <w:basedOn w:val="CommentText"/>
    <w:next w:val="CommentText"/>
    <w:link w:val="CommentSubjectChar"/>
    <w:uiPriority w:val="99"/>
    <w:semiHidden/>
    <w:unhideWhenUsed/>
    <w:rsid w:val="00462FE6"/>
    <w:rPr>
      <w:b/>
      <w:bCs/>
    </w:rPr>
  </w:style>
  <w:style w:type="character" w:customStyle="1" w:styleId="CommentSubjectChar">
    <w:name w:val="Comment Subject Char"/>
    <w:basedOn w:val="CommentTextChar"/>
    <w:link w:val="CommentSubject"/>
    <w:uiPriority w:val="99"/>
    <w:semiHidden/>
    <w:rsid w:val="00462FE6"/>
    <w:rPr>
      <w:b/>
      <w:bCs/>
      <w:sz w:val="20"/>
      <w:szCs w:val="20"/>
    </w:rPr>
  </w:style>
  <w:style w:type="character" w:customStyle="1" w:styleId="Heading2Char">
    <w:name w:val="Heading 2 Char"/>
    <w:basedOn w:val="DefaultParagraphFont"/>
    <w:link w:val="Heading2"/>
    <w:uiPriority w:val="9"/>
    <w:rsid w:val="00923467"/>
    <w:rPr>
      <w:rFonts w:ascii="Baskerville Old Face" w:hAnsi="Baskerville Old Face" w:cs="Times New Roman"/>
      <w:b/>
      <w:bCs/>
      <w:lang w:val="en-GB"/>
    </w:rPr>
  </w:style>
  <w:style w:type="character" w:customStyle="1" w:styleId="Heading3Char">
    <w:name w:val="Heading 3 Char"/>
    <w:basedOn w:val="DefaultParagraphFont"/>
    <w:link w:val="Heading3"/>
    <w:uiPriority w:val="9"/>
    <w:rsid w:val="00EF2D32"/>
    <w:rPr>
      <w:rFonts w:ascii="Baskerville Old Face" w:hAnsi="Baskerville Old Face" w:cs="Times New Roman"/>
      <w:b/>
      <w:bCs/>
      <w:i/>
      <w:iCs/>
      <w:lang w:val="en-GB"/>
    </w:rPr>
  </w:style>
  <w:style w:type="table" w:styleId="PlainTable1">
    <w:name w:val="Plain Table 1"/>
    <w:basedOn w:val="TableNormal"/>
    <w:uiPriority w:val="41"/>
    <w:rsid w:val="00BA0C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BA0C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FootnoteText">
    <w:name w:val="footnote text"/>
    <w:basedOn w:val="Normal"/>
    <w:link w:val="FootnoteTextChar"/>
    <w:uiPriority w:val="99"/>
    <w:unhideWhenUsed/>
    <w:rsid w:val="00753E01"/>
    <w:pPr>
      <w:spacing w:line="240" w:lineRule="auto"/>
    </w:pPr>
    <w:rPr>
      <w:sz w:val="20"/>
      <w:szCs w:val="20"/>
    </w:rPr>
  </w:style>
  <w:style w:type="character" w:customStyle="1" w:styleId="FootnoteTextChar">
    <w:name w:val="Footnote Text Char"/>
    <w:basedOn w:val="DefaultParagraphFont"/>
    <w:link w:val="FootnoteText"/>
    <w:uiPriority w:val="99"/>
    <w:rsid w:val="00753E01"/>
    <w:rPr>
      <w:sz w:val="20"/>
      <w:szCs w:val="20"/>
    </w:rPr>
  </w:style>
  <w:style w:type="character" w:styleId="FootnoteReference">
    <w:name w:val="footnote reference"/>
    <w:basedOn w:val="DefaultParagraphFont"/>
    <w:uiPriority w:val="99"/>
    <w:semiHidden/>
    <w:unhideWhenUsed/>
    <w:rsid w:val="00753E01"/>
    <w:rPr>
      <w:vertAlign w:val="superscript"/>
    </w:rPr>
  </w:style>
  <w:style w:type="paragraph" w:styleId="TOCHeading">
    <w:name w:val="TOC Heading"/>
    <w:basedOn w:val="Heading1"/>
    <w:next w:val="Normal"/>
    <w:uiPriority w:val="39"/>
    <w:unhideWhenUsed/>
    <w:qFormat/>
    <w:rsid w:val="0059271D"/>
    <w:pPr>
      <w:keepNext/>
      <w:keepLines/>
      <w:spacing w:before="480" w:after="0" w:line="276" w:lineRule="auto"/>
      <w:jc w:val="left"/>
      <w:outlineLvl w:val="9"/>
    </w:pPr>
    <w:rPr>
      <w:rFonts w:asciiTheme="majorHAnsi" w:eastAsiaTheme="majorEastAsia" w:hAnsiTheme="majorHAnsi" w:cstheme="majorBidi"/>
      <w:color w:val="2F5496" w:themeColor="accent1" w:themeShade="BF"/>
      <w:sz w:val="28"/>
      <w:szCs w:val="28"/>
      <w:lang w:val="en-US"/>
    </w:rPr>
  </w:style>
  <w:style w:type="paragraph" w:styleId="TOC1">
    <w:name w:val="toc 1"/>
    <w:basedOn w:val="Normal"/>
    <w:next w:val="Normal"/>
    <w:autoRedefine/>
    <w:uiPriority w:val="39"/>
    <w:unhideWhenUsed/>
    <w:rsid w:val="009C1DE7"/>
    <w:pPr>
      <w:tabs>
        <w:tab w:val="right" w:leader="dot" w:pos="9350"/>
      </w:tabs>
      <w:spacing w:before="120" w:after="120"/>
    </w:pPr>
    <w:rPr>
      <w:rFonts w:cstheme="minorHAnsi"/>
      <w:b/>
      <w:bCs/>
      <w:caps/>
      <w:sz w:val="20"/>
      <w:szCs w:val="20"/>
    </w:rPr>
  </w:style>
  <w:style w:type="paragraph" w:styleId="TOC2">
    <w:name w:val="toc 2"/>
    <w:basedOn w:val="Normal"/>
    <w:next w:val="Normal"/>
    <w:autoRedefine/>
    <w:uiPriority w:val="39"/>
    <w:unhideWhenUsed/>
    <w:rsid w:val="00684C76"/>
    <w:pPr>
      <w:tabs>
        <w:tab w:val="right" w:leader="dot" w:pos="9350"/>
      </w:tabs>
      <w:ind w:left="220"/>
    </w:pPr>
    <w:rPr>
      <w:rFonts w:cstheme="minorHAnsi"/>
      <w:smallCaps/>
      <w:sz w:val="20"/>
      <w:szCs w:val="20"/>
    </w:rPr>
  </w:style>
  <w:style w:type="paragraph" w:styleId="TOC3">
    <w:name w:val="toc 3"/>
    <w:basedOn w:val="Normal"/>
    <w:next w:val="Normal"/>
    <w:autoRedefine/>
    <w:uiPriority w:val="39"/>
    <w:unhideWhenUsed/>
    <w:rsid w:val="0059271D"/>
    <w:pPr>
      <w:ind w:left="440"/>
    </w:pPr>
    <w:rPr>
      <w:rFonts w:cstheme="minorHAnsi"/>
      <w:i/>
      <w:iCs/>
      <w:sz w:val="20"/>
      <w:szCs w:val="20"/>
    </w:rPr>
  </w:style>
  <w:style w:type="character" w:styleId="Hyperlink">
    <w:name w:val="Hyperlink"/>
    <w:basedOn w:val="DefaultParagraphFont"/>
    <w:uiPriority w:val="99"/>
    <w:unhideWhenUsed/>
    <w:rsid w:val="0059271D"/>
    <w:rPr>
      <w:color w:val="0563C1" w:themeColor="hyperlink"/>
      <w:u w:val="single"/>
    </w:rPr>
  </w:style>
  <w:style w:type="paragraph" w:styleId="TOC4">
    <w:name w:val="toc 4"/>
    <w:basedOn w:val="Normal"/>
    <w:next w:val="Normal"/>
    <w:autoRedefine/>
    <w:uiPriority w:val="39"/>
    <w:semiHidden/>
    <w:unhideWhenUsed/>
    <w:rsid w:val="0059271D"/>
    <w:pPr>
      <w:ind w:left="660"/>
    </w:pPr>
    <w:rPr>
      <w:rFonts w:cstheme="minorHAnsi"/>
      <w:sz w:val="18"/>
      <w:szCs w:val="18"/>
    </w:rPr>
  </w:style>
  <w:style w:type="paragraph" w:styleId="TOC5">
    <w:name w:val="toc 5"/>
    <w:basedOn w:val="Normal"/>
    <w:next w:val="Normal"/>
    <w:autoRedefine/>
    <w:uiPriority w:val="39"/>
    <w:semiHidden/>
    <w:unhideWhenUsed/>
    <w:rsid w:val="0059271D"/>
    <w:pPr>
      <w:ind w:left="880"/>
    </w:pPr>
    <w:rPr>
      <w:rFonts w:cstheme="minorHAnsi"/>
      <w:sz w:val="18"/>
      <w:szCs w:val="18"/>
    </w:rPr>
  </w:style>
  <w:style w:type="paragraph" w:styleId="TOC6">
    <w:name w:val="toc 6"/>
    <w:basedOn w:val="Normal"/>
    <w:next w:val="Normal"/>
    <w:autoRedefine/>
    <w:uiPriority w:val="39"/>
    <w:semiHidden/>
    <w:unhideWhenUsed/>
    <w:rsid w:val="0059271D"/>
    <w:pPr>
      <w:ind w:left="1100"/>
    </w:pPr>
    <w:rPr>
      <w:rFonts w:cstheme="minorHAnsi"/>
      <w:sz w:val="18"/>
      <w:szCs w:val="18"/>
    </w:rPr>
  </w:style>
  <w:style w:type="paragraph" w:styleId="TOC7">
    <w:name w:val="toc 7"/>
    <w:basedOn w:val="Normal"/>
    <w:next w:val="Normal"/>
    <w:autoRedefine/>
    <w:uiPriority w:val="39"/>
    <w:semiHidden/>
    <w:unhideWhenUsed/>
    <w:rsid w:val="0059271D"/>
    <w:pPr>
      <w:ind w:left="1320"/>
    </w:pPr>
    <w:rPr>
      <w:rFonts w:cstheme="minorHAnsi"/>
      <w:sz w:val="18"/>
      <w:szCs w:val="18"/>
    </w:rPr>
  </w:style>
  <w:style w:type="paragraph" w:styleId="TOC8">
    <w:name w:val="toc 8"/>
    <w:basedOn w:val="Normal"/>
    <w:next w:val="Normal"/>
    <w:autoRedefine/>
    <w:uiPriority w:val="39"/>
    <w:semiHidden/>
    <w:unhideWhenUsed/>
    <w:rsid w:val="0059271D"/>
    <w:pPr>
      <w:ind w:left="1540"/>
    </w:pPr>
    <w:rPr>
      <w:rFonts w:cstheme="minorHAnsi"/>
      <w:sz w:val="18"/>
      <w:szCs w:val="18"/>
    </w:rPr>
  </w:style>
  <w:style w:type="paragraph" w:styleId="TOC9">
    <w:name w:val="toc 9"/>
    <w:basedOn w:val="Normal"/>
    <w:next w:val="Normal"/>
    <w:autoRedefine/>
    <w:uiPriority w:val="39"/>
    <w:semiHidden/>
    <w:unhideWhenUsed/>
    <w:rsid w:val="0059271D"/>
    <w:pPr>
      <w:ind w:left="1760"/>
    </w:pPr>
    <w:rPr>
      <w:rFonts w:cstheme="minorHAnsi"/>
      <w:sz w:val="18"/>
      <w:szCs w:val="18"/>
    </w:rPr>
  </w:style>
  <w:style w:type="paragraph" w:styleId="Title">
    <w:name w:val="Title"/>
    <w:basedOn w:val="Normal"/>
    <w:next w:val="Normal"/>
    <w:link w:val="TitleChar"/>
    <w:uiPriority w:val="10"/>
    <w:qFormat/>
    <w:rsid w:val="00684C76"/>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84C76"/>
    <w:rPr>
      <w:rFonts w:ascii="Baskerville Old Face" w:eastAsiaTheme="majorEastAsia" w:hAnsi="Baskerville Old Face" w:cstheme="majorBidi"/>
      <w:spacing w:val="-10"/>
      <w:kern w:val="28"/>
      <w:sz w:val="56"/>
      <w:szCs w:val="56"/>
      <w:lang w:val="en-GB"/>
    </w:rPr>
  </w:style>
  <w:style w:type="paragraph" w:styleId="TableofFigures">
    <w:name w:val="table of figures"/>
    <w:basedOn w:val="Normal"/>
    <w:next w:val="Normal"/>
    <w:uiPriority w:val="99"/>
    <w:unhideWhenUsed/>
    <w:rsid w:val="0059271D"/>
  </w:style>
  <w:style w:type="table" w:styleId="GridTable5Dark-Accent6">
    <w:name w:val="Grid Table 5 Dark Accent 6"/>
    <w:basedOn w:val="TableNormal"/>
    <w:uiPriority w:val="50"/>
    <w:rsid w:val="00EF2D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6ColourfulAccent5">
    <w:name w:val="List Table 6 Colorful Accent 5"/>
    <w:basedOn w:val="TableNormal"/>
    <w:uiPriority w:val="51"/>
    <w:rsid w:val="009A519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3822">
      <w:bodyDiv w:val="1"/>
      <w:marLeft w:val="0"/>
      <w:marRight w:val="0"/>
      <w:marTop w:val="0"/>
      <w:marBottom w:val="0"/>
      <w:divBdr>
        <w:top w:val="none" w:sz="0" w:space="0" w:color="auto"/>
        <w:left w:val="none" w:sz="0" w:space="0" w:color="auto"/>
        <w:bottom w:val="none" w:sz="0" w:space="0" w:color="auto"/>
        <w:right w:val="none" w:sz="0" w:space="0" w:color="auto"/>
      </w:divBdr>
    </w:div>
    <w:div w:id="60108012">
      <w:bodyDiv w:val="1"/>
      <w:marLeft w:val="0"/>
      <w:marRight w:val="0"/>
      <w:marTop w:val="0"/>
      <w:marBottom w:val="0"/>
      <w:divBdr>
        <w:top w:val="none" w:sz="0" w:space="0" w:color="auto"/>
        <w:left w:val="none" w:sz="0" w:space="0" w:color="auto"/>
        <w:bottom w:val="none" w:sz="0" w:space="0" w:color="auto"/>
        <w:right w:val="none" w:sz="0" w:space="0" w:color="auto"/>
      </w:divBdr>
    </w:div>
    <w:div w:id="87821537">
      <w:bodyDiv w:val="1"/>
      <w:marLeft w:val="0"/>
      <w:marRight w:val="0"/>
      <w:marTop w:val="0"/>
      <w:marBottom w:val="0"/>
      <w:divBdr>
        <w:top w:val="none" w:sz="0" w:space="0" w:color="auto"/>
        <w:left w:val="none" w:sz="0" w:space="0" w:color="auto"/>
        <w:bottom w:val="none" w:sz="0" w:space="0" w:color="auto"/>
        <w:right w:val="none" w:sz="0" w:space="0" w:color="auto"/>
      </w:divBdr>
    </w:div>
    <w:div w:id="141895654">
      <w:bodyDiv w:val="1"/>
      <w:marLeft w:val="0"/>
      <w:marRight w:val="0"/>
      <w:marTop w:val="0"/>
      <w:marBottom w:val="0"/>
      <w:divBdr>
        <w:top w:val="none" w:sz="0" w:space="0" w:color="auto"/>
        <w:left w:val="none" w:sz="0" w:space="0" w:color="auto"/>
        <w:bottom w:val="none" w:sz="0" w:space="0" w:color="auto"/>
        <w:right w:val="none" w:sz="0" w:space="0" w:color="auto"/>
      </w:divBdr>
    </w:div>
    <w:div w:id="165824479">
      <w:bodyDiv w:val="1"/>
      <w:marLeft w:val="0"/>
      <w:marRight w:val="0"/>
      <w:marTop w:val="0"/>
      <w:marBottom w:val="0"/>
      <w:divBdr>
        <w:top w:val="none" w:sz="0" w:space="0" w:color="auto"/>
        <w:left w:val="none" w:sz="0" w:space="0" w:color="auto"/>
        <w:bottom w:val="none" w:sz="0" w:space="0" w:color="auto"/>
        <w:right w:val="none" w:sz="0" w:space="0" w:color="auto"/>
      </w:divBdr>
    </w:div>
    <w:div w:id="186523683">
      <w:bodyDiv w:val="1"/>
      <w:marLeft w:val="0"/>
      <w:marRight w:val="0"/>
      <w:marTop w:val="0"/>
      <w:marBottom w:val="0"/>
      <w:divBdr>
        <w:top w:val="none" w:sz="0" w:space="0" w:color="auto"/>
        <w:left w:val="none" w:sz="0" w:space="0" w:color="auto"/>
        <w:bottom w:val="none" w:sz="0" w:space="0" w:color="auto"/>
        <w:right w:val="none" w:sz="0" w:space="0" w:color="auto"/>
      </w:divBdr>
    </w:div>
    <w:div w:id="226915970">
      <w:bodyDiv w:val="1"/>
      <w:marLeft w:val="0"/>
      <w:marRight w:val="0"/>
      <w:marTop w:val="0"/>
      <w:marBottom w:val="0"/>
      <w:divBdr>
        <w:top w:val="none" w:sz="0" w:space="0" w:color="auto"/>
        <w:left w:val="none" w:sz="0" w:space="0" w:color="auto"/>
        <w:bottom w:val="none" w:sz="0" w:space="0" w:color="auto"/>
        <w:right w:val="none" w:sz="0" w:space="0" w:color="auto"/>
      </w:divBdr>
    </w:div>
    <w:div w:id="265967572">
      <w:bodyDiv w:val="1"/>
      <w:marLeft w:val="0"/>
      <w:marRight w:val="0"/>
      <w:marTop w:val="0"/>
      <w:marBottom w:val="0"/>
      <w:divBdr>
        <w:top w:val="none" w:sz="0" w:space="0" w:color="auto"/>
        <w:left w:val="none" w:sz="0" w:space="0" w:color="auto"/>
        <w:bottom w:val="none" w:sz="0" w:space="0" w:color="auto"/>
        <w:right w:val="none" w:sz="0" w:space="0" w:color="auto"/>
      </w:divBdr>
    </w:div>
    <w:div w:id="307327723">
      <w:bodyDiv w:val="1"/>
      <w:marLeft w:val="0"/>
      <w:marRight w:val="0"/>
      <w:marTop w:val="0"/>
      <w:marBottom w:val="0"/>
      <w:divBdr>
        <w:top w:val="none" w:sz="0" w:space="0" w:color="auto"/>
        <w:left w:val="none" w:sz="0" w:space="0" w:color="auto"/>
        <w:bottom w:val="none" w:sz="0" w:space="0" w:color="auto"/>
        <w:right w:val="none" w:sz="0" w:space="0" w:color="auto"/>
      </w:divBdr>
    </w:div>
    <w:div w:id="321660723">
      <w:bodyDiv w:val="1"/>
      <w:marLeft w:val="0"/>
      <w:marRight w:val="0"/>
      <w:marTop w:val="0"/>
      <w:marBottom w:val="0"/>
      <w:divBdr>
        <w:top w:val="none" w:sz="0" w:space="0" w:color="auto"/>
        <w:left w:val="none" w:sz="0" w:space="0" w:color="auto"/>
        <w:bottom w:val="none" w:sz="0" w:space="0" w:color="auto"/>
        <w:right w:val="none" w:sz="0" w:space="0" w:color="auto"/>
      </w:divBdr>
    </w:div>
    <w:div w:id="473523532">
      <w:bodyDiv w:val="1"/>
      <w:marLeft w:val="0"/>
      <w:marRight w:val="0"/>
      <w:marTop w:val="0"/>
      <w:marBottom w:val="0"/>
      <w:divBdr>
        <w:top w:val="none" w:sz="0" w:space="0" w:color="auto"/>
        <w:left w:val="none" w:sz="0" w:space="0" w:color="auto"/>
        <w:bottom w:val="none" w:sz="0" w:space="0" w:color="auto"/>
        <w:right w:val="none" w:sz="0" w:space="0" w:color="auto"/>
      </w:divBdr>
    </w:div>
    <w:div w:id="484056759">
      <w:bodyDiv w:val="1"/>
      <w:marLeft w:val="0"/>
      <w:marRight w:val="0"/>
      <w:marTop w:val="0"/>
      <w:marBottom w:val="0"/>
      <w:divBdr>
        <w:top w:val="none" w:sz="0" w:space="0" w:color="auto"/>
        <w:left w:val="none" w:sz="0" w:space="0" w:color="auto"/>
        <w:bottom w:val="none" w:sz="0" w:space="0" w:color="auto"/>
        <w:right w:val="none" w:sz="0" w:space="0" w:color="auto"/>
      </w:divBdr>
    </w:div>
    <w:div w:id="596521039">
      <w:bodyDiv w:val="1"/>
      <w:marLeft w:val="0"/>
      <w:marRight w:val="0"/>
      <w:marTop w:val="0"/>
      <w:marBottom w:val="0"/>
      <w:divBdr>
        <w:top w:val="none" w:sz="0" w:space="0" w:color="auto"/>
        <w:left w:val="none" w:sz="0" w:space="0" w:color="auto"/>
        <w:bottom w:val="none" w:sz="0" w:space="0" w:color="auto"/>
        <w:right w:val="none" w:sz="0" w:space="0" w:color="auto"/>
      </w:divBdr>
    </w:div>
    <w:div w:id="606617031">
      <w:bodyDiv w:val="1"/>
      <w:marLeft w:val="0"/>
      <w:marRight w:val="0"/>
      <w:marTop w:val="0"/>
      <w:marBottom w:val="0"/>
      <w:divBdr>
        <w:top w:val="none" w:sz="0" w:space="0" w:color="auto"/>
        <w:left w:val="none" w:sz="0" w:space="0" w:color="auto"/>
        <w:bottom w:val="none" w:sz="0" w:space="0" w:color="auto"/>
        <w:right w:val="none" w:sz="0" w:space="0" w:color="auto"/>
      </w:divBdr>
    </w:div>
    <w:div w:id="782191155">
      <w:bodyDiv w:val="1"/>
      <w:marLeft w:val="0"/>
      <w:marRight w:val="0"/>
      <w:marTop w:val="0"/>
      <w:marBottom w:val="0"/>
      <w:divBdr>
        <w:top w:val="none" w:sz="0" w:space="0" w:color="auto"/>
        <w:left w:val="none" w:sz="0" w:space="0" w:color="auto"/>
        <w:bottom w:val="none" w:sz="0" w:space="0" w:color="auto"/>
        <w:right w:val="none" w:sz="0" w:space="0" w:color="auto"/>
      </w:divBdr>
    </w:div>
    <w:div w:id="848636058">
      <w:bodyDiv w:val="1"/>
      <w:marLeft w:val="0"/>
      <w:marRight w:val="0"/>
      <w:marTop w:val="0"/>
      <w:marBottom w:val="0"/>
      <w:divBdr>
        <w:top w:val="none" w:sz="0" w:space="0" w:color="auto"/>
        <w:left w:val="none" w:sz="0" w:space="0" w:color="auto"/>
        <w:bottom w:val="none" w:sz="0" w:space="0" w:color="auto"/>
        <w:right w:val="none" w:sz="0" w:space="0" w:color="auto"/>
      </w:divBdr>
    </w:div>
    <w:div w:id="902839198">
      <w:bodyDiv w:val="1"/>
      <w:marLeft w:val="0"/>
      <w:marRight w:val="0"/>
      <w:marTop w:val="0"/>
      <w:marBottom w:val="0"/>
      <w:divBdr>
        <w:top w:val="none" w:sz="0" w:space="0" w:color="auto"/>
        <w:left w:val="none" w:sz="0" w:space="0" w:color="auto"/>
        <w:bottom w:val="none" w:sz="0" w:space="0" w:color="auto"/>
        <w:right w:val="none" w:sz="0" w:space="0" w:color="auto"/>
      </w:divBdr>
    </w:div>
    <w:div w:id="911742503">
      <w:bodyDiv w:val="1"/>
      <w:marLeft w:val="0"/>
      <w:marRight w:val="0"/>
      <w:marTop w:val="0"/>
      <w:marBottom w:val="0"/>
      <w:divBdr>
        <w:top w:val="none" w:sz="0" w:space="0" w:color="auto"/>
        <w:left w:val="none" w:sz="0" w:space="0" w:color="auto"/>
        <w:bottom w:val="none" w:sz="0" w:space="0" w:color="auto"/>
        <w:right w:val="none" w:sz="0" w:space="0" w:color="auto"/>
      </w:divBdr>
    </w:div>
    <w:div w:id="925115621">
      <w:bodyDiv w:val="1"/>
      <w:marLeft w:val="0"/>
      <w:marRight w:val="0"/>
      <w:marTop w:val="0"/>
      <w:marBottom w:val="0"/>
      <w:divBdr>
        <w:top w:val="none" w:sz="0" w:space="0" w:color="auto"/>
        <w:left w:val="none" w:sz="0" w:space="0" w:color="auto"/>
        <w:bottom w:val="none" w:sz="0" w:space="0" w:color="auto"/>
        <w:right w:val="none" w:sz="0" w:space="0" w:color="auto"/>
      </w:divBdr>
    </w:div>
    <w:div w:id="925960684">
      <w:bodyDiv w:val="1"/>
      <w:marLeft w:val="0"/>
      <w:marRight w:val="0"/>
      <w:marTop w:val="0"/>
      <w:marBottom w:val="0"/>
      <w:divBdr>
        <w:top w:val="none" w:sz="0" w:space="0" w:color="auto"/>
        <w:left w:val="none" w:sz="0" w:space="0" w:color="auto"/>
        <w:bottom w:val="none" w:sz="0" w:space="0" w:color="auto"/>
        <w:right w:val="none" w:sz="0" w:space="0" w:color="auto"/>
      </w:divBdr>
    </w:div>
    <w:div w:id="946348234">
      <w:bodyDiv w:val="1"/>
      <w:marLeft w:val="0"/>
      <w:marRight w:val="0"/>
      <w:marTop w:val="0"/>
      <w:marBottom w:val="0"/>
      <w:divBdr>
        <w:top w:val="none" w:sz="0" w:space="0" w:color="auto"/>
        <w:left w:val="none" w:sz="0" w:space="0" w:color="auto"/>
        <w:bottom w:val="none" w:sz="0" w:space="0" w:color="auto"/>
        <w:right w:val="none" w:sz="0" w:space="0" w:color="auto"/>
      </w:divBdr>
    </w:div>
    <w:div w:id="1003702402">
      <w:bodyDiv w:val="1"/>
      <w:marLeft w:val="0"/>
      <w:marRight w:val="0"/>
      <w:marTop w:val="0"/>
      <w:marBottom w:val="0"/>
      <w:divBdr>
        <w:top w:val="none" w:sz="0" w:space="0" w:color="auto"/>
        <w:left w:val="none" w:sz="0" w:space="0" w:color="auto"/>
        <w:bottom w:val="none" w:sz="0" w:space="0" w:color="auto"/>
        <w:right w:val="none" w:sz="0" w:space="0" w:color="auto"/>
      </w:divBdr>
    </w:div>
    <w:div w:id="1034623514">
      <w:bodyDiv w:val="1"/>
      <w:marLeft w:val="0"/>
      <w:marRight w:val="0"/>
      <w:marTop w:val="0"/>
      <w:marBottom w:val="0"/>
      <w:divBdr>
        <w:top w:val="none" w:sz="0" w:space="0" w:color="auto"/>
        <w:left w:val="none" w:sz="0" w:space="0" w:color="auto"/>
        <w:bottom w:val="none" w:sz="0" w:space="0" w:color="auto"/>
        <w:right w:val="none" w:sz="0" w:space="0" w:color="auto"/>
      </w:divBdr>
    </w:div>
    <w:div w:id="1038237268">
      <w:bodyDiv w:val="1"/>
      <w:marLeft w:val="0"/>
      <w:marRight w:val="0"/>
      <w:marTop w:val="0"/>
      <w:marBottom w:val="0"/>
      <w:divBdr>
        <w:top w:val="none" w:sz="0" w:space="0" w:color="auto"/>
        <w:left w:val="none" w:sz="0" w:space="0" w:color="auto"/>
        <w:bottom w:val="none" w:sz="0" w:space="0" w:color="auto"/>
        <w:right w:val="none" w:sz="0" w:space="0" w:color="auto"/>
      </w:divBdr>
    </w:div>
    <w:div w:id="1136678052">
      <w:bodyDiv w:val="1"/>
      <w:marLeft w:val="0"/>
      <w:marRight w:val="0"/>
      <w:marTop w:val="0"/>
      <w:marBottom w:val="0"/>
      <w:divBdr>
        <w:top w:val="none" w:sz="0" w:space="0" w:color="auto"/>
        <w:left w:val="none" w:sz="0" w:space="0" w:color="auto"/>
        <w:bottom w:val="none" w:sz="0" w:space="0" w:color="auto"/>
        <w:right w:val="none" w:sz="0" w:space="0" w:color="auto"/>
      </w:divBdr>
    </w:div>
    <w:div w:id="1145391872">
      <w:bodyDiv w:val="1"/>
      <w:marLeft w:val="0"/>
      <w:marRight w:val="0"/>
      <w:marTop w:val="0"/>
      <w:marBottom w:val="0"/>
      <w:divBdr>
        <w:top w:val="none" w:sz="0" w:space="0" w:color="auto"/>
        <w:left w:val="none" w:sz="0" w:space="0" w:color="auto"/>
        <w:bottom w:val="none" w:sz="0" w:space="0" w:color="auto"/>
        <w:right w:val="none" w:sz="0" w:space="0" w:color="auto"/>
      </w:divBdr>
    </w:div>
    <w:div w:id="1150633724">
      <w:bodyDiv w:val="1"/>
      <w:marLeft w:val="0"/>
      <w:marRight w:val="0"/>
      <w:marTop w:val="0"/>
      <w:marBottom w:val="0"/>
      <w:divBdr>
        <w:top w:val="none" w:sz="0" w:space="0" w:color="auto"/>
        <w:left w:val="none" w:sz="0" w:space="0" w:color="auto"/>
        <w:bottom w:val="none" w:sz="0" w:space="0" w:color="auto"/>
        <w:right w:val="none" w:sz="0" w:space="0" w:color="auto"/>
      </w:divBdr>
    </w:div>
    <w:div w:id="1166287399">
      <w:bodyDiv w:val="1"/>
      <w:marLeft w:val="0"/>
      <w:marRight w:val="0"/>
      <w:marTop w:val="0"/>
      <w:marBottom w:val="0"/>
      <w:divBdr>
        <w:top w:val="none" w:sz="0" w:space="0" w:color="auto"/>
        <w:left w:val="none" w:sz="0" w:space="0" w:color="auto"/>
        <w:bottom w:val="none" w:sz="0" w:space="0" w:color="auto"/>
        <w:right w:val="none" w:sz="0" w:space="0" w:color="auto"/>
      </w:divBdr>
    </w:div>
    <w:div w:id="1226143821">
      <w:bodyDiv w:val="1"/>
      <w:marLeft w:val="0"/>
      <w:marRight w:val="0"/>
      <w:marTop w:val="0"/>
      <w:marBottom w:val="0"/>
      <w:divBdr>
        <w:top w:val="none" w:sz="0" w:space="0" w:color="auto"/>
        <w:left w:val="none" w:sz="0" w:space="0" w:color="auto"/>
        <w:bottom w:val="none" w:sz="0" w:space="0" w:color="auto"/>
        <w:right w:val="none" w:sz="0" w:space="0" w:color="auto"/>
      </w:divBdr>
    </w:div>
    <w:div w:id="1246888101">
      <w:bodyDiv w:val="1"/>
      <w:marLeft w:val="0"/>
      <w:marRight w:val="0"/>
      <w:marTop w:val="0"/>
      <w:marBottom w:val="0"/>
      <w:divBdr>
        <w:top w:val="none" w:sz="0" w:space="0" w:color="auto"/>
        <w:left w:val="none" w:sz="0" w:space="0" w:color="auto"/>
        <w:bottom w:val="none" w:sz="0" w:space="0" w:color="auto"/>
        <w:right w:val="none" w:sz="0" w:space="0" w:color="auto"/>
      </w:divBdr>
    </w:div>
    <w:div w:id="1290208837">
      <w:bodyDiv w:val="1"/>
      <w:marLeft w:val="0"/>
      <w:marRight w:val="0"/>
      <w:marTop w:val="0"/>
      <w:marBottom w:val="0"/>
      <w:divBdr>
        <w:top w:val="none" w:sz="0" w:space="0" w:color="auto"/>
        <w:left w:val="none" w:sz="0" w:space="0" w:color="auto"/>
        <w:bottom w:val="none" w:sz="0" w:space="0" w:color="auto"/>
        <w:right w:val="none" w:sz="0" w:space="0" w:color="auto"/>
      </w:divBdr>
    </w:div>
    <w:div w:id="1317689363">
      <w:bodyDiv w:val="1"/>
      <w:marLeft w:val="0"/>
      <w:marRight w:val="0"/>
      <w:marTop w:val="0"/>
      <w:marBottom w:val="0"/>
      <w:divBdr>
        <w:top w:val="none" w:sz="0" w:space="0" w:color="auto"/>
        <w:left w:val="none" w:sz="0" w:space="0" w:color="auto"/>
        <w:bottom w:val="none" w:sz="0" w:space="0" w:color="auto"/>
        <w:right w:val="none" w:sz="0" w:space="0" w:color="auto"/>
      </w:divBdr>
    </w:div>
    <w:div w:id="1336686585">
      <w:bodyDiv w:val="1"/>
      <w:marLeft w:val="0"/>
      <w:marRight w:val="0"/>
      <w:marTop w:val="0"/>
      <w:marBottom w:val="0"/>
      <w:divBdr>
        <w:top w:val="none" w:sz="0" w:space="0" w:color="auto"/>
        <w:left w:val="none" w:sz="0" w:space="0" w:color="auto"/>
        <w:bottom w:val="none" w:sz="0" w:space="0" w:color="auto"/>
        <w:right w:val="none" w:sz="0" w:space="0" w:color="auto"/>
      </w:divBdr>
    </w:div>
    <w:div w:id="1417434068">
      <w:bodyDiv w:val="1"/>
      <w:marLeft w:val="0"/>
      <w:marRight w:val="0"/>
      <w:marTop w:val="0"/>
      <w:marBottom w:val="0"/>
      <w:divBdr>
        <w:top w:val="none" w:sz="0" w:space="0" w:color="auto"/>
        <w:left w:val="none" w:sz="0" w:space="0" w:color="auto"/>
        <w:bottom w:val="none" w:sz="0" w:space="0" w:color="auto"/>
        <w:right w:val="none" w:sz="0" w:space="0" w:color="auto"/>
      </w:divBdr>
    </w:div>
    <w:div w:id="1461261313">
      <w:bodyDiv w:val="1"/>
      <w:marLeft w:val="0"/>
      <w:marRight w:val="0"/>
      <w:marTop w:val="0"/>
      <w:marBottom w:val="0"/>
      <w:divBdr>
        <w:top w:val="none" w:sz="0" w:space="0" w:color="auto"/>
        <w:left w:val="none" w:sz="0" w:space="0" w:color="auto"/>
        <w:bottom w:val="none" w:sz="0" w:space="0" w:color="auto"/>
        <w:right w:val="none" w:sz="0" w:space="0" w:color="auto"/>
      </w:divBdr>
    </w:div>
    <w:div w:id="1478910031">
      <w:bodyDiv w:val="1"/>
      <w:marLeft w:val="0"/>
      <w:marRight w:val="0"/>
      <w:marTop w:val="0"/>
      <w:marBottom w:val="0"/>
      <w:divBdr>
        <w:top w:val="none" w:sz="0" w:space="0" w:color="auto"/>
        <w:left w:val="none" w:sz="0" w:space="0" w:color="auto"/>
        <w:bottom w:val="none" w:sz="0" w:space="0" w:color="auto"/>
        <w:right w:val="none" w:sz="0" w:space="0" w:color="auto"/>
      </w:divBdr>
    </w:div>
    <w:div w:id="1544516269">
      <w:bodyDiv w:val="1"/>
      <w:marLeft w:val="0"/>
      <w:marRight w:val="0"/>
      <w:marTop w:val="0"/>
      <w:marBottom w:val="0"/>
      <w:divBdr>
        <w:top w:val="none" w:sz="0" w:space="0" w:color="auto"/>
        <w:left w:val="none" w:sz="0" w:space="0" w:color="auto"/>
        <w:bottom w:val="none" w:sz="0" w:space="0" w:color="auto"/>
        <w:right w:val="none" w:sz="0" w:space="0" w:color="auto"/>
      </w:divBdr>
    </w:div>
    <w:div w:id="1670675296">
      <w:bodyDiv w:val="1"/>
      <w:marLeft w:val="0"/>
      <w:marRight w:val="0"/>
      <w:marTop w:val="0"/>
      <w:marBottom w:val="0"/>
      <w:divBdr>
        <w:top w:val="none" w:sz="0" w:space="0" w:color="auto"/>
        <w:left w:val="none" w:sz="0" w:space="0" w:color="auto"/>
        <w:bottom w:val="none" w:sz="0" w:space="0" w:color="auto"/>
        <w:right w:val="none" w:sz="0" w:space="0" w:color="auto"/>
      </w:divBdr>
    </w:div>
    <w:div w:id="1689680300">
      <w:bodyDiv w:val="1"/>
      <w:marLeft w:val="0"/>
      <w:marRight w:val="0"/>
      <w:marTop w:val="0"/>
      <w:marBottom w:val="0"/>
      <w:divBdr>
        <w:top w:val="none" w:sz="0" w:space="0" w:color="auto"/>
        <w:left w:val="none" w:sz="0" w:space="0" w:color="auto"/>
        <w:bottom w:val="none" w:sz="0" w:space="0" w:color="auto"/>
        <w:right w:val="none" w:sz="0" w:space="0" w:color="auto"/>
      </w:divBdr>
    </w:div>
    <w:div w:id="1725713726">
      <w:bodyDiv w:val="1"/>
      <w:marLeft w:val="0"/>
      <w:marRight w:val="0"/>
      <w:marTop w:val="0"/>
      <w:marBottom w:val="0"/>
      <w:divBdr>
        <w:top w:val="none" w:sz="0" w:space="0" w:color="auto"/>
        <w:left w:val="none" w:sz="0" w:space="0" w:color="auto"/>
        <w:bottom w:val="none" w:sz="0" w:space="0" w:color="auto"/>
        <w:right w:val="none" w:sz="0" w:space="0" w:color="auto"/>
      </w:divBdr>
    </w:div>
    <w:div w:id="1769816140">
      <w:bodyDiv w:val="1"/>
      <w:marLeft w:val="0"/>
      <w:marRight w:val="0"/>
      <w:marTop w:val="0"/>
      <w:marBottom w:val="0"/>
      <w:divBdr>
        <w:top w:val="none" w:sz="0" w:space="0" w:color="auto"/>
        <w:left w:val="none" w:sz="0" w:space="0" w:color="auto"/>
        <w:bottom w:val="none" w:sz="0" w:space="0" w:color="auto"/>
        <w:right w:val="none" w:sz="0" w:space="0" w:color="auto"/>
      </w:divBdr>
    </w:div>
    <w:div w:id="1900626460">
      <w:bodyDiv w:val="1"/>
      <w:marLeft w:val="0"/>
      <w:marRight w:val="0"/>
      <w:marTop w:val="0"/>
      <w:marBottom w:val="0"/>
      <w:divBdr>
        <w:top w:val="none" w:sz="0" w:space="0" w:color="auto"/>
        <w:left w:val="none" w:sz="0" w:space="0" w:color="auto"/>
        <w:bottom w:val="none" w:sz="0" w:space="0" w:color="auto"/>
        <w:right w:val="none" w:sz="0" w:space="0" w:color="auto"/>
      </w:divBdr>
    </w:div>
    <w:div w:id="1919317855">
      <w:bodyDiv w:val="1"/>
      <w:marLeft w:val="0"/>
      <w:marRight w:val="0"/>
      <w:marTop w:val="0"/>
      <w:marBottom w:val="0"/>
      <w:divBdr>
        <w:top w:val="none" w:sz="0" w:space="0" w:color="auto"/>
        <w:left w:val="none" w:sz="0" w:space="0" w:color="auto"/>
        <w:bottom w:val="none" w:sz="0" w:space="0" w:color="auto"/>
        <w:right w:val="none" w:sz="0" w:space="0" w:color="auto"/>
      </w:divBdr>
    </w:div>
    <w:div w:id="1981374460">
      <w:bodyDiv w:val="1"/>
      <w:marLeft w:val="0"/>
      <w:marRight w:val="0"/>
      <w:marTop w:val="0"/>
      <w:marBottom w:val="0"/>
      <w:divBdr>
        <w:top w:val="none" w:sz="0" w:space="0" w:color="auto"/>
        <w:left w:val="none" w:sz="0" w:space="0" w:color="auto"/>
        <w:bottom w:val="none" w:sz="0" w:space="0" w:color="auto"/>
        <w:right w:val="none" w:sz="0" w:space="0" w:color="auto"/>
      </w:divBdr>
    </w:div>
    <w:div w:id="2095854867">
      <w:bodyDiv w:val="1"/>
      <w:marLeft w:val="0"/>
      <w:marRight w:val="0"/>
      <w:marTop w:val="0"/>
      <w:marBottom w:val="0"/>
      <w:divBdr>
        <w:top w:val="none" w:sz="0" w:space="0" w:color="auto"/>
        <w:left w:val="none" w:sz="0" w:space="0" w:color="auto"/>
        <w:bottom w:val="none" w:sz="0" w:space="0" w:color="auto"/>
        <w:right w:val="none" w:sz="0" w:space="0" w:color="auto"/>
      </w:divBdr>
    </w:div>
    <w:div w:id="21271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png"/><Relationship Id="rId14" Type="http://schemas.microsoft.com/office/2014/relationships/chartEx" Target="charts/chartEx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r.%20Philip%20Kargbo\Documents\Historic%20Revenue%20Details%202010-2020%20Yakam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mkargbo\Documents\Historic%20Revenue%20Details%202017-2022Q1%20Alex.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r.%20Philip%20Kargbo\Documents\Pen%20Drive%2016-4-2020\USB%20Drive\Historic%20DF%202010%2020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seymour-wilson\Desktop\MRP%20Work%20%202023\Annual%20Reports%202022\For%202022%20annual%20report.xlsx" TargetMode="External"/><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8.xml"/><Relationship Id="rId1" Type="http://schemas.microsoft.com/office/2011/relationships/chartStyle" Target="style8.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sseymour-wilson\Desktop\MRP%20Work%20%202023\Annual%20Reports%202022\For%202022%20annual%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Baskerville Old Face" panose="02020602080505020303" pitchFamily="18" charset="0"/>
                <a:ea typeface="+mn-ea"/>
                <a:cs typeface="+mn-cs"/>
              </a:defRPr>
            </a:pPr>
            <a:r>
              <a:rPr lang="en-US" sz="1400"/>
              <a:t>TREND in Domestic Revenue, 2017-2022 </a:t>
            </a:r>
          </a:p>
          <a:p>
            <a:pPr>
              <a:defRPr/>
            </a:pPr>
            <a:r>
              <a:rPr lang="en-US" sz="1400"/>
              <a:t>(Le Bn)</a:t>
            </a:r>
          </a:p>
        </c:rich>
      </c:tx>
      <c:layout>
        <c:manualLayout>
          <c:xMode val="edge"/>
          <c:yMode val="edge"/>
          <c:x val="0.15086635003957838"/>
          <c:y val="2.0919074478023207E-2"/>
        </c:manualLayout>
      </c:layout>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Baskerville Old Face" panose="02020602080505020303" pitchFamily="18" charset="0"/>
              <a:ea typeface="+mn-ea"/>
              <a:cs typeface="+mn-cs"/>
            </a:defRPr>
          </a:pPr>
          <a:endParaRPr lang="en-US"/>
        </a:p>
      </c:txPr>
    </c:title>
    <c:autoTitleDeleted val="0"/>
    <c:plotArea>
      <c:layout/>
      <c:lineChart>
        <c:grouping val="standard"/>
        <c:varyColors val="0"/>
        <c:ser>
          <c:idx val="0"/>
          <c:order val="0"/>
          <c:tx>
            <c:strRef>
              <c:f>'Sheet4 (2)'!$A$3</c:f>
              <c:strCache>
                <c:ptCount val="1"/>
                <c:pt idx="0">
                  <c:v>Total Domestic Revenue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50000"/>
                        <a:lumOff val="50000"/>
                      </a:schemeClr>
                    </a:solidFill>
                    <a:latin typeface="Baskerville Old Face" panose="02020602080505020303" pitchFamily="18"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cat>
            <c:numRef>
              <c:f>'Sheet4 (2)'!$B$2:$G$2</c:f>
              <c:numCache>
                <c:formatCode>General</c:formatCode>
                <c:ptCount val="6"/>
                <c:pt idx="0">
                  <c:v>2017</c:v>
                </c:pt>
                <c:pt idx="1">
                  <c:v>2018</c:v>
                </c:pt>
                <c:pt idx="2">
                  <c:v>2019</c:v>
                </c:pt>
                <c:pt idx="3">
                  <c:v>2020</c:v>
                </c:pt>
                <c:pt idx="4">
                  <c:v>2021</c:v>
                </c:pt>
                <c:pt idx="5">
                  <c:v>2022</c:v>
                </c:pt>
              </c:numCache>
            </c:numRef>
          </c:cat>
          <c:val>
            <c:numRef>
              <c:f>'Sheet4 (2)'!$B$3:$G$3</c:f>
              <c:numCache>
                <c:formatCode>_(* #,##0_);_(* \(#,##0\);_(* "-"_);_(@_)</c:formatCode>
                <c:ptCount val="6"/>
                <c:pt idx="0">
                  <c:v>3345.5072508696803</c:v>
                </c:pt>
                <c:pt idx="1">
                  <c:v>4428.4583814838206</c:v>
                </c:pt>
                <c:pt idx="2">
                  <c:v>5417.1049999999996</c:v>
                </c:pt>
                <c:pt idx="3">
                  <c:v>5500.6300580000006</c:v>
                </c:pt>
                <c:pt idx="4">
                  <c:v>6917.1031824130396</c:v>
                </c:pt>
                <c:pt idx="5">
                  <c:v>7046</c:v>
                </c:pt>
              </c:numCache>
            </c:numRef>
          </c:val>
          <c:smooth val="0"/>
          <c:extLst>
            <c:ext xmlns:c16="http://schemas.microsoft.com/office/drawing/2014/chart" uri="{C3380CC4-5D6E-409C-BE32-E72D297353CC}">
              <c16:uniqueId val="{00000001-B4B1-4569-AE07-6CCA703A85DC}"/>
            </c:ext>
          </c:extLst>
        </c:ser>
        <c:ser>
          <c:idx val="1"/>
          <c:order val="1"/>
          <c:tx>
            <c:strRef>
              <c:f>'Sheet4 (2)'!$A$4</c:f>
              <c:strCache>
                <c:ptCount val="1"/>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50000"/>
                        <a:lumOff val="50000"/>
                      </a:schemeClr>
                    </a:solidFill>
                    <a:latin typeface="Baskerville Old Face" panose="02020602080505020303" pitchFamily="18"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2"/>
                </a:solidFill>
                <a:prstDash val="sysDash"/>
              </a:ln>
              <a:effectLst/>
            </c:spPr>
            <c:trendlineType val="linear"/>
            <c:dispRSqr val="0"/>
            <c:dispEq val="0"/>
          </c:trendline>
          <c:cat>
            <c:numRef>
              <c:f>'Sheet4 (2)'!$B$2:$G$2</c:f>
              <c:numCache>
                <c:formatCode>General</c:formatCode>
                <c:ptCount val="6"/>
                <c:pt idx="0">
                  <c:v>2017</c:v>
                </c:pt>
                <c:pt idx="1">
                  <c:v>2018</c:v>
                </c:pt>
                <c:pt idx="2">
                  <c:v>2019</c:v>
                </c:pt>
                <c:pt idx="3">
                  <c:v>2020</c:v>
                </c:pt>
                <c:pt idx="4">
                  <c:v>2021</c:v>
                </c:pt>
                <c:pt idx="5">
                  <c:v>2022</c:v>
                </c:pt>
              </c:numCache>
            </c:numRef>
          </c:cat>
          <c:val>
            <c:numRef>
              <c:f>'Sheet4 (2)'!$B$4:$G$4</c:f>
              <c:numCache>
                <c:formatCode>General</c:formatCode>
                <c:ptCount val="6"/>
              </c:numCache>
            </c:numRef>
          </c:val>
          <c:smooth val="0"/>
          <c:extLst>
            <c:ext xmlns:c16="http://schemas.microsoft.com/office/drawing/2014/chart" uri="{C3380CC4-5D6E-409C-BE32-E72D297353CC}">
              <c16:uniqueId val="{00000003-B4B1-4569-AE07-6CCA703A85DC}"/>
            </c:ext>
          </c:extLst>
        </c:ser>
        <c:dLbls>
          <c:dLblPos val="t"/>
          <c:showLegendKey val="0"/>
          <c:showVal val="1"/>
          <c:showCatName val="0"/>
          <c:showSerName val="0"/>
          <c:showPercent val="0"/>
          <c:showBubbleSize val="0"/>
        </c:dLbls>
        <c:hiLowLines>
          <c:spPr>
            <a:ln w="9525">
              <a:solidFill>
                <a:schemeClr val="tx1">
                  <a:lumMod val="50000"/>
                  <a:lumOff val="50000"/>
                </a:schemeClr>
              </a:solidFill>
            </a:ln>
            <a:effectLst/>
          </c:spPr>
        </c:hiLowLines>
        <c:marker val="1"/>
        <c:smooth val="0"/>
        <c:axId val="2049399791"/>
        <c:axId val="2049395215"/>
      </c:lineChart>
      <c:catAx>
        <c:axId val="2049399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Baskerville Old Face" panose="02020602080505020303" pitchFamily="18" charset="0"/>
                <a:ea typeface="+mn-ea"/>
                <a:cs typeface="+mn-cs"/>
              </a:defRPr>
            </a:pPr>
            <a:endParaRPr lang="en-US"/>
          </a:p>
        </c:txPr>
        <c:crossAx val="2049395215"/>
        <c:crosses val="autoZero"/>
        <c:auto val="1"/>
        <c:lblAlgn val="ctr"/>
        <c:lblOffset val="100"/>
        <c:noMultiLvlLbl val="0"/>
      </c:catAx>
      <c:valAx>
        <c:axId val="2049395215"/>
        <c:scaling>
          <c:orientation val="minMax"/>
        </c:scaling>
        <c:delete val="0"/>
        <c:axPos val="l"/>
        <c:numFmt formatCode="_(* #,##0_);_(* \(#,##0\);_(* &quot;-&quot;_);_(@_)"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crossAx val="20493997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000">
          <a:latin typeface="Baskerville Old Face" panose="02020602080505020303"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0" normalizeH="0" baseline="0">
                <a:solidFill>
                  <a:schemeClr val="dk1">
                    <a:lumMod val="50000"/>
                    <a:lumOff val="50000"/>
                  </a:schemeClr>
                </a:solidFill>
                <a:latin typeface="Baskerville Old Face" panose="02020602080505020303" pitchFamily="18" charset="0"/>
                <a:ea typeface="+mj-ea"/>
                <a:cs typeface="+mj-cs"/>
              </a:defRPr>
            </a:pPr>
            <a:r>
              <a:rPr lang="en-US" sz="1200"/>
              <a:t>Fig 2: Rev/GDP Ratio: 2017-2022</a:t>
            </a:r>
          </a:p>
        </c:rich>
      </c:tx>
      <c:overlay val="0"/>
      <c:spPr>
        <a:noFill/>
        <a:ln>
          <a:noFill/>
        </a:ln>
        <a:effectLst/>
      </c:spPr>
      <c:txPr>
        <a:bodyPr rot="0" spcFirstLastPara="1" vertOverflow="ellipsis" vert="horz" wrap="square" anchor="ctr" anchorCtr="1"/>
        <a:lstStyle/>
        <a:p>
          <a:pPr>
            <a:defRPr sz="1200" b="1" i="0" u="none" strike="noStrike" kern="1200" cap="none" spc="0" normalizeH="0" baseline="0">
              <a:solidFill>
                <a:schemeClr val="dk1">
                  <a:lumMod val="50000"/>
                  <a:lumOff val="50000"/>
                </a:schemeClr>
              </a:solidFill>
              <a:latin typeface="Baskerville Old Face" panose="02020602080505020303" pitchFamily="18" charset="0"/>
              <a:ea typeface="+mj-ea"/>
              <a:cs typeface="+mj-cs"/>
            </a:defRPr>
          </a:pPr>
          <a:endParaRPr lang="en-US"/>
        </a:p>
      </c:txPr>
    </c:title>
    <c:autoTitleDeleted val="0"/>
    <c:plotArea>
      <c:layout/>
      <c:lineChart>
        <c:grouping val="standard"/>
        <c:varyColors val="0"/>
        <c:ser>
          <c:idx val="0"/>
          <c:order val="0"/>
          <c:tx>
            <c:strRef>
              <c:f>Sheet3!$A$2</c:f>
              <c:strCache>
                <c:ptCount val="1"/>
                <c:pt idx="0">
                  <c:v>Rev/GDP Ratio</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Baskerville Old Face" panose="02020602080505020303"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Sheet3!$B$1:$G$1</c:f>
              <c:numCache>
                <c:formatCode>General</c:formatCode>
                <c:ptCount val="6"/>
                <c:pt idx="0">
                  <c:v>2017</c:v>
                </c:pt>
                <c:pt idx="1">
                  <c:v>2018</c:v>
                </c:pt>
                <c:pt idx="2">
                  <c:v>2019</c:v>
                </c:pt>
                <c:pt idx="3">
                  <c:v>2020</c:v>
                </c:pt>
                <c:pt idx="4">
                  <c:v>2021</c:v>
                </c:pt>
                <c:pt idx="5">
                  <c:v>2022</c:v>
                </c:pt>
              </c:numCache>
            </c:numRef>
          </c:cat>
          <c:val>
            <c:numRef>
              <c:f>Sheet3!$B$2:$G$2</c:f>
              <c:numCache>
                <c:formatCode>General</c:formatCode>
                <c:ptCount val="6"/>
                <c:pt idx="0">
                  <c:v>12.3</c:v>
                </c:pt>
                <c:pt idx="1">
                  <c:v>13.7</c:v>
                </c:pt>
                <c:pt idx="2">
                  <c:v>14.8</c:v>
                </c:pt>
                <c:pt idx="3">
                  <c:v>13.8</c:v>
                </c:pt>
                <c:pt idx="4">
                  <c:v>15.7</c:v>
                </c:pt>
                <c:pt idx="5">
                  <c:v>13</c:v>
                </c:pt>
              </c:numCache>
            </c:numRef>
          </c:val>
          <c:smooth val="0"/>
          <c:extLst>
            <c:ext xmlns:c16="http://schemas.microsoft.com/office/drawing/2014/chart" uri="{C3380CC4-5D6E-409C-BE32-E72D297353CC}">
              <c16:uniqueId val="{00000000-5377-4B47-8BF6-FF9A8D95DF90}"/>
            </c:ext>
          </c:extLst>
        </c:ser>
        <c:dLbls>
          <c:dLblPos val="ctr"/>
          <c:showLegendKey val="0"/>
          <c:showVal val="1"/>
          <c:showCatName val="0"/>
          <c:showSerName val="0"/>
          <c:showPercent val="0"/>
          <c:showBubbleSize val="0"/>
        </c:dLbls>
        <c:smooth val="0"/>
        <c:axId val="968536351"/>
        <c:axId val="968555487"/>
      </c:lineChart>
      <c:catAx>
        <c:axId val="968536351"/>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Baskerville Old Face" panose="02020602080505020303" pitchFamily="18" charset="0"/>
                <a:ea typeface="+mn-ea"/>
                <a:cs typeface="+mn-cs"/>
              </a:defRPr>
            </a:pPr>
            <a:endParaRPr lang="en-US"/>
          </a:p>
        </c:txPr>
        <c:crossAx val="968555487"/>
        <c:crosses val="autoZero"/>
        <c:auto val="1"/>
        <c:lblAlgn val="ctr"/>
        <c:lblOffset val="100"/>
        <c:noMultiLvlLbl val="0"/>
      </c:catAx>
      <c:valAx>
        <c:axId val="968555487"/>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Baskerville Old Face" panose="02020602080505020303" pitchFamily="18" charset="0"/>
                <a:ea typeface="+mn-ea"/>
                <a:cs typeface="+mn-cs"/>
              </a:defRPr>
            </a:pPr>
            <a:endParaRPr lang="en-US"/>
          </a:p>
        </c:txPr>
        <c:crossAx val="968536351"/>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latin typeface="Baskerville Old Face" panose="02020602080505020303"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sz="1200">
                <a:latin typeface="Baskerville Old Face" panose="02020602080505020303" pitchFamily="18" charset="77"/>
              </a:rPr>
              <a:t>Duty Waiver Trend, 2017-2022 </a:t>
            </a:r>
          </a:p>
          <a:p>
            <a:pPr>
              <a:defRPr/>
            </a:pPr>
            <a:r>
              <a:rPr lang="en-GB" sz="1200">
                <a:latin typeface="Baskerville Old Face" panose="02020602080505020303" pitchFamily="18" charset="77"/>
              </a:rPr>
              <a:t>(Old Le Billion)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 (3)'!$A$3</c:f>
              <c:strCache>
                <c:ptCount val="1"/>
                <c:pt idx="0">
                  <c:v> Duty Waiver </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0"/>
              <c:layout>
                <c:manualLayout>
                  <c:x val="-3.6897467939774095E-2"/>
                  <c:y val="2.89855072463767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03-8647-9B26-7AA51D12ADE7}"/>
                </c:ext>
              </c:extLst>
            </c:dLbl>
            <c:dLbl>
              <c:idx val="1"/>
              <c:layout>
                <c:manualLayout>
                  <c:x val="-3.689746793977413E-2"/>
                  <c:y val="3.31262939958592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03-8647-9B26-7AA51D12ADE7}"/>
                </c:ext>
              </c:extLst>
            </c:dLbl>
            <c:dLbl>
              <c:idx val="2"/>
              <c:layout>
                <c:manualLayout>
                  <c:x val="-3.6897467939774095E-2"/>
                  <c:y val="-2.8985507246376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03-8647-9B26-7AA51D12ADE7}"/>
                </c:ext>
              </c:extLst>
            </c:dLbl>
            <c:dLbl>
              <c:idx val="3"/>
              <c:layout>
                <c:manualLayout>
                  <c:x val="-3.6897467939774171E-2"/>
                  <c:y val="2.89855072463768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03-8647-9B26-7AA51D12ADE7}"/>
                </c:ext>
              </c:extLst>
            </c:dLbl>
            <c:dLbl>
              <c:idx val="4"/>
              <c:layout>
                <c:manualLayout>
                  <c:x val="-3.6897467939774012E-2"/>
                  <c:y val="2.89855072463767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803-8647-9B26-7AA51D12ADE7}"/>
                </c:ext>
              </c:extLst>
            </c:dLbl>
            <c:dLbl>
              <c:idx val="5"/>
              <c:layout>
                <c:manualLayout>
                  <c:x val="-4.6852386903100902E-2"/>
                  <c:y val="-3.31262939958592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03-8647-9B26-7AA51D12AD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Baskerville Old Face" panose="02020602080505020303" pitchFamily="18" charset="77"/>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 (3)'!$B$2:$G$2</c:f>
              <c:numCache>
                <c:formatCode>General</c:formatCode>
                <c:ptCount val="6"/>
                <c:pt idx="0">
                  <c:v>2017</c:v>
                </c:pt>
                <c:pt idx="1">
                  <c:v>2018</c:v>
                </c:pt>
                <c:pt idx="2">
                  <c:v>2019</c:v>
                </c:pt>
                <c:pt idx="3">
                  <c:v>2020</c:v>
                </c:pt>
                <c:pt idx="4">
                  <c:v>2021</c:v>
                </c:pt>
                <c:pt idx="5">
                  <c:v>2022</c:v>
                </c:pt>
              </c:numCache>
            </c:numRef>
          </c:cat>
          <c:val>
            <c:numRef>
              <c:f>'Sheet2 (3)'!$B$3:$G$3</c:f>
              <c:numCache>
                <c:formatCode>_(* #,##0_);_(* \(#,##0\);_(* "-"_);_(@_)</c:formatCode>
                <c:ptCount val="6"/>
                <c:pt idx="0">
                  <c:v>403.122726255945</c:v>
                </c:pt>
                <c:pt idx="1">
                  <c:v>495.98960602766601</c:v>
                </c:pt>
                <c:pt idx="2">
                  <c:v>636.48948899280504</c:v>
                </c:pt>
                <c:pt idx="3">
                  <c:v>509.12223064248997</c:v>
                </c:pt>
                <c:pt idx="4">
                  <c:v>443.51080138534303</c:v>
                </c:pt>
                <c:pt idx="5" formatCode="_(* #,##0.00_);_(* \(#,##0.00\);_(* &quot;-&quot;??_);_(@_)">
                  <c:v>703.63900000000001</c:v>
                </c:pt>
              </c:numCache>
            </c:numRef>
          </c:val>
          <c:smooth val="0"/>
          <c:extLst>
            <c:ext xmlns:c16="http://schemas.microsoft.com/office/drawing/2014/chart" uri="{C3380CC4-5D6E-409C-BE32-E72D297353CC}">
              <c16:uniqueId val="{00000000-3070-434E-8B50-CDE7E9C7FF46}"/>
            </c:ext>
          </c:extLst>
        </c:ser>
        <c:dLbls>
          <c:dLblPos val="ctr"/>
          <c:showLegendKey val="0"/>
          <c:showVal val="1"/>
          <c:showCatName val="0"/>
          <c:showSerName val="0"/>
          <c:showPercent val="0"/>
          <c:showBubbleSize val="0"/>
        </c:dLbls>
        <c:marker val="1"/>
        <c:smooth val="0"/>
        <c:axId val="1836185055"/>
        <c:axId val="920363983"/>
      </c:lineChart>
      <c:catAx>
        <c:axId val="18361850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Baskerville Old Face" panose="02020602080505020303" pitchFamily="18" charset="77"/>
                <a:ea typeface="+mn-ea"/>
                <a:cs typeface="+mn-cs"/>
              </a:defRPr>
            </a:pPr>
            <a:endParaRPr lang="en-US"/>
          </a:p>
        </c:txPr>
        <c:crossAx val="920363983"/>
        <c:crosses val="autoZero"/>
        <c:auto val="1"/>
        <c:lblAlgn val="ctr"/>
        <c:lblOffset val="100"/>
        <c:noMultiLvlLbl val="0"/>
      </c:catAx>
      <c:valAx>
        <c:axId val="920363983"/>
        <c:scaling>
          <c:orientation val="minMax"/>
        </c:scaling>
        <c:delete val="0"/>
        <c:axPos val="l"/>
        <c:numFmt formatCode="_(* #,##0_);_(* \(#,##0\);_(* &quot;-&quot;_);_(@_)"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77"/>
                <a:ea typeface="+mn-ea"/>
                <a:cs typeface="+mn-cs"/>
              </a:defRPr>
            </a:pPr>
            <a:endParaRPr lang="en-US"/>
          </a:p>
        </c:txPr>
        <c:crossAx val="1836185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Staff Separation (2022 vs 2021)</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HR!$O$3</c:f>
              <c:strCache>
                <c:ptCount val="1"/>
                <c:pt idx="0">
                  <c:v>No of staff 2021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HR!$N$4:$N$8</c:f>
              <c:strCache>
                <c:ptCount val="5"/>
                <c:pt idx="0">
                  <c:v>Retirement</c:v>
                </c:pt>
                <c:pt idx="1">
                  <c:v>Resignation</c:v>
                </c:pt>
                <c:pt idx="2">
                  <c:v>Termination</c:v>
                </c:pt>
                <c:pt idx="3">
                  <c:v>Boarding</c:v>
                </c:pt>
                <c:pt idx="4">
                  <c:v>Death</c:v>
                </c:pt>
              </c:strCache>
            </c:strRef>
          </c:cat>
          <c:val>
            <c:numRef>
              <c:f>HR!$O$4:$O$8</c:f>
              <c:numCache>
                <c:formatCode>General</c:formatCode>
                <c:ptCount val="5"/>
                <c:pt idx="0">
                  <c:v>8</c:v>
                </c:pt>
                <c:pt idx="1">
                  <c:v>5</c:v>
                </c:pt>
                <c:pt idx="2">
                  <c:v>2</c:v>
                </c:pt>
                <c:pt idx="3">
                  <c:v>0</c:v>
                </c:pt>
                <c:pt idx="4">
                  <c:v>6</c:v>
                </c:pt>
              </c:numCache>
            </c:numRef>
          </c:val>
          <c:extLst>
            <c:ext xmlns:c16="http://schemas.microsoft.com/office/drawing/2014/chart" uri="{C3380CC4-5D6E-409C-BE32-E72D297353CC}">
              <c16:uniqueId val="{00000000-E6F3-4EA3-849D-7116D82794A3}"/>
            </c:ext>
          </c:extLst>
        </c:ser>
        <c:ser>
          <c:idx val="1"/>
          <c:order val="1"/>
          <c:tx>
            <c:strRef>
              <c:f>HR!$P$3</c:f>
              <c:strCache>
                <c:ptCount val="1"/>
                <c:pt idx="0">
                  <c:v>No of staff 2022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HR!$N$4:$N$8</c:f>
              <c:strCache>
                <c:ptCount val="5"/>
                <c:pt idx="0">
                  <c:v>Retirement</c:v>
                </c:pt>
                <c:pt idx="1">
                  <c:v>Resignation</c:v>
                </c:pt>
                <c:pt idx="2">
                  <c:v>Termination</c:v>
                </c:pt>
                <c:pt idx="3">
                  <c:v>Boarding</c:v>
                </c:pt>
                <c:pt idx="4">
                  <c:v>Death</c:v>
                </c:pt>
              </c:strCache>
            </c:strRef>
          </c:cat>
          <c:val>
            <c:numRef>
              <c:f>HR!$P$4:$P$8</c:f>
              <c:numCache>
                <c:formatCode>General</c:formatCode>
                <c:ptCount val="5"/>
                <c:pt idx="0">
                  <c:v>14</c:v>
                </c:pt>
                <c:pt idx="1">
                  <c:v>12</c:v>
                </c:pt>
                <c:pt idx="2">
                  <c:v>4</c:v>
                </c:pt>
                <c:pt idx="3">
                  <c:v>1</c:v>
                </c:pt>
                <c:pt idx="4">
                  <c:v>1</c:v>
                </c:pt>
              </c:numCache>
            </c:numRef>
          </c:val>
          <c:extLst>
            <c:ext xmlns:c16="http://schemas.microsoft.com/office/drawing/2014/chart" uri="{C3380CC4-5D6E-409C-BE32-E72D297353CC}">
              <c16:uniqueId val="{00000001-E6F3-4EA3-849D-7116D82794A3}"/>
            </c:ext>
          </c:extLst>
        </c:ser>
        <c:dLbls>
          <c:showLegendKey val="0"/>
          <c:showVal val="0"/>
          <c:showCatName val="0"/>
          <c:showSerName val="0"/>
          <c:showPercent val="0"/>
          <c:showBubbleSize val="0"/>
        </c:dLbls>
        <c:gapWidth val="219"/>
        <c:overlap val="-27"/>
        <c:axId val="761316032"/>
        <c:axId val="761316360"/>
      </c:barChart>
      <c:catAx>
        <c:axId val="76131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1316360"/>
        <c:crosses val="autoZero"/>
        <c:auto val="1"/>
        <c:lblAlgn val="ctr"/>
        <c:lblOffset val="100"/>
        <c:noMultiLvlLbl val="0"/>
      </c:catAx>
      <c:valAx>
        <c:axId val="7613163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131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Additional Revenue Recovered by Baggage Unit </a:t>
            </a:r>
          </a:p>
          <a:p>
            <a:pPr>
              <a:defRPr/>
            </a:pPr>
            <a:r>
              <a:rPr lang="en-US" sz="1200"/>
              <a:t>(2022,</a:t>
            </a:r>
            <a:r>
              <a:rPr lang="en-US" sz="1200" baseline="0"/>
              <a:t> NLe)</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Sheet1!$G$37</c:f>
              <c:strCache>
                <c:ptCount val="1"/>
                <c:pt idx="0">
                  <c:v>Additional Revenue Recovered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6366612111292964E-2"/>
                  <c:y val="-4.28061831153388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25-8946-8D72-46032D04C0C5}"/>
                </c:ext>
              </c:extLst>
            </c:dLbl>
            <c:dLbl>
              <c:idx val="3"/>
              <c:layout>
                <c:manualLayout>
                  <c:x val="0"/>
                  <c:y val="2.3781212841854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25-8946-8D72-46032D04C0C5}"/>
                </c:ext>
              </c:extLst>
            </c:dLbl>
            <c:dLbl>
              <c:idx val="6"/>
              <c:layout>
                <c:manualLayout>
                  <c:x val="2.8057049333645077E-2"/>
                  <c:y val="-1.42687277051129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25-8946-8D72-46032D04C0C5}"/>
                </c:ext>
              </c:extLst>
            </c:dLbl>
            <c:dLbl>
              <c:idx val="7"/>
              <c:layout>
                <c:manualLayout>
                  <c:x val="-8.5728882616548005E-17"/>
                  <c:y val="-2.3781212841854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25-8946-8D72-46032D04C0C5}"/>
                </c:ext>
              </c:extLst>
            </c:dLbl>
            <c:dLbl>
              <c:idx val="9"/>
              <c:layout>
                <c:manualLayout>
                  <c:x val="4.6761748889408462E-3"/>
                  <c:y val="-2.85374554102259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25-8946-8D72-46032D04C0C5}"/>
                </c:ext>
              </c:extLst>
            </c:dLbl>
            <c:dLbl>
              <c:idx val="11"/>
              <c:layout>
                <c:manualLayout>
                  <c:x val="-6.41025641025641E-3"/>
                  <c:y val="-3.8812785388127852E-2"/>
                </c:manualLayout>
              </c:layout>
              <c:showLegendKey val="0"/>
              <c:showVal val="1"/>
              <c:showCatName val="0"/>
              <c:showSerName val="0"/>
              <c:showPercent val="0"/>
              <c:showBubbleSize val="0"/>
              <c:extLst>
                <c:ext xmlns:c15="http://schemas.microsoft.com/office/drawing/2012/chart" uri="{CE6537A1-D6FC-4f65-9D91-7224C49458BB}">
                  <c15:layout>
                    <c:manualLayout>
                      <c:w val="8.0128205128205135E-2"/>
                      <c:h val="6.3767303059720268E-2"/>
                    </c:manualLayout>
                  </c15:layout>
                </c:ext>
                <c:ext xmlns:c16="http://schemas.microsoft.com/office/drawing/2014/chart" uri="{C3380CC4-5D6E-409C-BE32-E72D297353CC}">
                  <c16:uniqueId val="{00000000-B0E7-5847-B32F-575E22B696C1}"/>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Sheet1!$F$38:$F$49</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Sheet1!$G$38:$G$49</c:f>
              <c:numCache>
                <c:formatCode>#,##0.00</c:formatCode>
                <c:ptCount val="12"/>
                <c:pt idx="0">
                  <c:v>132965.85999999999</c:v>
                </c:pt>
                <c:pt idx="1">
                  <c:v>29875.54</c:v>
                </c:pt>
                <c:pt idx="2">
                  <c:v>231124.46</c:v>
                </c:pt>
                <c:pt idx="3">
                  <c:v>75425.61</c:v>
                </c:pt>
                <c:pt idx="4">
                  <c:v>119582.2</c:v>
                </c:pt>
                <c:pt idx="5">
                  <c:v>57367.16</c:v>
                </c:pt>
                <c:pt idx="6">
                  <c:v>3270</c:v>
                </c:pt>
                <c:pt idx="7">
                  <c:v>37981.01</c:v>
                </c:pt>
                <c:pt idx="8">
                  <c:v>267985.57</c:v>
                </c:pt>
                <c:pt idx="9">
                  <c:v>20168.12</c:v>
                </c:pt>
                <c:pt idx="10" formatCode="General">
                  <c:v>0</c:v>
                </c:pt>
                <c:pt idx="11">
                  <c:v>7108.16</c:v>
                </c:pt>
              </c:numCache>
            </c:numRef>
          </c:val>
          <c:smooth val="0"/>
          <c:extLst>
            <c:ext xmlns:c16="http://schemas.microsoft.com/office/drawing/2014/chart" uri="{C3380CC4-5D6E-409C-BE32-E72D297353CC}">
              <c16:uniqueId val="{00000000-8D52-478B-96F0-45B09B70BC38}"/>
            </c:ext>
          </c:extLst>
        </c:ser>
        <c:dLbls>
          <c:showLegendKey val="0"/>
          <c:showVal val="0"/>
          <c:showCatName val="0"/>
          <c:showSerName val="0"/>
          <c:showPercent val="0"/>
          <c:showBubbleSize val="0"/>
        </c:dLbls>
        <c:marker val="1"/>
        <c:smooth val="0"/>
        <c:axId val="737772368"/>
        <c:axId val="737773448"/>
      </c:lineChart>
      <c:catAx>
        <c:axId val="73777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7773448"/>
        <c:crosses val="autoZero"/>
        <c:auto val="1"/>
        <c:lblAlgn val="ctr"/>
        <c:lblOffset val="100"/>
        <c:noMultiLvlLbl val="0"/>
      </c:catAx>
      <c:valAx>
        <c:axId val="73777344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7772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200"/>
              <a:t>TIN</a:t>
            </a:r>
            <a:r>
              <a:rPr lang="en-US" sz="1200" baseline="0"/>
              <a:t>s Issued by Tax Type (2022)</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'Tax Type Registration'!$E$4</c:f>
              <c:strCache>
                <c:ptCount val="1"/>
                <c:pt idx="0">
                  <c:v>Percentage Share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'Tax Type Registration'!$D$5:$D$14</c:f>
              <c:strCache>
                <c:ptCount val="10"/>
                <c:pt idx="0">
                  <c:v> CGT </c:v>
                </c:pt>
                <c:pt idx="1">
                  <c:v> CIT </c:v>
                </c:pt>
                <c:pt idx="2">
                  <c:v> Excise Tax </c:v>
                </c:pt>
                <c:pt idx="3">
                  <c:v> FTT </c:v>
                </c:pt>
                <c:pt idx="4">
                  <c:v> GST </c:v>
                </c:pt>
                <c:pt idx="5">
                  <c:v> PAYE </c:v>
                </c:pt>
                <c:pt idx="6">
                  <c:v> Payroll Tax </c:v>
                </c:pt>
                <c:pt idx="7">
                  <c:v> PIT </c:v>
                </c:pt>
                <c:pt idx="8">
                  <c:v> Rental Income Tax </c:v>
                </c:pt>
                <c:pt idx="9">
                  <c:v> WHT </c:v>
                </c:pt>
              </c:strCache>
            </c:strRef>
          </c:cat>
          <c:val>
            <c:numRef>
              <c:f>'Tax Type Registration'!$E$5:$E$14</c:f>
              <c:numCache>
                <c:formatCode>0.0%</c:formatCode>
                <c:ptCount val="10"/>
                <c:pt idx="0">
                  <c:v>6.4817284609229128E-2</c:v>
                </c:pt>
                <c:pt idx="1">
                  <c:v>7.3619631901840496E-2</c:v>
                </c:pt>
                <c:pt idx="2">
                  <c:v>2.6673779674579886E-4</c:v>
                </c:pt>
                <c:pt idx="3">
                  <c:v>8.891259891526629E-5</c:v>
                </c:pt>
                <c:pt idx="4">
                  <c:v>8.9534987107673158E-2</c:v>
                </c:pt>
                <c:pt idx="5">
                  <c:v>6.8373788565839783E-2</c:v>
                </c:pt>
                <c:pt idx="6">
                  <c:v>8.002133902373967E-3</c:v>
                </c:pt>
                <c:pt idx="7">
                  <c:v>0.56023828576509294</c:v>
                </c:pt>
                <c:pt idx="8">
                  <c:v>4.5434338045701073E-2</c:v>
                </c:pt>
                <c:pt idx="9">
                  <c:v>8.962389970658842E-2</c:v>
                </c:pt>
              </c:numCache>
            </c:numRef>
          </c:val>
          <c:extLst>
            <c:ext xmlns:c16="http://schemas.microsoft.com/office/drawing/2014/chart" uri="{C3380CC4-5D6E-409C-BE32-E72D297353CC}">
              <c16:uniqueId val="{00000000-2AB0-4559-B419-7B5E6F04517B}"/>
            </c:ext>
          </c:extLst>
        </c:ser>
        <c:dLbls>
          <c:showLegendKey val="0"/>
          <c:showVal val="0"/>
          <c:showCatName val="0"/>
          <c:showSerName val="0"/>
          <c:showPercent val="0"/>
          <c:showBubbleSize val="0"/>
        </c:dLbls>
        <c:gapWidth val="100"/>
        <c:axId val="819246360"/>
        <c:axId val="819248328"/>
      </c:barChart>
      <c:catAx>
        <c:axId val="81924636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819248328"/>
        <c:crosses val="autoZero"/>
        <c:auto val="1"/>
        <c:lblAlgn val="ctr"/>
        <c:lblOffset val="100"/>
        <c:noMultiLvlLbl val="0"/>
      </c:catAx>
      <c:valAx>
        <c:axId val="819248328"/>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819246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200"/>
              <a:t>TINs</a:t>
            </a:r>
            <a:r>
              <a:rPr lang="en-US" sz="1200" baseline="0"/>
              <a:t> Issued by Purpose (2022)</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'Registered Taxpayers'!$G$26</c:f>
              <c:strCache>
                <c:ptCount val="1"/>
                <c:pt idx="0">
                  <c:v>Percentage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'Registered Taxpayers'!$F$27:$F$36</c:f>
              <c:strCache>
                <c:ptCount val="10"/>
                <c:pt idx="0">
                  <c:v>In business/trading</c:v>
                </c:pt>
                <c:pt idx="1">
                  <c:v>Others</c:v>
                </c:pt>
                <c:pt idx="2">
                  <c:v>One-off clearing of goods </c:v>
                </c:pt>
                <c:pt idx="3">
                  <c:v>I'm a company director</c:v>
                </c:pt>
                <c:pt idx="4">
                  <c:v>I'm an employee</c:v>
                </c:pt>
                <c:pt idx="5">
                  <c:v>I'm an employer</c:v>
                </c:pt>
                <c:pt idx="6">
                  <c:v>Owning property for rent</c:v>
                </c:pt>
                <c:pt idx="7">
                  <c:v>Want to pay my taxes</c:v>
                </c:pt>
                <c:pt idx="8">
                  <c:v>Want to file a tax return</c:v>
                </c:pt>
                <c:pt idx="9">
                  <c:v>Re-Registration</c:v>
                </c:pt>
              </c:strCache>
            </c:strRef>
          </c:cat>
          <c:val>
            <c:numRef>
              <c:f>'Registered Taxpayers'!$G$27:$G$36</c:f>
              <c:numCache>
                <c:formatCode>0.0%</c:formatCode>
                <c:ptCount val="10"/>
                <c:pt idx="0">
                  <c:v>0.59467538533395614</c:v>
                </c:pt>
                <c:pt idx="1">
                  <c:v>0.15735637552545539</c:v>
                </c:pt>
                <c:pt idx="2">
                  <c:v>9.5282578234469881E-2</c:v>
                </c:pt>
                <c:pt idx="3">
                  <c:v>6.6557683325548803E-2</c:v>
                </c:pt>
                <c:pt idx="4">
                  <c:v>2.382064455861747E-2</c:v>
                </c:pt>
                <c:pt idx="5">
                  <c:v>1.6300794021485286E-2</c:v>
                </c:pt>
                <c:pt idx="6">
                  <c:v>2.2886501634750117E-2</c:v>
                </c:pt>
                <c:pt idx="7">
                  <c:v>1.4339093881363849E-2</c:v>
                </c:pt>
                <c:pt idx="8">
                  <c:v>4.5305931807566556E-3</c:v>
                </c:pt>
                <c:pt idx="9">
                  <c:v>4.25035030359645E-3</c:v>
                </c:pt>
              </c:numCache>
            </c:numRef>
          </c:val>
          <c:extLst>
            <c:ext xmlns:c16="http://schemas.microsoft.com/office/drawing/2014/chart" uri="{C3380CC4-5D6E-409C-BE32-E72D297353CC}">
              <c16:uniqueId val="{00000000-8065-4BC9-9ECB-DA848B8B7347}"/>
            </c:ext>
          </c:extLst>
        </c:ser>
        <c:dLbls>
          <c:showLegendKey val="0"/>
          <c:showVal val="0"/>
          <c:showCatName val="0"/>
          <c:showSerName val="0"/>
          <c:showPercent val="0"/>
          <c:showBubbleSize val="0"/>
        </c:dLbls>
        <c:gapWidth val="100"/>
        <c:axId val="737903448"/>
        <c:axId val="737903776"/>
      </c:barChart>
      <c:catAx>
        <c:axId val="73790344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737903776"/>
        <c:crosses val="autoZero"/>
        <c:auto val="1"/>
        <c:lblAlgn val="ctr"/>
        <c:lblOffset val="100"/>
        <c:noMultiLvlLbl val="0"/>
      </c:catAx>
      <c:valAx>
        <c:axId val="737903776"/>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737903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Average Compliance Rate by Tax Type</a:t>
            </a:r>
            <a:r>
              <a:rPr lang="en-US" sz="1200" baseline="0"/>
              <a:t>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'Compliance Statistics'!$B$24</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'Compliance Statistics'!$A$25:$A$27</c:f>
              <c:strCache>
                <c:ptCount val="3"/>
                <c:pt idx="0">
                  <c:v>Goods and Services Tax</c:v>
                </c:pt>
                <c:pt idx="1">
                  <c:v>Withholding Tax</c:v>
                </c:pt>
                <c:pt idx="2">
                  <c:v>Pay As You Earn</c:v>
                </c:pt>
              </c:strCache>
            </c:strRef>
          </c:cat>
          <c:val>
            <c:numRef>
              <c:f>'Compliance Statistics'!$B$25:$B$27</c:f>
              <c:numCache>
                <c:formatCode>_(* #,##0.0_);_(* \(#,##0.0\);_(* "-"??_);_(@_)</c:formatCode>
                <c:ptCount val="3"/>
                <c:pt idx="0">
                  <c:v>63.735183520719467</c:v>
                </c:pt>
                <c:pt idx="1">
                  <c:v>55.78010252296032</c:v>
                </c:pt>
                <c:pt idx="2">
                  <c:v>50.151002815589734</c:v>
                </c:pt>
              </c:numCache>
            </c:numRef>
          </c:val>
          <c:extLst>
            <c:ext xmlns:c16="http://schemas.microsoft.com/office/drawing/2014/chart" uri="{C3380CC4-5D6E-409C-BE32-E72D297353CC}">
              <c16:uniqueId val="{00000000-62F9-40AB-AB48-12962038A06E}"/>
            </c:ext>
          </c:extLst>
        </c:ser>
        <c:dLbls>
          <c:showLegendKey val="0"/>
          <c:showVal val="0"/>
          <c:showCatName val="0"/>
          <c:showSerName val="0"/>
          <c:showPercent val="0"/>
          <c:showBubbleSize val="0"/>
        </c:dLbls>
        <c:gapWidth val="219"/>
        <c:overlap val="-27"/>
        <c:axId val="816121576"/>
        <c:axId val="816126168"/>
      </c:barChart>
      <c:catAx>
        <c:axId val="816121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16126168"/>
        <c:crosses val="autoZero"/>
        <c:auto val="1"/>
        <c:lblAlgn val="ctr"/>
        <c:lblOffset val="100"/>
        <c:noMultiLvlLbl val="0"/>
      </c:catAx>
      <c:valAx>
        <c:axId val="816126168"/>
        <c:scaling>
          <c:orientation val="minMax"/>
        </c:scaling>
        <c:delete val="0"/>
        <c:axPos val="l"/>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16121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HR!$E$44:$E$49</cx:f>
        <cx:lvl ptCount="6">
          <cx:pt idx="0">ADMIN</cx:pt>
          <cx:pt idx="1">CUSTOMS</cx:pt>
          <cx:pt idx="2">F&amp;B</cx:pt>
          <cx:pt idx="3">DTD</cx:pt>
          <cx:pt idx="4">HRD</cx:pt>
          <cx:pt idx="5">ICT</cx:pt>
        </cx:lvl>
      </cx:strDim>
      <cx:numDim type="val">
        <cx:f>HR!$F$44:$F$49</cx:f>
        <cx:lvl ptCount="6" formatCode="General">
          <cx:pt idx="0">2</cx:pt>
          <cx:pt idx="1">7</cx:pt>
          <cx:pt idx="2">3</cx:pt>
          <cx:pt idx="3">2</cx:pt>
          <cx:pt idx="4">1</cx:pt>
          <cx:pt idx="5">3</cx:pt>
        </cx:lvl>
      </cx:numDim>
    </cx:data>
  </cx:chartData>
  <cx:chart>
    <cx:title pos="t" align="ctr" overlay="0">
      <cx:tx>
        <cx:rich>
          <a:bodyPr spcFirstLastPara="1" vertOverflow="ellipsis" horzOverflow="overflow" wrap="square" lIns="0" tIns="0" rIns="0" bIns="0" anchor="ctr" anchorCtr="1"/>
          <a:lstStyle/>
          <a:p>
            <a:pPr algn="ctr" rtl="0">
              <a:defRPr/>
            </a:pPr>
            <a:r>
              <a:rPr lang="en-US" sz="1200" b="0" i="0" u="none" strike="noStrike" baseline="0">
                <a:solidFill>
                  <a:sysClr val="windowText" lastClr="000000">
                    <a:lumMod val="65000"/>
                    <a:lumOff val="35000"/>
                  </a:sysClr>
                </a:solidFill>
                <a:latin typeface="Baskerville Old Face" panose="02020602080505020303" pitchFamily="18" charset="77"/>
              </a:rPr>
              <a:t>Staff Promotion by Department, </a:t>
            </a:r>
          </a:p>
          <a:p>
            <a:pPr algn="ctr" rtl="0">
              <a:defRPr/>
            </a:pPr>
            <a:r>
              <a:rPr lang="en-US" sz="1200" b="0" i="0" u="none" strike="noStrike" baseline="0">
                <a:solidFill>
                  <a:sysClr val="windowText" lastClr="000000">
                    <a:lumMod val="65000"/>
                    <a:lumOff val="35000"/>
                  </a:sysClr>
                </a:solidFill>
                <a:latin typeface="Baskerville Old Face" panose="02020602080505020303" pitchFamily="18" charset="77"/>
              </a:rPr>
              <a:t>2022</a:t>
            </a:r>
          </a:p>
        </cx:rich>
      </cx:tx>
    </cx:title>
    <cx:plotArea>
      <cx:plotAreaRegion>
        <cx:series layoutId="funnel" uniqueId="{D9E9193C-0D52-49C5-A09B-3D3EF51B9C85}">
          <cx:tx>
            <cx:txData>
              <cx:f>HR!$F$43</cx:f>
              <cx:v>NO. OF EMPLOYEES</cx:v>
            </cx:txData>
          </cx:tx>
          <cx:dataLabels>
            <cx:txPr>
              <a:bodyPr vertOverflow="overflow" horzOverflow="overflow" wrap="square" lIns="0" tIns="0" rIns="0" bIns="0"/>
              <a:lstStyle/>
              <a:p>
                <a:pPr algn="ctr" rtl="0">
                  <a:defRPr sz="1050" b="1"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1050" b="1">
                  <a:solidFill>
                    <a:sysClr val="windowText" lastClr="000000"/>
                  </a:solidFill>
                  <a:latin typeface="Times New Roman" panose="02020603050405020304" pitchFamily="18" charset="0"/>
                  <a:cs typeface="Times New Roman" panose="02020603050405020304" pitchFamily="18" charset="0"/>
                </a:endParaRPr>
              </a:p>
            </cx:txPr>
            <cx:visibility seriesName="0" categoryName="0" value="1"/>
          </cx:dataLabels>
          <cx:dataId val="0"/>
        </cx:series>
      </cx:plotAreaRegion>
      <cx:axis id="0">
        <cx:catScaling gapWidth="0.0599999987"/>
        <cx:tickLabels/>
        <cx:txPr>
          <a:bodyPr vertOverflow="overflow" horzOverflow="overflow" wrap="square" lIns="0" tIns="0" rIns="0" bIns="0"/>
          <a:lstStyle/>
          <a:p>
            <a:pPr algn="ctr" rtl="0">
              <a:defRPr sz="1050" b="1" i="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1050" b="1">
              <a:latin typeface="Times New Roman" panose="02020603050405020304" pitchFamily="18" charset="0"/>
              <a:cs typeface="Times New Roman" panose="02020603050405020304" pitchFamily="18" charset="0"/>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B71BF-F878-4793-9133-9F90013A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18995</Words>
  <Characters>108277</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Sheku  Seymour-Wilson</dc:creator>
  <cp:keywords/>
  <dc:description/>
  <cp:lastModifiedBy>Philip M. Kargbo</cp:lastModifiedBy>
  <cp:revision>2</cp:revision>
  <cp:lastPrinted>2023-06-16T16:08:00Z</cp:lastPrinted>
  <dcterms:created xsi:type="dcterms:W3CDTF">2025-05-26T16:54:00Z</dcterms:created>
  <dcterms:modified xsi:type="dcterms:W3CDTF">2025-05-26T16:54:00Z</dcterms:modified>
</cp:coreProperties>
</file>