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28DB" w14:textId="3A5B0984" w:rsidR="005A7A9B" w:rsidRDefault="005A7A9B" w:rsidP="005A7A9B">
      <w:pPr>
        <w:rPr>
          <w:rFonts w:ascii="Baskerville Old Face" w:hAnsi="Baskerville Old Face" w:cs="Times New Roman"/>
          <w:b/>
          <w:bCs/>
          <w:kern w:val="0"/>
          <w:sz w:val="28"/>
          <w:szCs w:val="28"/>
          <w:lang w:val="en-GB"/>
          <w14:ligatures w14:val="none"/>
        </w:rPr>
      </w:pPr>
      <w:r w:rsidRPr="00923467">
        <w:rPr>
          <w:noProof/>
        </w:rPr>
        <w:drawing>
          <wp:inline distT="0" distB="0" distL="0" distR="0" wp14:anchorId="5188CD9E" wp14:editId="0844F6E0">
            <wp:extent cx="2095500" cy="790575"/>
            <wp:effectExtent l="0" t="0" r="0" b="9525"/>
            <wp:docPr id="2023556173" name="Picture 202355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pic:spPr>
                </pic:pic>
              </a:graphicData>
            </a:graphic>
          </wp:inline>
        </w:drawing>
      </w:r>
    </w:p>
    <w:p w14:paraId="6AE6C810"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0A17F1BB" w14:textId="77777777" w:rsidR="005A7A9B" w:rsidRPr="001354EB" w:rsidRDefault="005A7A9B" w:rsidP="005A7A9B">
      <w:pPr>
        <w:spacing w:after="0" w:line="240" w:lineRule="auto"/>
        <w:contextualSpacing/>
        <w:jc w:val="center"/>
        <w:rPr>
          <w:rFonts w:ascii="Baskerville Old Face" w:eastAsiaTheme="majorEastAsia" w:hAnsi="Baskerville Old Face" w:cstheme="majorBidi"/>
          <w:color w:val="0070C0"/>
          <w:spacing w:val="-10"/>
          <w:kern w:val="28"/>
          <w:sz w:val="56"/>
          <w:szCs w:val="56"/>
          <w:lang w:val="en-GB"/>
          <w14:ligatures w14:val="none"/>
        </w:rPr>
      </w:pPr>
      <w:r w:rsidRPr="001354EB">
        <w:rPr>
          <w:rFonts w:ascii="Baskerville Old Face" w:eastAsiaTheme="majorEastAsia" w:hAnsi="Baskerville Old Face" w:cstheme="majorBidi"/>
          <w:color w:val="0070C0"/>
          <w:spacing w:val="-10"/>
          <w:kern w:val="28"/>
          <w:sz w:val="56"/>
          <w:szCs w:val="56"/>
          <w:lang w:val="en-GB"/>
          <w14:ligatures w14:val="none"/>
        </w:rPr>
        <w:t>NATIONAL REVENUE AUTHORITY</w:t>
      </w:r>
    </w:p>
    <w:p w14:paraId="53A148A8" w14:textId="77777777" w:rsidR="005A7A9B" w:rsidRPr="001354EB" w:rsidRDefault="005A7A9B" w:rsidP="005A7A9B">
      <w:pPr>
        <w:spacing w:after="0" w:line="360" w:lineRule="auto"/>
        <w:jc w:val="center"/>
        <w:rPr>
          <w:rFonts w:ascii="Baskerville Old Face" w:hAnsi="Baskerville Old Face" w:cs="Times New Roman"/>
          <w:color w:val="0070C0"/>
          <w:kern w:val="0"/>
          <w:lang w:val="en-GB"/>
          <w14:ligatures w14:val="none"/>
        </w:rPr>
      </w:pPr>
    </w:p>
    <w:p w14:paraId="6D6D37EF" w14:textId="77777777" w:rsidR="005A7A9B" w:rsidRPr="001354EB" w:rsidRDefault="005A7A9B" w:rsidP="005A7A9B">
      <w:pPr>
        <w:spacing w:after="0" w:line="360" w:lineRule="auto"/>
        <w:jc w:val="center"/>
        <w:rPr>
          <w:rFonts w:ascii="Baskerville Old Face" w:hAnsi="Baskerville Old Face" w:cs="Times New Roman"/>
          <w:color w:val="0070C0"/>
          <w:kern w:val="0"/>
          <w:lang w:val="en-GB"/>
          <w14:ligatures w14:val="none"/>
        </w:rPr>
      </w:pPr>
    </w:p>
    <w:p w14:paraId="1207C30A" w14:textId="77777777" w:rsidR="005A7A9B" w:rsidRPr="001354EB" w:rsidRDefault="005A7A9B" w:rsidP="005A7A9B">
      <w:pPr>
        <w:spacing w:after="0" w:line="360" w:lineRule="auto"/>
        <w:jc w:val="center"/>
        <w:rPr>
          <w:rFonts w:ascii="Baskerville Old Face" w:hAnsi="Baskerville Old Face" w:cs="Times New Roman"/>
          <w:color w:val="0070C0"/>
          <w:kern w:val="0"/>
          <w:lang w:val="en-GB"/>
          <w14:ligatures w14:val="none"/>
        </w:rPr>
      </w:pPr>
    </w:p>
    <w:p w14:paraId="4ED209CF" w14:textId="4F851852" w:rsidR="005A7A9B" w:rsidRPr="001354EB" w:rsidRDefault="005A7A9B" w:rsidP="005A7A9B">
      <w:pPr>
        <w:spacing w:after="0" w:line="240" w:lineRule="auto"/>
        <w:contextualSpacing/>
        <w:jc w:val="center"/>
        <w:rPr>
          <w:rFonts w:ascii="Baskerville Old Face" w:eastAsiaTheme="majorEastAsia" w:hAnsi="Baskerville Old Face" w:cstheme="majorBidi"/>
          <w:color w:val="0070C0"/>
          <w:spacing w:val="-10"/>
          <w:kern w:val="28"/>
          <w:sz w:val="56"/>
          <w:szCs w:val="56"/>
          <w:lang w:val="en-GB"/>
          <w14:ligatures w14:val="none"/>
        </w:rPr>
      </w:pPr>
      <w:r w:rsidRPr="001354EB">
        <w:rPr>
          <w:rFonts w:ascii="Baskerville Old Face" w:eastAsiaTheme="majorEastAsia" w:hAnsi="Baskerville Old Face" w:cstheme="majorBidi"/>
          <w:color w:val="0070C0"/>
          <w:spacing w:val="-10"/>
          <w:kern w:val="28"/>
          <w:sz w:val="56"/>
          <w:szCs w:val="56"/>
          <w:lang w:val="en-GB"/>
          <w14:ligatures w14:val="none"/>
        </w:rPr>
        <w:t>ANNUAL REPORT 2023</w:t>
      </w:r>
    </w:p>
    <w:p w14:paraId="6ACF265C" w14:textId="77777777" w:rsidR="005A7A9B" w:rsidRPr="001354EB" w:rsidRDefault="005A7A9B" w:rsidP="005A7A9B">
      <w:pPr>
        <w:spacing w:after="0" w:line="360" w:lineRule="auto"/>
        <w:jc w:val="both"/>
        <w:rPr>
          <w:rFonts w:ascii="Baskerville Old Face" w:hAnsi="Baskerville Old Face" w:cs="Times New Roman"/>
          <w:color w:val="0070C0"/>
          <w:kern w:val="0"/>
          <w:lang w:val="en-GB"/>
          <w14:ligatures w14:val="none"/>
        </w:rPr>
      </w:pPr>
    </w:p>
    <w:p w14:paraId="27FF814C"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10100D6A"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52DF55F3" w14:textId="77777777" w:rsidR="005A7A9B" w:rsidRPr="005A7A9B" w:rsidRDefault="005A7A9B" w:rsidP="005A7A9B">
      <w:pPr>
        <w:spacing w:after="0" w:line="360" w:lineRule="auto"/>
        <w:jc w:val="center"/>
        <w:rPr>
          <w:rFonts w:ascii="Baskerville Old Face" w:hAnsi="Baskerville Old Face" w:cs="Times New Roman"/>
          <w:kern w:val="0"/>
          <w:lang w:val="en-GB"/>
          <w14:ligatures w14:val="none"/>
        </w:rPr>
      </w:pPr>
    </w:p>
    <w:p w14:paraId="5CF13F31" w14:textId="1288C1E2" w:rsidR="005A7A9B" w:rsidRPr="001354EB" w:rsidRDefault="005A7A9B" w:rsidP="005A7A9B">
      <w:pPr>
        <w:spacing w:after="0" w:line="360" w:lineRule="auto"/>
        <w:jc w:val="center"/>
        <w:rPr>
          <w:rFonts w:ascii="Baskerville Old Face" w:hAnsi="Baskerville Old Face" w:cs="Times New Roman"/>
          <w:color w:val="002060"/>
          <w:kern w:val="0"/>
          <w:lang w:val="en-GB"/>
          <w14:ligatures w14:val="none"/>
        </w:rPr>
      </w:pPr>
      <w:r w:rsidRPr="001354EB">
        <w:rPr>
          <w:rFonts w:ascii="Baskerville Old Face" w:hAnsi="Baskerville Old Face" w:cs="Times New Roman"/>
          <w:color w:val="002060"/>
          <w:kern w:val="0"/>
          <w:lang w:val="en-GB"/>
          <w14:ligatures w14:val="none"/>
        </w:rPr>
        <w:t>Prepared by:</w:t>
      </w:r>
    </w:p>
    <w:p w14:paraId="2E121491" w14:textId="77777777" w:rsidR="005A7A9B" w:rsidRPr="001354EB" w:rsidRDefault="005A7A9B" w:rsidP="005A7A9B">
      <w:pPr>
        <w:spacing w:after="0" w:line="360" w:lineRule="auto"/>
        <w:jc w:val="both"/>
        <w:rPr>
          <w:rFonts w:ascii="Baskerville Old Face" w:hAnsi="Baskerville Old Face" w:cs="Times New Roman"/>
          <w:color w:val="002060"/>
          <w:kern w:val="0"/>
          <w:lang w:val="en-GB" w:eastAsia="en-GB"/>
          <w14:ligatures w14:val="none"/>
        </w:rPr>
      </w:pPr>
    </w:p>
    <w:p w14:paraId="06ABC962" w14:textId="1F8C3438" w:rsidR="005A7A9B" w:rsidRPr="001354EB" w:rsidRDefault="005A7A9B" w:rsidP="005A7A9B">
      <w:pPr>
        <w:spacing w:after="0" w:line="360" w:lineRule="auto"/>
        <w:jc w:val="center"/>
        <w:rPr>
          <w:rFonts w:ascii="Baskerville Old Face" w:hAnsi="Baskerville Old Face" w:cs="Times New Roman"/>
          <w:color w:val="002060"/>
          <w:kern w:val="0"/>
          <w:lang w:val="en-GB" w:eastAsia="en-GB"/>
          <w14:ligatures w14:val="none"/>
        </w:rPr>
      </w:pPr>
      <w:r w:rsidRPr="001354EB">
        <w:rPr>
          <w:rFonts w:ascii="Baskerville Old Face" w:hAnsi="Baskerville Old Face" w:cs="Times New Roman"/>
          <w:color w:val="002060"/>
          <w:kern w:val="0"/>
          <w:lang w:val="en-GB" w:eastAsia="en-GB"/>
          <w14:ligatures w14:val="none"/>
        </w:rPr>
        <w:t>MONITORING, RESEARCH AND PLANNING DEPARTMENT</w:t>
      </w:r>
    </w:p>
    <w:p w14:paraId="07596BC1" w14:textId="608181D4" w:rsidR="005A7A9B" w:rsidRPr="001354EB" w:rsidRDefault="005A7A9B" w:rsidP="005A7A9B">
      <w:pPr>
        <w:spacing w:after="0" w:line="360" w:lineRule="auto"/>
        <w:jc w:val="both"/>
        <w:rPr>
          <w:rFonts w:ascii="Baskerville Old Face" w:hAnsi="Baskerville Old Face" w:cs="Times New Roman"/>
          <w:color w:val="002060"/>
          <w:kern w:val="0"/>
          <w:lang w:val="en-GB" w:eastAsia="en-GB"/>
          <w14:ligatures w14:val="none"/>
        </w:rPr>
      </w:pPr>
    </w:p>
    <w:p w14:paraId="0C87729B" w14:textId="6B04C2DE" w:rsidR="005A7A9B" w:rsidRPr="001354EB" w:rsidRDefault="005A7A9B" w:rsidP="005A7A9B">
      <w:pPr>
        <w:spacing w:after="0" w:line="360" w:lineRule="auto"/>
        <w:jc w:val="center"/>
        <w:rPr>
          <w:rFonts w:ascii="Baskerville Old Face" w:hAnsi="Baskerville Old Face" w:cs="Times New Roman"/>
          <w:color w:val="002060"/>
          <w:kern w:val="0"/>
          <w:lang w:val="en-GB" w:eastAsia="en-GB"/>
          <w14:ligatures w14:val="none"/>
        </w:rPr>
      </w:pPr>
      <w:r w:rsidRPr="001354EB">
        <w:rPr>
          <w:rFonts w:ascii="Baskerville Old Face" w:hAnsi="Baskerville Old Face" w:cs="Times New Roman"/>
          <w:color w:val="002060"/>
          <w:kern w:val="0"/>
          <w:lang w:val="en-GB" w:eastAsia="en-GB"/>
          <w14:ligatures w14:val="none"/>
        </w:rPr>
        <w:t>MARCH 2024</w:t>
      </w:r>
    </w:p>
    <w:p w14:paraId="3D5792A8"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5C2EA404"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1E4BC58B" w14:textId="77777777" w:rsidR="005A7A9B" w:rsidRDefault="005A7A9B" w:rsidP="00625BF5">
      <w:pPr>
        <w:jc w:val="center"/>
        <w:rPr>
          <w:rFonts w:ascii="Baskerville Old Face" w:hAnsi="Baskerville Old Face" w:cs="Times New Roman"/>
          <w:b/>
          <w:bCs/>
          <w:kern w:val="0"/>
          <w:sz w:val="28"/>
          <w:szCs w:val="28"/>
          <w:lang w:val="en-GB"/>
          <w14:ligatures w14:val="none"/>
        </w:rPr>
      </w:pPr>
    </w:p>
    <w:p w14:paraId="34DFBD13"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764FDE4B"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0611CD15"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25392909"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0ACFEB70"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2AEC4988"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7DF6A95A"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7BE23813" w14:textId="77777777" w:rsidR="00AF50B6" w:rsidRPr="00F300FD" w:rsidRDefault="00AF50B6" w:rsidP="00625BF5">
      <w:pPr>
        <w:jc w:val="center"/>
        <w:rPr>
          <w:rFonts w:ascii="Baskerville Old Face" w:hAnsi="Baskerville Old Face" w:cs="Times New Roman"/>
          <w:b/>
          <w:bCs/>
          <w:kern w:val="0"/>
          <w:sz w:val="28"/>
          <w:szCs w:val="28"/>
          <w:lang w:val="en-GB"/>
          <w14:ligatures w14:val="none"/>
        </w:rPr>
      </w:pPr>
    </w:p>
    <w:sdt>
      <w:sdtPr>
        <w:rPr>
          <w:rFonts w:ascii="Baskerville Old Face" w:eastAsiaTheme="minorHAnsi" w:hAnsi="Baskerville Old Face" w:cstheme="minorBidi"/>
          <w:b/>
          <w:bCs/>
          <w:color w:val="auto"/>
          <w:kern w:val="2"/>
          <w:sz w:val="20"/>
          <w:szCs w:val="20"/>
          <w14:ligatures w14:val="standardContextual"/>
        </w:rPr>
        <w:id w:val="-672257162"/>
        <w:docPartObj>
          <w:docPartGallery w:val="Table of Contents"/>
          <w:docPartUnique/>
        </w:docPartObj>
      </w:sdtPr>
      <w:sdtEndPr>
        <w:rPr>
          <w:noProof/>
        </w:rPr>
      </w:sdtEndPr>
      <w:sdtContent>
        <w:p w14:paraId="0295D8C9" w14:textId="7B0ABFD5" w:rsidR="008C5C22" w:rsidRPr="00E91311" w:rsidRDefault="00752E2D" w:rsidP="008C5C22">
          <w:pPr>
            <w:pStyle w:val="TOCHeading"/>
            <w:ind w:firstLine="720"/>
            <w:jc w:val="center"/>
            <w:rPr>
              <w:rFonts w:ascii="Baskerville Old Face" w:hAnsi="Baskerville Old Face"/>
              <w:b/>
              <w:bCs/>
              <w:color w:val="auto"/>
            </w:rPr>
          </w:pPr>
          <w:r w:rsidRPr="00E91311">
            <w:rPr>
              <w:rFonts w:ascii="Baskerville Old Face" w:eastAsiaTheme="minorHAnsi" w:hAnsi="Baskerville Old Face" w:cstheme="minorBidi"/>
              <w:b/>
              <w:bCs/>
              <w:color w:val="auto"/>
              <w:kern w:val="2"/>
              <w14:ligatures w14:val="standardContextual"/>
            </w:rPr>
            <w:t xml:space="preserve">Table of </w:t>
          </w:r>
          <w:r w:rsidR="00F300FD" w:rsidRPr="00E91311">
            <w:rPr>
              <w:rFonts w:ascii="Baskerville Old Face" w:hAnsi="Baskerville Old Face"/>
              <w:b/>
              <w:bCs/>
              <w:color w:val="auto"/>
            </w:rPr>
            <w:t>Contents</w:t>
          </w:r>
        </w:p>
        <w:p w14:paraId="21F28199" w14:textId="77777777" w:rsidR="00F300FD" w:rsidRPr="008C5C22" w:rsidRDefault="00F300FD" w:rsidP="00F300FD">
          <w:pPr>
            <w:rPr>
              <w:rFonts w:ascii="Baskerville Old Face" w:hAnsi="Baskerville Old Face"/>
              <w:sz w:val="20"/>
              <w:szCs w:val="20"/>
            </w:rPr>
          </w:pPr>
        </w:p>
        <w:p w14:paraId="671E23B3" w14:textId="2373A51D" w:rsidR="0026700F" w:rsidRDefault="00F300FD">
          <w:pPr>
            <w:pStyle w:val="TOC1"/>
            <w:rPr>
              <w:rFonts w:eastAsiaTheme="minorEastAsia"/>
              <w:b w:val="0"/>
              <w:bCs w:val="0"/>
              <w:sz w:val="24"/>
              <w:szCs w:val="24"/>
              <w:lang w:val="en-GB" w:eastAsia="en-GB"/>
            </w:rPr>
          </w:pPr>
          <w:r w:rsidRPr="008C5C22">
            <w:rPr>
              <w:rFonts w:ascii="Baskerville Old Face" w:hAnsi="Baskerville Old Face"/>
              <w:sz w:val="20"/>
              <w:szCs w:val="20"/>
            </w:rPr>
            <w:fldChar w:fldCharType="begin"/>
          </w:r>
          <w:r w:rsidRPr="008C5C22">
            <w:rPr>
              <w:rFonts w:ascii="Baskerville Old Face" w:hAnsi="Baskerville Old Face"/>
              <w:sz w:val="20"/>
              <w:szCs w:val="20"/>
            </w:rPr>
            <w:instrText xml:space="preserve"> TOC \o "1-3" \h \z \u </w:instrText>
          </w:r>
          <w:r w:rsidRPr="008C5C22">
            <w:rPr>
              <w:rFonts w:ascii="Baskerville Old Face" w:hAnsi="Baskerville Old Face"/>
              <w:sz w:val="20"/>
              <w:szCs w:val="20"/>
            </w:rPr>
            <w:fldChar w:fldCharType="separate"/>
          </w:r>
          <w:hyperlink w:anchor="_Toc198205652" w:history="1">
            <w:r w:rsidR="0026700F" w:rsidRPr="00551DA7">
              <w:rPr>
                <w:rStyle w:val="Hyperlink"/>
              </w:rPr>
              <w:t>FORWARD BY THE COMMISSIONER GENERAL</w:t>
            </w:r>
            <w:r w:rsidR="0026700F">
              <w:rPr>
                <w:webHidden/>
              </w:rPr>
              <w:tab/>
            </w:r>
            <w:r w:rsidR="0026700F">
              <w:rPr>
                <w:webHidden/>
              </w:rPr>
              <w:fldChar w:fldCharType="begin"/>
            </w:r>
            <w:r w:rsidR="0026700F">
              <w:rPr>
                <w:webHidden/>
              </w:rPr>
              <w:instrText xml:space="preserve"> PAGEREF _Toc198205652 \h </w:instrText>
            </w:r>
            <w:r w:rsidR="0026700F">
              <w:rPr>
                <w:webHidden/>
              </w:rPr>
            </w:r>
            <w:r w:rsidR="0026700F">
              <w:rPr>
                <w:webHidden/>
              </w:rPr>
              <w:fldChar w:fldCharType="separate"/>
            </w:r>
            <w:r w:rsidR="0026700F">
              <w:rPr>
                <w:webHidden/>
              </w:rPr>
              <w:t>9</w:t>
            </w:r>
            <w:r w:rsidR="0026700F">
              <w:rPr>
                <w:webHidden/>
              </w:rPr>
              <w:fldChar w:fldCharType="end"/>
            </w:r>
          </w:hyperlink>
        </w:p>
        <w:p w14:paraId="0A4C7926" w14:textId="36322EAD" w:rsidR="0026700F" w:rsidRDefault="0026700F">
          <w:pPr>
            <w:pStyle w:val="TOC1"/>
            <w:rPr>
              <w:rFonts w:eastAsiaTheme="minorEastAsia"/>
              <w:b w:val="0"/>
              <w:bCs w:val="0"/>
              <w:sz w:val="24"/>
              <w:szCs w:val="24"/>
              <w:lang w:val="en-GB" w:eastAsia="en-GB"/>
            </w:rPr>
          </w:pPr>
          <w:hyperlink w:anchor="_Toc198205653" w:history="1">
            <w:r w:rsidRPr="00551DA7">
              <w:rPr>
                <w:rStyle w:val="Hyperlink"/>
              </w:rPr>
              <w:t>CHAPTER ONE: INTRODUCTION</w:t>
            </w:r>
            <w:r>
              <w:rPr>
                <w:webHidden/>
              </w:rPr>
              <w:tab/>
            </w:r>
            <w:r>
              <w:rPr>
                <w:webHidden/>
              </w:rPr>
              <w:fldChar w:fldCharType="begin"/>
            </w:r>
            <w:r>
              <w:rPr>
                <w:webHidden/>
              </w:rPr>
              <w:instrText xml:space="preserve"> PAGEREF _Toc198205653 \h </w:instrText>
            </w:r>
            <w:r>
              <w:rPr>
                <w:webHidden/>
              </w:rPr>
            </w:r>
            <w:r>
              <w:rPr>
                <w:webHidden/>
              </w:rPr>
              <w:fldChar w:fldCharType="separate"/>
            </w:r>
            <w:r>
              <w:rPr>
                <w:webHidden/>
              </w:rPr>
              <w:t>10</w:t>
            </w:r>
            <w:r>
              <w:rPr>
                <w:webHidden/>
              </w:rPr>
              <w:fldChar w:fldCharType="end"/>
            </w:r>
          </w:hyperlink>
        </w:p>
        <w:p w14:paraId="32D06898" w14:textId="2E748732" w:rsidR="0026700F" w:rsidRDefault="0026700F">
          <w:pPr>
            <w:pStyle w:val="TOC2"/>
            <w:tabs>
              <w:tab w:val="right" w:leader="dot" w:pos="9350"/>
            </w:tabs>
            <w:rPr>
              <w:rFonts w:eastAsiaTheme="minorEastAsia"/>
              <w:noProof/>
              <w:sz w:val="24"/>
              <w:szCs w:val="24"/>
              <w:lang w:val="en-GB" w:eastAsia="en-GB"/>
            </w:rPr>
          </w:pPr>
          <w:hyperlink w:anchor="_Toc198205654" w:history="1">
            <w:r w:rsidRPr="00551DA7">
              <w:rPr>
                <w:rStyle w:val="Hyperlink"/>
                <w:noProof/>
                <w:lang w:val="en-GB"/>
              </w:rPr>
              <w:t>NRA CORPORATE STATEMENT</w:t>
            </w:r>
            <w:r>
              <w:rPr>
                <w:noProof/>
                <w:webHidden/>
              </w:rPr>
              <w:tab/>
            </w:r>
            <w:r>
              <w:rPr>
                <w:noProof/>
                <w:webHidden/>
              </w:rPr>
              <w:fldChar w:fldCharType="begin"/>
            </w:r>
            <w:r>
              <w:rPr>
                <w:noProof/>
                <w:webHidden/>
              </w:rPr>
              <w:instrText xml:space="preserve"> PAGEREF _Toc198205654 \h </w:instrText>
            </w:r>
            <w:r>
              <w:rPr>
                <w:noProof/>
                <w:webHidden/>
              </w:rPr>
            </w:r>
            <w:r>
              <w:rPr>
                <w:noProof/>
                <w:webHidden/>
              </w:rPr>
              <w:fldChar w:fldCharType="separate"/>
            </w:r>
            <w:r>
              <w:rPr>
                <w:noProof/>
                <w:webHidden/>
              </w:rPr>
              <w:t>11</w:t>
            </w:r>
            <w:r>
              <w:rPr>
                <w:noProof/>
                <w:webHidden/>
              </w:rPr>
              <w:fldChar w:fldCharType="end"/>
            </w:r>
          </w:hyperlink>
        </w:p>
        <w:p w14:paraId="00495522" w14:textId="14992D4E" w:rsidR="0026700F" w:rsidRDefault="0026700F">
          <w:pPr>
            <w:pStyle w:val="TOC2"/>
            <w:tabs>
              <w:tab w:val="right" w:leader="dot" w:pos="9350"/>
            </w:tabs>
            <w:rPr>
              <w:rFonts w:eastAsiaTheme="minorEastAsia"/>
              <w:noProof/>
              <w:sz w:val="24"/>
              <w:szCs w:val="24"/>
              <w:lang w:val="en-GB" w:eastAsia="en-GB"/>
            </w:rPr>
          </w:pPr>
          <w:hyperlink w:anchor="_Toc198205655" w:history="1">
            <w:r w:rsidRPr="00551DA7">
              <w:rPr>
                <w:rStyle w:val="Hyperlink"/>
                <w:noProof/>
              </w:rPr>
              <w:t>GOVERNANCE ARRANGEMENT</w:t>
            </w:r>
            <w:r>
              <w:rPr>
                <w:noProof/>
                <w:webHidden/>
              </w:rPr>
              <w:tab/>
            </w:r>
            <w:r>
              <w:rPr>
                <w:noProof/>
                <w:webHidden/>
              </w:rPr>
              <w:fldChar w:fldCharType="begin"/>
            </w:r>
            <w:r>
              <w:rPr>
                <w:noProof/>
                <w:webHidden/>
              </w:rPr>
              <w:instrText xml:space="preserve"> PAGEREF _Toc198205655 \h </w:instrText>
            </w:r>
            <w:r>
              <w:rPr>
                <w:noProof/>
                <w:webHidden/>
              </w:rPr>
            </w:r>
            <w:r>
              <w:rPr>
                <w:noProof/>
                <w:webHidden/>
              </w:rPr>
              <w:fldChar w:fldCharType="separate"/>
            </w:r>
            <w:r>
              <w:rPr>
                <w:noProof/>
                <w:webHidden/>
              </w:rPr>
              <w:t>12</w:t>
            </w:r>
            <w:r>
              <w:rPr>
                <w:noProof/>
                <w:webHidden/>
              </w:rPr>
              <w:fldChar w:fldCharType="end"/>
            </w:r>
          </w:hyperlink>
        </w:p>
        <w:p w14:paraId="18539886" w14:textId="1958256F" w:rsidR="0026700F" w:rsidRDefault="0026700F">
          <w:pPr>
            <w:pStyle w:val="TOC2"/>
            <w:tabs>
              <w:tab w:val="right" w:leader="dot" w:pos="9350"/>
            </w:tabs>
            <w:rPr>
              <w:rFonts w:eastAsiaTheme="minorEastAsia"/>
              <w:noProof/>
              <w:sz w:val="24"/>
              <w:szCs w:val="24"/>
              <w:lang w:val="en-GB" w:eastAsia="en-GB"/>
            </w:rPr>
          </w:pPr>
          <w:hyperlink w:anchor="_Toc198205656" w:history="1">
            <w:r w:rsidRPr="00551DA7">
              <w:rPr>
                <w:rStyle w:val="Hyperlink"/>
                <w:noProof/>
              </w:rPr>
              <w:t>SIERRA LEONE ECONOMIC SITUATION</w:t>
            </w:r>
            <w:r>
              <w:rPr>
                <w:noProof/>
                <w:webHidden/>
              </w:rPr>
              <w:tab/>
            </w:r>
            <w:r>
              <w:rPr>
                <w:noProof/>
                <w:webHidden/>
              </w:rPr>
              <w:fldChar w:fldCharType="begin"/>
            </w:r>
            <w:r>
              <w:rPr>
                <w:noProof/>
                <w:webHidden/>
              </w:rPr>
              <w:instrText xml:space="preserve"> PAGEREF _Toc198205656 \h </w:instrText>
            </w:r>
            <w:r>
              <w:rPr>
                <w:noProof/>
                <w:webHidden/>
              </w:rPr>
            </w:r>
            <w:r>
              <w:rPr>
                <w:noProof/>
                <w:webHidden/>
              </w:rPr>
              <w:fldChar w:fldCharType="separate"/>
            </w:r>
            <w:r>
              <w:rPr>
                <w:noProof/>
                <w:webHidden/>
              </w:rPr>
              <w:t>14</w:t>
            </w:r>
            <w:r>
              <w:rPr>
                <w:noProof/>
                <w:webHidden/>
              </w:rPr>
              <w:fldChar w:fldCharType="end"/>
            </w:r>
          </w:hyperlink>
        </w:p>
        <w:p w14:paraId="5A0F15BC" w14:textId="3D313DF6" w:rsidR="0026700F" w:rsidRDefault="0026700F">
          <w:pPr>
            <w:pStyle w:val="TOC2"/>
            <w:tabs>
              <w:tab w:val="right" w:leader="dot" w:pos="9350"/>
            </w:tabs>
            <w:rPr>
              <w:rFonts w:eastAsiaTheme="minorEastAsia"/>
              <w:noProof/>
              <w:sz w:val="24"/>
              <w:szCs w:val="24"/>
              <w:lang w:val="en-GB" w:eastAsia="en-GB"/>
            </w:rPr>
          </w:pPr>
          <w:hyperlink w:anchor="_Toc198205657" w:history="1">
            <w:r w:rsidRPr="00551DA7">
              <w:rPr>
                <w:rStyle w:val="Hyperlink"/>
                <w:noProof/>
                <w:lang w:val="en-GB"/>
              </w:rPr>
              <w:t>NRA STRATEGIC PLAN 2023-2027</w:t>
            </w:r>
            <w:r>
              <w:rPr>
                <w:noProof/>
                <w:webHidden/>
              </w:rPr>
              <w:tab/>
            </w:r>
            <w:r>
              <w:rPr>
                <w:noProof/>
                <w:webHidden/>
              </w:rPr>
              <w:fldChar w:fldCharType="begin"/>
            </w:r>
            <w:r>
              <w:rPr>
                <w:noProof/>
                <w:webHidden/>
              </w:rPr>
              <w:instrText xml:space="preserve"> PAGEREF _Toc198205657 \h </w:instrText>
            </w:r>
            <w:r>
              <w:rPr>
                <w:noProof/>
                <w:webHidden/>
              </w:rPr>
            </w:r>
            <w:r>
              <w:rPr>
                <w:noProof/>
                <w:webHidden/>
              </w:rPr>
              <w:fldChar w:fldCharType="separate"/>
            </w:r>
            <w:r>
              <w:rPr>
                <w:noProof/>
                <w:webHidden/>
              </w:rPr>
              <w:t>14</w:t>
            </w:r>
            <w:r>
              <w:rPr>
                <w:noProof/>
                <w:webHidden/>
              </w:rPr>
              <w:fldChar w:fldCharType="end"/>
            </w:r>
          </w:hyperlink>
        </w:p>
        <w:p w14:paraId="0FC1B954" w14:textId="27DC1811" w:rsidR="0026700F" w:rsidRDefault="0026700F">
          <w:pPr>
            <w:pStyle w:val="TOC2"/>
            <w:tabs>
              <w:tab w:val="right" w:leader="dot" w:pos="9350"/>
            </w:tabs>
            <w:rPr>
              <w:rFonts w:eastAsiaTheme="minorEastAsia"/>
              <w:noProof/>
              <w:sz w:val="24"/>
              <w:szCs w:val="24"/>
              <w:lang w:val="en-GB" w:eastAsia="en-GB"/>
            </w:rPr>
          </w:pPr>
          <w:hyperlink w:anchor="_Toc198205658" w:history="1">
            <w:r w:rsidRPr="00551DA7">
              <w:rPr>
                <w:rStyle w:val="Hyperlink"/>
                <w:noProof/>
              </w:rPr>
              <w:t>PROGRESS REPORT ON THE IMPLEMENTATION OF THE 2023 NRA OPERATIONAL PLAN</w:t>
            </w:r>
            <w:r>
              <w:rPr>
                <w:noProof/>
                <w:webHidden/>
              </w:rPr>
              <w:tab/>
            </w:r>
            <w:r>
              <w:rPr>
                <w:noProof/>
                <w:webHidden/>
              </w:rPr>
              <w:fldChar w:fldCharType="begin"/>
            </w:r>
            <w:r>
              <w:rPr>
                <w:noProof/>
                <w:webHidden/>
              </w:rPr>
              <w:instrText xml:space="preserve"> PAGEREF _Toc198205658 \h </w:instrText>
            </w:r>
            <w:r>
              <w:rPr>
                <w:noProof/>
                <w:webHidden/>
              </w:rPr>
            </w:r>
            <w:r>
              <w:rPr>
                <w:noProof/>
                <w:webHidden/>
              </w:rPr>
              <w:fldChar w:fldCharType="separate"/>
            </w:r>
            <w:r>
              <w:rPr>
                <w:noProof/>
                <w:webHidden/>
              </w:rPr>
              <w:t>16</w:t>
            </w:r>
            <w:r>
              <w:rPr>
                <w:noProof/>
                <w:webHidden/>
              </w:rPr>
              <w:fldChar w:fldCharType="end"/>
            </w:r>
          </w:hyperlink>
        </w:p>
        <w:p w14:paraId="15EF8404" w14:textId="6183D7DA" w:rsidR="0026700F" w:rsidRDefault="0026700F">
          <w:pPr>
            <w:pStyle w:val="TOC1"/>
            <w:rPr>
              <w:rFonts w:eastAsiaTheme="minorEastAsia"/>
              <w:b w:val="0"/>
              <w:bCs w:val="0"/>
              <w:sz w:val="24"/>
              <w:szCs w:val="24"/>
              <w:lang w:val="en-GB" w:eastAsia="en-GB"/>
            </w:rPr>
          </w:pPr>
          <w:hyperlink w:anchor="_Toc198205659" w:history="1">
            <w:r w:rsidRPr="00551DA7">
              <w:rPr>
                <w:rStyle w:val="Hyperlink"/>
              </w:rPr>
              <w:t>CHAPTER TWO: REVENUE AND DUTY-WAIVER PERFORMANCE</w:t>
            </w:r>
            <w:r>
              <w:rPr>
                <w:webHidden/>
              </w:rPr>
              <w:tab/>
            </w:r>
            <w:r>
              <w:rPr>
                <w:webHidden/>
              </w:rPr>
              <w:fldChar w:fldCharType="begin"/>
            </w:r>
            <w:r>
              <w:rPr>
                <w:webHidden/>
              </w:rPr>
              <w:instrText xml:space="preserve"> PAGEREF _Toc198205659 \h </w:instrText>
            </w:r>
            <w:r>
              <w:rPr>
                <w:webHidden/>
              </w:rPr>
            </w:r>
            <w:r>
              <w:rPr>
                <w:webHidden/>
              </w:rPr>
              <w:fldChar w:fldCharType="separate"/>
            </w:r>
            <w:r>
              <w:rPr>
                <w:webHidden/>
              </w:rPr>
              <w:t>18</w:t>
            </w:r>
            <w:r>
              <w:rPr>
                <w:webHidden/>
              </w:rPr>
              <w:fldChar w:fldCharType="end"/>
            </w:r>
          </w:hyperlink>
        </w:p>
        <w:p w14:paraId="20A83F48" w14:textId="504B2921" w:rsidR="0026700F" w:rsidRDefault="0026700F">
          <w:pPr>
            <w:pStyle w:val="TOC2"/>
            <w:tabs>
              <w:tab w:val="right" w:leader="dot" w:pos="9350"/>
            </w:tabs>
            <w:rPr>
              <w:rFonts w:eastAsiaTheme="minorEastAsia"/>
              <w:noProof/>
              <w:sz w:val="24"/>
              <w:szCs w:val="24"/>
              <w:lang w:val="en-GB" w:eastAsia="en-GB"/>
            </w:rPr>
          </w:pPr>
          <w:hyperlink w:anchor="_Toc198205660" w:history="1">
            <w:r w:rsidRPr="00551DA7">
              <w:rPr>
                <w:rStyle w:val="Hyperlink"/>
                <w:noProof/>
              </w:rPr>
              <w:t>2.0 OVERVIEW OF REVENUE TARGETS IN 2023</w:t>
            </w:r>
            <w:r>
              <w:rPr>
                <w:noProof/>
                <w:webHidden/>
              </w:rPr>
              <w:tab/>
            </w:r>
            <w:r>
              <w:rPr>
                <w:noProof/>
                <w:webHidden/>
              </w:rPr>
              <w:fldChar w:fldCharType="begin"/>
            </w:r>
            <w:r>
              <w:rPr>
                <w:noProof/>
                <w:webHidden/>
              </w:rPr>
              <w:instrText xml:space="preserve"> PAGEREF _Toc198205660 \h </w:instrText>
            </w:r>
            <w:r>
              <w:rPr>
                <w:noProof/>
                <w:webHidden/>
              </w:rPr>
            </w:r>
            <w:r>
              <w:rPr>
                <w:noProof/>
                <w:webHidden/>
              </w:rPr>
              <w:fldChar w:fldCharType="separate"/>
            </w:r>
            <w:r>
              <w:rPr>
                <w:noProof/>
                <w:webHidden/>
              </w:rPr>
              <w:t>18</w:t>
            </w:r>
            <w:r>
              <w:rPr>
                <w:noProof/>
                <w:webHidden/>
              </w:rPr>
              <w:fldChar w:fldCharType="end"/>
            </w:r>
          </w:hyperlink>
        </w:p>
        <w:p w14:paraId="71907EFA" w14:textId="00403B4A" w:rsidR="0026700F" w:rsidRDefault="0026700F">
          <w:pPr>
            <w:pStyle w:val="TOC2"/>
            <w:tabs>
              <w:tab w:val="right" w:leader="dot" w:pos="9350"/>
            </w:tabs>
            <w:rPr>
              <w:rFonts w:eastAsiaTheme="minorEastAsia"/>
              <w:noProof/>
              <w:sz w:val="24"/>
              <w:szCs w:val="24"/>
              <w:lang w:val="en-GB" w:eastAsia="en-GB"/>
            </w:rPr>
          </w:pPr>
          <w:hyperlink w:anchor="_Toc198205661" w:history="1">
            <w:r w:rsidRPr="00551DA7">
              <w:rPr>
                <w:rStyle w:val="Hyperlink"/>
                <w:noProof/>
              </w:rPr>
              <w:t>2.1 REVENUE PERFORMANCE IN 2023</w:t>
            </w:r>
            <w:r>
              <w:rPr>
                <w:noProof/>
                <w:webHidden/>
              </w:rPr>
              <w:tab/>
            </w:r>
            <w:r>
              <w:rPr>
                <w:noProof/>
                <w:webHidden/>
              </w:rPr>
              <w:fldChar w:fldCharType="begin"/>
            </w:r>
            <w:r>
              <w:rPr>
                <w:noProof/>
                <w:webHidden/>
              </w:rPr>
              <w:instrText xml:space="preserve"> PAGEREF _Toc198205661 \h </w:instrText>
            </w:r>
            <w:r>
              <w:rPr>
                <w:noProof/>
                <w:webHidden/>
              </w:rPr>
            </w:r>
            <w:r>
              <w:rPr>
                <w:noProof/>
                <w:webHidden/>
              </w:rPr>
              <w:fldChar w:fldCharType="separate"/>
            </w:r>
            <w:r>
              <w:rPr>
                <w:noProof/>
                <w:webHidden/>
              </w:rPr>
              <w:t>19</w:t>
            </w:r>
            <w:r>
              <w:rPr>
                <w:noProof/>
                <w:webHidden/>
              </w:rPr>
              <w:fldChar w:fldCharType="end"/>
            </w:r>
          </w:hyperlink>
        </w:p>
        <w:p w14:paraId="4F642425" w14:textId="0DB8CE2B" w:rsidR="0026700F" w:rsidRDefault="0026700F">
          <w:pPr>
            <w:pStyle w:val="TOC3"/>
            <w:rPr>
              <w:rFonts w:eastAsiaTheme="minorEastAsia"/>
              <w:i w:val="0"/>
              <w:iCs w:val="0"/>
              <w:sz w:val="24"/>
              <w:szCs w:val="24"/>
              <w:lang w:val="en-GB" w:eastAsia="en-GB"/>
            </w:rPr>
          </w:pPr>
          <w:hyperlink w:anchor="_Toc198205662" w:history="1">
            <w:r w:rsidRPr="00551DA7">
              <w:rPr>
                <w:rStyle w:val="Hyperlink"/>
              </w:rPr>
              <w:t>2.1.4 Historic Revenue Performance (2019 – 2023)</w:t>
            </w:r>
            <w:r>
              <w:rPr>
                <w:webHidden/>
              </w:rPr>
              <w:tab/>
            </w:r>
            <w:r>
              <w:rPr>
                <w:webHidden/>
              </w:rPr>
              <w:fldChar w:fldCharType="begin"/>
            </w:r>
            <w:r>
              <w:rPr>
                <w:webHidden/>
              </w:rPr>
              <w:instrText xml:space="preserve"> PAGEREF _Toc198205662 \h </w:instrText>
            </w:r>
            <w:r>
              <w:rPr>
                <w:webHidden/>
              </w:rPr>
            </w:r>
            <w:r>
              <w:rPr>
                <w:webHidden/>
              </w:rPr>
              <w:fldChar w:fldCharType="separate"/>
            </w:r>
            <w:r>
              <w:rPr>
                <w:webHidden/>
              </w:rPr>
              <w:t>24</w:t>
            </w:r>
            <w:r>
              <w:rPr>
                <w:webHidden/>
              </w:rPr>
              <w:fldChar w:fldCharType="end"/>
            </w:r>
          </w:hyperlink>
        </w:p>
        <w:p w14:paraId="4FCB8BDD" w14:textId="012A8ED5" w:rsidR="0026700F" w:rsidRDefault="0026700F">
          <w:pPr>
            <w:pStyle w:val="TOC3"/>
            <w:rPr>
              <w:rFonts w:eastAsiaTheme="minorEastAsia"/>
              <w:i w:val="0"/>
              <w:iCs w:val="0"/>
              <w:sz w:val="24"/>
              <w:szCs w:val="24"/>
              <w:lang w:val="en-GB" w:eastAsia="en-GB"/>
            </w:rPr>
          </w:pPr>
          <w:hyperlink w:anchor="_Toc198205663" w:history="1">
            <w:r w:rsidRPr="00551DA7">
              <w:rPr>
                <w:rStyle w:val="Hyperlink"/>
              </w:rPr>
              <w:t>2.2: COMPARATIVE DUTY WAIVER PERFORMANCE, 2023 AND 2022</w:t>
            </w:r>
            <w:r>
              <w:rPr>
                <w:webHidden/>
              </w:rPr>
              <w:tab/>
            </w:r>
            <w:r>
              <w:rPr>
                <w:webHidden/>
              </w:rPr>
              <w:fldChar w:fldCharType="begin"/>
            </w:r>
            <w:r>
              <w:rPr>
                <w:webHidden/>
              </w:rPr>
              <w:instrText xml:space="preserve"> PAGEREF _Toc198205663 \h </w:instrText>
            </w:r>
            <w:r>
              <w:rPr>
                <w:webHidden/>
              </w:rPr>
            </w:r>
            <w:r>
              <w:rPr>
                <w:webHidden/>
              </w:rPr>
              <w:fldChar w:fldCharType="separate"/>
            </w:r>
            <w:r>
              <w:rPr>
                <w:webHidden/>
              </w:rPr>
              <w:t>25</w:t>
            </w:r>
            <w:r>
              <w:rPr>
                <w:webHidden/>
              </w:rPr>
              <w:fldChar w:fldCharType="end"/>
            </w:r>
          </w:hyperlink>
        </w:p>
        <w:p w14:paraId="4EC170C1" w14:textId="2CC651CC" w:rsidR="0026700F" w:rsidRDefault="0026700F">
          <w:pPr>
            <w:pStyle w:val="TOC1"/>
            <w:rPr>
              <w:rFonts w:eastAsiaTheme="minorEastAsia"/>
              <w:b w:val="0"/>
              <w:bCs w:val="0"/>
              <w:sz w:val="24"/>
              <w:szCs w:val="24"/>
              <w:lang w:val="en-GB" w:eastAsia="en-GB"/>
            </w:rPr>
          </w:pPr>
          <w:hyperlink w:anchor="_Toc198205664" w:history="1">
            <w:r w:rsidRPr="00551DA7">
              <w:rPr>
                <w:rStyle w:val="Hyperlink"/>
              </w:rPr>
              <w:t>CHAPTER THREE: KEY NON-REVENUE ACHIEVEMENTS</w:t>
            </w:r>
            <w:r>
              <w:rPr>
                <w:webHidden/>
              </w:rPr>
              <w:tab/>
            </w:r>
            <w:r>
              <w:rPr>
                <w:webHidden/>
              </w:rPr>
              <w:fldChar w:fldCharType="begin"/>
            </w:r>
            <w:r>
              <w:rPr>
                <w:webHidden/>
              </w:rPr>
              <w:instrText xml:space="preserve"> PAGEREF _Toc198205664 \h </w:instrText>
            </w:r>
            <w:r>
              <w:rPr>
                <w:webHidden/>
              </w:rPr>
            </w:r>
            <w:r>
              <w:rPr>
                <w:webHidden/>
              </w:rPr>
              <w:fldChar w:fldCharType="separate"/>
            </w:r>
            <w:r>
              <w:rPr>
                <w:webHidden/>
              </w:rPr>
              <w:t>27</w:t>
            </w:r>
            <w:r>
              <w:rPr>
                <w:webHidden/>
              </w:rPr>
              <w:fldChar w:fldCharType="end"/>
            </w:r>
          </w:hyperlink>
        </w:p>
        <w:p w14:paraId="6E0F8349" w14:textId="19002FE7" w:rsidR="0026700F" w:rsidRDefault="0026700F">
          <w:pPr>
            <w:pStyle w:val="TOC2"/>
            <w:tabs>
              <w:tab w:val="right" w:leader="dot" w:pos="9350"/>
            </w:tabs>
            <w:rPr>
              <w:rFonts w:eastAsiaTheme="minorEastAsia"/>
              <w:noProof/>
              <w:sz w:val="24"/>
              <w:szCs w:val="24"/>
              <w:lang w:val="en-GB" w:eastAsia="en-GB"/>
            </w:rPr>
          </w:pPr>
          <w:hyperlink w:anchor="_Toc198205665" w:history="1">
            <w:r w:rsidRPr="00551DA7">
              <w:rPr>
                <w:rStyle w:val="Hyperlink"/>
                <w:noProof/>
              </w:rPr>
              <w:t>TAXPAYER AND STAKEHOLDER ENGAGEMENT</w:t>
            </w:r>
            <w:r>
              <w:rPr>
                <w:noProof/>
                <w:webHidden/>
              </w:rPr>
              <w:tab/>
            </w:r>
            <w:r>
              <w:rPr>
                <w:noProof/>
                <w:webHidden/>
              </w:rPr>
              <w:fldChar w:fldCharType="begin"/>
            </w:r>
            <w:r>
              <w:rPr>
                <w:noProof/>
                <w:webHidden/>
              </w:rPr>
              <w:instrText xml:space="preserve"> PAGEREF _Toc198205665 \h </w:instrText>
            </w:r>
            <w:r>
              <w:rPr>
                <w:noProof/>
                <w:webHidden/>
              </w:rPr>
            </w:r>
            <w:r>
              <w:rPr>
                <w:noProof/>
                <w:webHidden/>
              </w:rPr>
              <w:fldChar w:fldCharType="separate"/>
            </w:r>
            <w:r>
              <w:rPr>
                <w:noProof/>
                <w:webHidden/>
              </w:rPr>
              <w:t>28</w:t>
            </w:r>
            <w:r>
              <w:rPr>
                <w:noProof/>
                <w:webHidden/>
              </w:rPr>
              <w:fldChar w:fldCharType="end"/>
            </w:r>
          </w:hyperlink>
        </w:p>
        <w:p w14:paraId="642C8C4A" w14:textId="0AF91651" w:rsidR="0026700F" w:rsidRDefault="0026700F">
          <w:pPr>
            <w:pStyle w:val="TOC2"/>
            <w:tabs>
              <w:tab w:val="right" w:leader="dot" w:pos="9350"/>
            </w:tabs>
            <w:rPr>
              <w:rFonts w:eastAsiaTheme="minorEastAsia"/>
              <w:noProof/>
              <w:sz w:val="24"/>
              <w:szCs w:val="24"/>
              <w:lang w:val="en-GB" w:eastAsia="en-GB"/>
            </w:rPr>
          </w:pPr>
          <w:hyperlink w:anchor="_Toc198205666" w:history="1">
            <w:r w:rsidRPr="00551DA7">
              <w:rPr>
                <w:rStyle w:val="Hyperlink"/>
                <w:noProof/>
              </w:rPr>
              <w:t>UPDATE ON 2022 CORPORATE SOCIAL RESPONSIBILITIES</w:t>
            </w:r>
            <w:r>
              <w:rPr>
                <w:noProof/>
                <w:webHidden/>
              </w:rPr>
              <w:tab/>
            </w:r>
            <w:r>
              <w:rPr>
                <w:noProof/>
                <w:webHidden/>
              </w:rPr>
              <w:fldChar w:fldCharType="begin"/>
            </w:r>
            <w:r>
              <w:rPr>
                <w:noProof/>
                <w:webHidden/>
              </w:rPr>
              <w:instrText xml:space="preserve"> PAGEREF _Toc198205666 \h </w:instrText>
            </w:r>
            <w:r>
              <w:rPr>
                <w:noProof/>
                <w:webHidden/>
              </w:rPr>
            </w:r>
            <w:r>
              <w:rPr>
                <w:noProof/>
                <w:webHidden/>
              </w:rPr>
              <w:fldChar w:fldCharType="separate"/>
            </w:r>
            <w:r>
              <w:rPr>
                <w:noProof/>
                <w:webHidden/>
              </w:rPr>
              <w:t>29</w:t>
            </w:r>
            <w:r>
              <w:rPr>
                <w:noProof/>
                <w:webHidden/>
              </w:rPr>
              <w:fldChar w:fldCharType="end"/>
            </w:r>
          </w:hyperlink>
        </w:p>
        <w:p w14:paraId="1C0EEDFE" w14:textId="1E6185D6" w:rsidR="0026700F" w:rsidRDefault="0026700F">
          <w:pPr>
            <w:pStyle w:val="TOC2"/>
            <w:tabs>
              <w:tab w:val="right" w:leader="dot" w:pos="9350"/>
            </w:tabs>
            <w:rPr>
              <w:rFonts w:eastAsiaTheme="minorEastAsia"/>
              <w:noProof/>
              <w:sz w:val="24"/>
              <w:szCs w:val="24"/>
              <w:lang w:val="en-GB" w:eastAsia="en-GB"/>
            </w:rPr>
          </w:pPr>
          <w:hyperlink w:anchor="_Toc198205667" w:history="1">
            <w:r w:rsidRPr="00551DA7">
              <w:rPr>
                <w:rStyle w:val="Hyperlink"/>
                <w:noProof/>
              </w:rPr>
              <w:t>COLLABORATION WITH STAKEHOLDERS</w:t>
            </w:r>
            <w:r>
              <w:rPr>
                <w:noProof/>
                <w:webHidden/>
              </w:rPr>
              <w:tab/>
            </w:r>
            <w:r>
              <w:rPr>
                <w:noProof/>
                <w:webHidden/>
              </w:rPr>
              <w:fldChar w:fldCharType="begin"/>
            </w:r>
            <w:r>
              <w:rPr>
                <w:noProof/>
                <w:webHidden/>
              </w:rPr>
              <w:instrText xml:space="preserve"> PAGEREF _Toc198205667 \h </w:instrText>
            </w:r>
            <w:r>
              <w:rPr>
                <w:noProof/>
                <w:webHidden/>
              </w:rPr>
            </w:r>
            <w:r>
              <w:rPr>
                <w:noProof/>
                <w:webHidden/>
              </w:rPr>
              <w:fldChar w:fldCharType="separate"/>
            </w:r>
            <w:r>
              <w:rPr>
                <w:noProof/>
                <w:webHidden/>
              </w:rPr>
              <w:t>30</w:t>
            </w:r>
            <w:r>
              <w:rPr>
                <w:noProof/>
                <w:webHidden/>
              </w:rPr>
              <w:fldChar w:fldCharType="end"/>
            </w:r>
          </w:hyperlink>
        </w:p>
        <w:p w14:paraId="03CCED76" w14:textId="5ED600B1" w:rsidR="0026700F" w:rsidRDefault="0026700F">
          <w:pPr>
            <w:pStyle w:val="TOC3"/>
            <w:rPr>
              <w:rFonts w:eastAsiaTheme="minorEastAsia"/>
              <w:i w:val="0"/>
              <w:iCs w:val="0"/>
              <w:sz w:val="24"/>
              <w:szCs w:val="24"/>
              <w:lang w:val="en-GB" w:eastAsia="en-GB"/>
            </w:rPr>
          </w:pPr>
          <w:hyperlink w:anchor="_Toc198205668" w:history="1">
            <w:r w:rsidRPr="00551DA7">
              <w:rPr>
                <w:rStyle w:val="Hyperlink"/>
                <w:lang w:val="fr-FR"/>
              </w:rPr>
              <w:t>Société Industrielle et Commerciale de Produits Alimentaires (SICPA)</w:t>
            </w:r>
            <w:r>
              <w:rPr>
                <w:webHidden/>
              </w:rPr>
              <w:tab/>
            </w:r>
            <w:r>
              <w:rPr>
                <w:webHidden/>
              </w:rPr>
              <w:fldChar w:fldCharType="begin"/>
            </w:r>
            <w:r>
              <w:rPr>
                <w:webHidden/>
              </w:rPr>
              <w:instrText xml:space="preserve"> PAGEREF _Toc198205668 \h </w:instrText>
            </w:r>
            <w:r>
              <w:rPr>
                <w:webHidden/>
              </w:rPr>
            </w:r>
            <w:r>
              <w:rPr>
                <w:webHidden/>
              </w:rPr>
              <w:fldChar w:fldCharType="separate"/>
            </w:r>
            <w:r>
              <w:rPr>
                <w:webHidden/>
              </w:rPr>
              <w:t>30</w:t>
            </w:r>
            <w:r>
              <w:rPr>
                <w:webHidden/>
              </w:rPr>
              <w:fldChar w:fldCharType="end"/>
            </w:r>
          </w:hyperlink>
        </w:p>
        <w:p w14:paraId="67BE8694" w14:textId="69990951" w:rsidR="0026700F" w:rsidRDefault="0026700F">
          <w:pPr>
            <w:pStyle w:val="TOC3"/>
            <w:rPr>
              <w:rFonts w:eastAsiaTheme="minorEastAsia"/>
              <w:i w:val="0"/>
              <w:iCs w:val="0"/>
              <w:sz w:val="24"/>
              <w:szCs w:val="24"/>
              <w:lang w:val="en-GB" w:eastAsia="en-GB"/>
            </w:rPr>
          </w:pPr>
          <w:hyperlink w:anchor="_Toc198205669" w:history="1">
            <w:r w:rsidRPr="00551DA7">
              <w:rPr>
                <w:rStyle w:val="Hyperlink"/>
              </w:rPr>
              <w:t>N-SOFT</w:t>
            </w:r>
            <w:r>
              <w:rPr>
                <w:webHidden/>
              </w:rPr>
              <w:tab/>
            </w:r>
            <w:r>
              <w:rPr>
                <w:webHidden/>
              </w:rPr>
              <w:fldChar w:fldCharType="begin"/>
            </w:r>
            <w:r>
              <w:rPr>
                <w:webHidden/>
              </w:rPr>
              <w:instrText xml:space="preserve"> PAGEREF _Toc198205669 \h </w:instrText>
            </w:r>
            <w:r>
              <w:rPr>
                <w:webHidden/>
              </w:rPr>
            </w:r>
            <w:r>
              <w:rPr>
                <w:webHidden/>
              </w:rPr>
              <w:fldChar w:fldCharType="separate"/>
            </w:r>
            <w:r>
              <w:rPr>
                <w:webHidden/>
              </w:rPr>
              <w:t>30</w:t>
            </w:r>
            <w:r>
              <w:rPr>
                <w:webHidden/>
              </w:rPr>
              <w:fldChar w:fldCharType="end"/>
            </w:r>
          </w:hyperlink>
        </w:p>
        <w:p w14:paraId="133DDD3F" w14:textId="23E50016" w:rsidR="0026700F" w:rsidRDefault="0026700F">
          <w:pPr>
            <w:pStyle w:val="TOC3"/>
            <w:rPr>
              <w:rFonts w:eastAsiaTheme="minorEastAsia"/>
              <w:i w:val="0"/>
              <w:iCs w:val="0"/>
              <w:sz w:val="24"/>
              <w:szCs w:val="24"/>
              <w:lang w:val="en-GB" w:eastAsia="en-GB"/>
            </w:rPr>
          </w:pPr>
          <w:hyperlink w:anchor="_Toc198205670" w:history="1">
            <w:r w:rsidRPr="00551DA7">
              <w:rPr>
                <w:rStyle w:val="Hyperlink"/>
              </w:rPr>
              <w:t>Swedish Tax Agency Study Tour</w:t>
            </w:r>
            <w:r>
              <w:rPr>
                <w:webHidden/>
              </w:rPr>
              <w:tab/>
            </w:r>
            <w:r>
              <w:rPr>
                <w:webHidden/>
              </w:rPr>
              <w:fldChar w:fldCharType="begin"/>
            </w:r>
            <w:r>
              <w:rPr>
                <w:webHidden/>
              </w:rPr>
              <w:instrText xml:space="preserve"> PAGEREF _Toc198205670 \h </w:instrText>
            </w:r>
            <w:r>
              <w:rPr>
                <w:webHidden/>
              </w:rPr>
            </w:r>
            <w:r>
              <w:rPr>
                <w:webHidden/>
              </w:rPr>
              <w:fldChar w:fldCharType="separate"/>
            </w:r>
            <w:r>
              <w:rPr>
                <w:webHidden/>
              </w:rPr>
              <w:t>30</w:t>
            </w:r>
            <w:r>
              <w:rPr>
                <w:webHidden/>
              </w:rPr>
              <w:fldChar w:fldCharType="end"/>
            </w:r>
          </w:hyperlink>
        </w:p>
        <w:p w14:paraId="475D6891" w14:textId="6514EC1C" w:rsidR="0026700F" w:rsidRDefault="0026700F">
          <w:pPr>
            <w:pStyle w:val="TOC3"/>
            <w:rPr>
              <w:rFonts w:eastAsiaTheme="minorEastAsia"/>
              <w:i w:val="0"/>
              <w:iCs w:val="0"/>
              <w:sz w:val="24"/>
              <w:szCs w:val="24"/>
              <w:lang w:val="en-GB" w:eastAsia="en-GB"/>
            </w:rPr>
          </w:pPr>
          <w:hyperlink w:anchor="_Toc198205671" w:history="1">
            <w:r w:rsidRPr="00551DA7">
              <w:rPr>
                <w:rStyle w:val="Hyperlink"/>
              </w:rPr>
              <w:t>Global Forum</w:t>
            </w:r>
            <w:r>
              <w:rPr>
                <w:webHidden/>
              </w:rPr>
              <w:tab/>
            </w:r>
            <w:r>
              <w:rPr>
                <w:webHidden/>
              </w:rPr>
              <w:fldChar w:fldCharType="begin"/>
            </w:r>
            <w:r>
              <w:rPr>
                <w:webHidden/>
              </w:rPr>
              <w:instrText xml:space="preserve"> PAGEREF _Toc198205671 \h </w:instrText>
            </w:r>
            <w:r>
              <w:rPr>
                <w:webHidden/>
              </w:rPr>
            </w:r>
            <w:r>
              <w:rPr>
                <w:webHidden/>
              </w:rPr>
              <w:fldChar w:fldCharType="separate"/>
            </w:r>
            <w:r>
              <w:rPr>
                <w:webHidden/>
              </w:rPr>
              <w:t>30</w:t>
            </w:r>
            <w:r>
              <w:rPr>
                <w:webHidden/>
              </w:rPr>
              <w:fldChar w:fldCharType="end"/>
            </w:r>
          </w:hyperlink>
        </w:p>
        <w:p w14:paraId="658162BB" w14:textId="7CDDAB44" w:rsidR="0026700F" w:rsidRDefault="0026700F">
          <w:pPr>
            <w:pStyle w:val="TOC3"/>
            <w:rPr>
              <w:rFonts w:eastAsiaTheme="minorEastAsia"/>
              <w:i w:val="0"/>
              <w:iCs w:val="0"/>
              <w:sz w:val="24"/>
              <w:szCs w:val="24"/>
              <w:lang w:val="en-GB" w:eastAsia="en-GB"/>
            </w:rPr>
          </w:pPr>
          <w:hyperlink w:anchor="_Toc198205672" w:history="1">
            <w:r w:rsidRPr="00551DA7">
              <w:rPr>
                <w:rStyle w:val="Hyperlink"/>
              </w:rPr>
              <w:t>Proposed Revenue Court</w:t>
            </w:r>
            <w:r>
              <w:rPr>
                <w:webHidden/>
              </w:rPr>
              <w:tab/>
            </w:r>
            <w:r>
              <w:rPr>
                <w:webHidden/>
              </w:rPr>
              <w:fldChar w:fldCharType="begin"/>
            </w:r>
            <w:r>
              <w:rPr>
                <w:webHidden/>
              </w:rPr>
              <w:instrText xml:space="preserve"> PAGEREF _Toc198205672 \h </w:instrText>
            </w:r>
            <w:r>
              <w:rPr>
                <w:webHidden/>
              </w:rPr>
            </w:r>
            <w:r>
              <w:rPr>
                <w:webHidden/>
              </w:rPr>
              <w:fldChar w:fldCharType="separate"/>
            </w:r>
            <w:r>
              <w:rPr>
                <w:webHidden/>
              </w:rPr>
              <w:t>31</w:t>
            </w:r>
            <w:r>
              <w:rPr>
                <w:webHidden/>
              </w:rPr>
              <w:fldChar w:fldCharType="end"/>
            </w:r>
          </w:hyperlink>
        </w:p>
        <w:p w14:paraId="2FB59AE4" w14:textId="3CB3F5E0" w:rsidR="0026700F" w:rsidRDefault="0026700F">
          <w:pPr>
            <w:pStyle w:val="TOC2"/>
            <w:tabs>
              <w:tab w:val="right" w:leader="dot" w:pos="9350"/>
            </w:tabs>
            <w:rPr>
              <w:rFonts w:eastAsiaTheme="minorEastAsia"/>
              <w:noProof/>
              <w:sz w:val="24"/>
              <w:szCs w:val="24"/>
              <w:lang w:val="en-GB" w:eastAsia="en-GB"/>
            </w:rPr>
          </w:pPr>
          <w:hyperlink w:anchor="_Toc198205673" w:history="1">
            <w:r w:rsidRPr="00551DA7">
              <w:rPr>
                <w:rStyle w:val="Hyperlink"/>
                <w:noProof/>
              </w:rPr>
              <w:t>PUBLIC RECOGNITION AND TRUST</w:t>
            </w:r>
            <w:r>
              <w:rPr>
                <w:noProof/>
                <w:webHidden/>
              </w:rPr>
              <w:tab/>
            </w:r>
            <w:r>
              <w:rPr>
                <w:noProof/>
                <w:webHidden/>
              </w:rPr>
              <w:fldChar w:fldCharType="begin"/>
            </w:r>
            <w:r>
              <w:rPr>
                <w:noProof/>
                <w:webHidden/>
              </w:rPr>
              <w:instrText xml:space="preserve"> PAGEREF _Toc198205673 \h </w:instrText>
            </w:r>
            <w:r>
              <w:rPr>
                <w:noProof/>
                <w:webHidden/>
              </w:rPr>
            </w:r>
            <w:r>
              <w:rPr>
                <w:noProof/>
                <w:webHidden/>
              </w:rPr>
              <w:fldChar w:fldCharType="separate"/>
            </w:r>
            <w:r>
              <w:rPr>
                <w:noProof/>
                <w:webHidden/>
              </w:rPr>
              <w:t>31</w:t>
            </w:r>
            <w:r>
              <w:rPr>
                <w:noProof/>
                <w:webHidden/>
              </w:rPr>
              <w:fldChar w:fldCharType="end"/>
            </w:r>
          </w:hyperlink>
        </w:p>
        <w:p w14:paraId="6503F970" w14:textId="54BE4698" w:rsidR="0026700F" w:rsidRDefault="0026700F">
          <w:pPr>
            <w:pStyle w:val="TOC2"/>
            <w:tabs>
              <w:tab w:val="right" w:leader="dot" w:pos="9350"/>
            </w:tabs>
            <w:rPr>
              <w:rFonts w:eastAsiaTheme="minorEastAsia"/>
              <w:noProof/>
              <w:sz w:val="24"/>
              <w:szCs w:val="24"/>
              <w:lang w:val="en-GB" w:eastAsia="en-GB"/>
            </w:rPr>
          </w:pPr>
          <w:hyperlink w:anchor="_Toc198205674" w:history="1">
            <w:r w:rsidRPr="00551DA7">
              <w:rPr>
                <w:rStyle w:val="Hyperlink"/>
                <w:noProof/>
              </w:rPr>
              <w:t>HUMAN RESOURCE AND STAFF WELFARE MANAGEMENT</w:t>
            </w:r>
            <w:r>
              <w:rPr>
                <w:noProof/>
                <w:webHidden/>
              </w:rPr>
              <w:tab/>
            </w:r>
            <w:r>
              <w:rPr>
                <w:noProof/>
                <w:webHidden/>
              </w:rPr>
              <w:fldChar w:fldCharType="begin"/>
            </w:r>
            <w:r>
              <w:rPr>
                <w:noProof/>
                <w:webHidden/>
              </w:rPr>
              <w:instrText xml:space="preserve"> PAGEREF _Toc198205674 \h </w:instrText>
            </w:r>
            <w:r>
              <w:rPr>
                <w:noProof/>
                <w:webHidden/>
              </w:rPr>
            </w:r>
            <w:r>
              <w:rPr>
                <w:noProof/>
                <w:webHidden/>
              </w:rPr>
              <w:fldChar w:fldCharType="separate"/>
            </w:r>
            <w:r>
              <w:rPr>
                <w:noProof/>
                <w:webHidden/>
              </w:rPr>
              <w:t>31</w:t>
            </w:r>
            <w:r>
              <w:rPr>
                <w:noProof/>
                <w:webHidden/>
              </w:rPr>
              <w:fldChar w:fldCharType="end"/>
            </w:r>
          </w:hyperlink>
        </w:p>
        <w:p w14:paraId="64852B02" w14:textId="1FA05342" w:rsidR="0026700F" w:rsidRDefault="0026700F">
          <w:pPr>
            <w:pStyle w:val="TOC3"/>
            <w:rPr>
              <w:rFonts w:eastAsiaTheme="minorEastAsia"/>
              <w:i w:val="0"/>
              <w:iCs w:val="0"/>
              <w:sz w:val="24"/>
              <w:szCs w:val="24"/>
              <w:lang w:val="en-GB" w:eastAsia="en-GB"/>
            </w:rPr>
          </w:pPr>
          <w:hyperlink w:anchor="_Toc198205675" w:history="1">
            <w:r w:rsidRPr="00551DA7">
              <w:rPr>
                <w:rStyle w:val="Hyperlink"/>
              </w:rPr>
              <w:t>Staff Strength</w:t>
            </w:r>
            <w:r>
              <w:rPr>
                <w:webHidden/>
              </w:rPr>
              <w:tab/>
            </w:r>
            <w:r>
              <w:rPr>
                <w:webHidden/>
              </w:rPr>
              <w:fldChar w:fldCharType="begin"/>
            </w:r>
            <w:r>
              <w:rPr>
                <w:webHidden/>
              </w:rPr>
              <w:instrText xml:space="preserve"> PAGEREF _Toc198205675 \h </w:instrText>
            </w:r>
            <w:r>
              <w:rPr>
                <w:webHidden/>
              </w:rPr>
            </w:r>
            <w:r>
              <w:rPr>
                <w:webHidden/>
              </w:rPr>
              <w:fldChar w:fldCharType="separate"/>
            </w:r>
            <w:r>
              <w:rPr>
                <w:webHidden/>
              </w:rPr>
              <w:t>32</w:t>
            </w:r>
            <w:r>
              <w:rPr>
                <w:webHidden/>
              </w:rPr>
              <w:fldChar w:fldCharType="end"/>
            </w:r>
          </w:hyperlink>
        </w:p>
        <w:p w14:paraId="63CFC617" w14:textId="3D868FF8" w:rsidR="0026700F" w:rsidRDefault="0026700F">
          <w:pPr>
            <w:pStyle w:val="TOC3"/>
            <w:rPr>
              <w:rFonts w:eastAsiaTheme="minorEastAsia"/>
              <w:i w:val="0"/>
              <w:iCs w:val="0"/>
              <w:sz w:val="24"/>
              <w:szCs w:val="24"/>
              <w:lang w:val="en-GB" w:eastAsia="en-GB"/>
            </w:rPr>
          </w:pPr>
          <w:hyperlink w:anchor="_Toc198205676" w:history="1">
            <w:r w:rsidRPr="00551DA7">
              <w:rPr>
                <w:rStyle w:val="Hyperlink"/>
              </w:rPr>
              <w:t>Staff Recruitment, Confirmation, Promotion and Engagement</w:t>
            </w:r>
            <w:r>
              <w:rPr>
                <w:webHidden/>
              </w:rPr>
              <w:tab/>
            </w:r>
            <w:r>
              <w:rPr>
                <w:webHidden/>
              </w:rPr>
              <w:fldChar w:fldCharType="begin"/>
            </w:r>
            <w:r>
              <w:rPr>
                <w:webHidden/>
              </w:rPr>
              <w:instrText xml:space="preserve"> PAGEREF _Toc198205676 \h </w:instrText>
            </w:r>
            <w:r>
              <w:rPr>
                <w:webHidden/>
              </w:rPr>
            </w:r>
            <w:r>
              <w:rPr>
                <w:webHidden/>
              </w:rPr>
              <w:fldChar w:fldCharType="separate"/>
            </w:r>
            <w:r>
              <w:rPr>
                <w:webHidden/>
              </w:rPr>
              <w:t>34</w:t>
            </w:r>
            <w:r>
              <w:rPr>
                <w:webHidden/>
              </w:rPr>
              <w:fldChar w:fldCharType="end"/>
            </w:r>
          </w:hyperlink>
        </w:p>
        <w:p w14:paraId="34EF3C71" w14:textId="6E1A3C5B" w:rsidR="0026700F" w:rsidRDefault="0026700F">
          <w:pPr>
            <w:pStyle w:val="TOC3"/>
            <w:rPr>
              <w:rFonts w:eastAsiaTheme="minorEastAsia"/>
              <w:i w:val="0"/>
              <w:iCs w:val="0"/>
              <w:sz w:val="24"/>
              <w:szCs w:val="24"/>
              <w:lang w:val="en-GB" w:eastAsia="en-GB"/>
            </w:rPr>
          </w:pPr>
          <w:hyperlink w:anchor="_Toc198205677" w:history="1">
            <w:r w:rsidRPr="00551DA7">
              <w:rPr>
                <w:rStyle w:val="Hyperlink"/>
              </w:rPr>
              <w:t>Staff Capacity Development Initiatives</w:t>
            </w:r>
            <w:r>
              <w:rPr>
                <w:webHidden/>
              </w:rPr>
              <w:tab/>
            </w:r>
            <w:r>
              <w:rPr>
                <w:webHidden/>
              </w:rPr>
              <w:fldChar w:fldCharType="begin"/>
            </w:r>
            <w:r>
              <w:rPr>
                <w:webHidden/>
              </w:rPr>
              <w:instrText xml:space="preserve"> PAGEREF _Toc198205677 \h </w:instrText>
            </w:r>
            <w:r>
              <w:rPr>
                <w:webHidden/>
              </w:rPr>
            </w:r>
            <w:r>
              <w:rPr>
                <w:webHidden/>
              </w:rPr>
              <w:fldChar w:fldCharType="separate"/>
            </w:r>
            <w:r>
              <w:rPr>
                <w:webHidden/>
              </w:rPr>
              <w:t>35</w:t>
            </w:r>
            <w:r>
              <w:rPr>
                <w:webHidden/>
              </w:rPr>
              <w:fldChar w:fldCharType="end"/>
            </w:r>
          </w:hyperlink>
        </w:p>
        <w:p w14:paraId="58EE9DF4" w14:textId="01B32078" w:rsidR="0026700F" w:rsidRDefault="0026700F">
          <w:pPr>
            <w:pStyle w:val="TOC3"/>
            <w:rPr>
              <w:rFonts w:eastAsiaTheme="minorEastAsia"/>
              <w:i w:val="0"/>
              <w:iCs w:val="0"/>
              <w:sz w:val="24"/>
              <w:szCs w:val="24"/>
              <w:lang w:val="en-GB" w:eastAsia="en-GB"/>
            </w:rPr>
          </w:pPr>
          <w:hyperlink w:anchor="_Toc198205678" w:history="1">
            <w:r w:rsidRPr="00551DA7">
              <w:rPr>
                <w:rStyle w:val="Hyperlink"/>
              </w:rPr>
              <w:t>Staff Medical Scheme</w:t>
            </w:r>
            <w:r>
              <w:rPr>
                <w:webHidden/>
              </w:rPr>
              <w:tab/>
            </w:r>
            <w:r>
              <w:rPr>
                <w:webHidden/>
              </w:rPr>
              <w:fldChar w:fldCharType="begin"/>
            </w:r>
            <w:r>
              <w:rPr>
                <w:webHidden/>
              </w:rPr>
              <w:instrText xml:space="preserve"> PAGEREF _Toc198205678 \h </w:instrText>
            </w:r>
            <w:r>
              <w:rPr>
                <w:webHidden/>
              </w:rPr>
            </w:r>
            <w:r>
              <w:rPr>
                <w:webHidden/>
              </w:rPr>
              <w:fldChar w:fldCharType="separate"/>
            </w:r>
            <w:r>
              <w:rPr>
                <w:webHidden/>
              </w:rPr>
              <w:t>36</w:t>
            </w:r>
            <w:r>
              <w:rPr>
                <w:webHidden/>
              </w:rPr>
              <w:fldChar w:fldCharType="end"/>
            </w:r>
          </w:hyperlink>
        </w:p>
        <w:p w14:paraId="552E90DA" w14:textId="08031595" w:rsidR="0026700F" w:rsidRDefault="0026700F">
          <w:pPr>
            <w:pStyle w:val="TOC3"/>
            <w:rPr>
              <w:rFonts w:eastAsiaTheme="minorEastAsia"/>
              <w:i w:val="0"/>
              <w:iCs w:val="0"/>
              <w:sz w:val="24"/>
              <w:szCs w:val="24"/>
              <w:lang w:val="en-GB" w:eastAsia="en-GB"/>
            </w:rPr>
          </w:pPr>
          <w:hyperlink w:anchor="_Toc198205679" w:history="1">
            <w:r w:rsidRPr="00551DA7">
              <w:rPr>
                <w:rStyle w:val="Hyperlink"/>
              </w:rPr>
              <w:t>Biometric Attendance Management</w:t>
            </w:r>
            <w:r>
              <w:rPr>
                <w:webHidden/>
              </w:rPr>
              <w:tab/>
            </w:r>
            <w:r>
              <w:rPr>
                <w:webHidden/>
              </w:rPr>
              <w:fldChar w:fldCharType="begin"/>
            </w:r>
            <w:r>
              <w:rPr>
                <w:webHidden/>
              </w:rPr>
              <w:instrText xml:space="preserve"> PAGEREF _Toc198205679 \h </w:instrText>
            </w:r>
            <w:r>
              <w:rPr>
                <w:webHidden/>
              </w:rPr>
            </w:r>
            <w:r>
              <w:rPr>
                <w:webHidden/>
              </w:rPr>
              <w:fldChar w:fldCharType="separate"/>
            </w:r>
            <w:r>
              <w:rPr>
                <w:webHidden/>
              </w:rPr>
              <w:t>36</w:t>
            </w:r>
            <w:r>
              <w:rPr>
                <w:webHidden/>
              </w:rPr>
              <w:fldChar w:fldCharType="end"/>
            </w:r>
          </w:hyperlink>
        </w:p>
        <w:p w14:paraId="7677D4A8" w14:textId="48DEC8BB" w:rsidR="0026700F" w:rsidRDefault="0026700F">
          <w:pPr>
            <w:pStyle w:val="TOC3"/>
            <w:rPr>
              <w:rFonts w:eastAsiaTheme="minorEastAsia"/>
              <w:i w:val="0"/>
              <w:iCs w:val="0"/>
              <w:sz w:val="24"/>
              <w:szCs w:val="24"/>
              <w:lang w:val="en-GB" w:eastAsia="en-GB"/>
            </w:rPr>
          </w:pPr>
          <w:hyperlink w:anchor="_Toc198205680" w:history="1">
            <w:r w:rsidRPr="00551DA7">
              <w:rPr>
                <w:rStyle w:val="Hyperlink"/>
              </w:rPr>
              <w:t>Facilitation of Health and Safety</w:t>
            </w:r>
            <w:r>
              <w:rPr>
                <w:webHidden/>
              </w:rPr>
              <w:tab/>
            </w:r>
            <w:r>
              <w:rPr>
                <w:webHidden/>
              </w:rPr>
              <w:fldChar w:fldCharType="begin"/>
            </w:r>
            <w:r>
              <w:rPr>
                <w:webHidden/>
              </w:rPr>
              <w:instrText xml:space="preserve"> PAGEREF _Toc198205680 \h </w:instrText>
            </w:r>
            <w:r>
              <w:rPr>
                <w:webHidden/>
              </w:rPr>
            </w:r>
            <w:r>
              <w:rPr>
                <w:webHidden/>
              </w:rPr>
              <w:fldChar w:fldCharType="separate"/>
            </w:r>
            <w:r>
              <w:rPr>
                <w:webHidden/>
              </w:rPr>
              <w:t>37</w:t>
            </w:r>
            <w:r>
              <w:rPr>
                <w:webHidden/>
              </w:rPr>
              <w:fldChar w:fldCharType="end"/>
            </w:r>
          </w:hyperlink>
        </w:p>
        <w:p w14:paraId="6E262C96" w14:textId="4261AEF1" w:rsidR="0026700F" w:rsidRDefault="0026700F">
          <w:pPr>
            <w:pStyle w:val="TOC3"/>
            <w:rPr>
              <w:rFonts w:eastAsiaTheme="minorEastAsia"/>
              <w:i w:val="0"/>
              <w:iCs w:val="0"/>
              <w:sz w:val="24"/>
              <w:szCs w:val="24"/>
              <w:lang w:val="en-GB" w:eastAsia="en-GB"/>
            </w:rPr>
          </w:pPr>
          <w:hyperlink w:anchor="_Toc198205681" w:history="1">
            <w:r w:rsidRPr="00551DA7">
              <w:rPr>
                <w:rStyle w:val="Hyperlink"/>
              </w:rPr>
              <w:t>Management of Sick Leave and Death Benefits</w:t>
            </w:r>
            <w:r>
              <w:rPr>
                <w:webHidden/>
              </w:rPr>
              <w:tab/>
            </w:r>
            <w:r>
              <w:rPr>
                <w:webHidden/>
              </w:rPr>
              <w:fldChar w:fldCharType="begin"/>
            </w:r>
            <w:r>
              <w:rPr>
                <w:webHidden/>
              </w:rPr>
              <w:instrText xml:space="preserve"> PAGEREF _Toc198205681 \h </w:instrText>
            </w:r>
            <w:r>
              <w:rPr>
                <w:webHidden/>
              </w:rPr>
            </w:r>
            <w:r>
              <w:rPr>
                <w:webHidden/>
              </w:rPr>
              <w:fldChar w:fldCharType="separate"/>
            </w:r>
            <w:r>
              <w:rPr>
                <w:webHidden/>
              </w:rPr>
              <w:t>37</w:t>
            </w:r>
            <w:r>
              <w:rPr>
                <w:webHidden/>
              </w:rPr>
              <w:fldChar w:fldCharType="end"/>
            </w:r>
          </w:hyperlink>
        </w:p>
        <w:p w14:paraId="49896490" w14:textId="182F6F66" w:rsidR="0026700F" w:rsidRDefault="0026700F">
          <w:pPr>
            <w:pStyle w:val="TOC2"/>
            <w:tabs>
              <w:tab w:val="right" w:leader="dot" w:pos="9350"/>
            </w:tabs>
            <w:rPr>
              <w:rFonts w:eastAsiaTheme="minorEastAsia"/>
              <w:noProof/>
              <w:sz w:val="24"/>
              <w:szCs w:val="24"/>
              <w:lang w:val="en-GB" w:eastAsia="en-GB"/>
            </w:rPr>
          </w:pPr>
          <w:hyperlink w:anchor="_Toc198205682" w:history="1">
            <w:r w:rsidRPr="00551DA7">
              <w:rPr>
                <w:rStyle w:val="Hyperlink"/>
                <w:noProof/>
              </w:rPr>
              <w:t>UPDATE ON REVENUE INTELLIGENCE AND INVESTIGATIONS</w:t>
            </w:r>
            <w:r>
              <w:rPr>
                <w:noProof/>
                <w:webHidden/>
              </w:rPr>
              <w:tab/>
            </w:r>
            <w:r>
              <w:rPr>
                <w:noProof/>
                <w:webHidden/>
              </w:rPr>
              <w:fldChar w:fldCharType="begin"/>
            </w:r>
            <w:r>
              <w:rPr>
                <w:noProof/>
                <w:webHidden/>
              </w:rPr>
              <w:instrText xml:space="preserve"> PAGEREF _Toc198205682 \h </w:instrText>
            </w:r>
            <w:r>
              <w:rPr>
                <w:noProof/>
                <w:webHidden/>
              </w:rPr>
            </w:r>
            <w:r>
              <w:rPr>
                <w:noProof/>
                <w:webHidden/>
              </w:rPr>
              <w:fldChar w:fldCharType="separate"/>
            </w:r>
            <w:r>
              <w:rPr>
                <w:noProof/>
                <w:webHidden/>
              </w:rPr>
              <w:t>37</w:t>
            </w:r>
            <w:r>
              <w:rPr>
                <w:noProof/>
                <w:webHidden/>
              </w:rPr>
              <w:fldChar w:fldCharType="end"/>
            </w:r>
          </w:hyperlink>
        </w:p>
        <w:p w14:paraId="36E3BBB5" w14:textId="14F298B3" w:rsidR="0026700F" w:rsidRDefault="0026700F">
          <w:pPr>
            <w:pStyle w:val="TOC3"/>
            <w:rPr>
              <w:rFonts w:eastAsiaTheme="minorEastAsia"/>
              <w:i w:val="0"/>
              <w:iCs w:val="0"/>
              <w:sz w:val="24"/>
              <w:szCs w:val="24"/>
              <w:lang w:val="en-GB" w:eastAsia="en-GB"/>
            </w:rPr>
          </w:pPr>
          <w:hyperlink w:anchor="_Toc198205683" w:history="1">
            <w:r w:rsidRPr="00551DA7">
              <w:rPr>
                <w:rStyle w:val="Hyperlink"/>
              </w:rPr>
              <w:t>Foreign Currency Declarations</w:t>
            </w:r>
            <w:r>
              <w:rPr>
                <w:webHidden/>
              </w:rPr>
              <w:tab/>
            </w:r>
            <w:r>
              <w:rPr>
                <w:webHidden/>
              </w:rPr>
              <w:fldChar w:fldCharType="begin"/>
            </w:r>
            <w:r>
              <w:rPr>
                <w:webHidden/>
              </w:rPr>
              <w:instrText xml:space="preserve"> PAGEREF _Toc198205683 \h </w:instrText>
            </w:r>
            <w:r>
              <w:rPr>
                <w:webHidden/>
              </w:rPr>
            </w:r>
            <w:r>
              <w:rPr>
                <w:webHidden/>
              </w:rPr>
              <w:fldChar w:fldCharType="separate"/>
            </w:r>
            <w:r>
              <w:rPr>
                <w:webHidden/>
              </w:rPr>
              <w:t>38</w:t>
            </w:r>
            <w:r>
              <w:rPr>
                <w:webHidden/>
              </w:rPr>
              <w:fldChar w:fldCharType="end"/>
            </w:r>
          </w:hyperlink>
        </w:p>
        <w:p w14:paraId="59A4EEF6" w14:textId="1097C398" w:rsidR="0026700F" w:rsidRDefault="0026700F">
          <w:pPr>
            <w:pStyle w:val="TOC3"/>
            <w:rPr>
              <w:rFonts w:eastAsiaTheme="minorEastAsia"/>
              <w:i w:val="0"/>
              <w:iCs w:val="0"/>
              <w:sz w:val="24"/>
              <w:szCs w:val="24"/>
              <w:lang w:val="en-GB" w:eastAsia="en-GB"/>
            </w:rPr>
          </w:pPr>
          <w:hyperlink w:anchor="_Toc198205684" w:history="1">
            <w:r w:rsidRPr="00551DA7">
              <w:rPr>
                <w:rStyle w:val="Hyperlink"/>
              </w:rPr>
              <w:t>Completed Investigations</w:t>
            </w:r>
            <w:r>
              <w:rPr>
                <w:webHidden/>
              </w:rPr>
              <w:tab/>
            </w:r>
            <w:r>
              <w:rPr>
                <w:webHidden/>
              </w:rPr>
              <w:fldChar w:fldCharType="begin"/>
            </w:r>
            <w:r>
              <w:rPr>
                <w:webHidden/>
              </w:rPr>
              <w:instrText xml:space="preserve"> PAGEREF _Toc198205684 \h </w:instrText>
            </w:r>
            <w:r>
              <w:rPr>
                <w:webHidden/>
              </w:rPr>
            </w:r>
            <w:r>
              <w:rPr>
                <w:webHidden/>
              </w:rPr>
              <w:fldChar w:fldCharType="separate"/>
            </w:r>
            <w:r>
              <w:rPr>
                <w:webHidden/>
              </w:rPr>
              <w:t>38</w:t>
            </w:r>
            <w:r>
              <w:rPr>
                <w:webHidden/>
              </w:rPr>
              <w:fldChar w:fldCharType="end"/>
            </w:r>
          </w:hyperlink>
        </w:p>
        <w:p w14:paraId="277035E6" w14:textId="7EDE8EC7" w:rsidR="0026700F" w:rsidRDefault="0026700F">
          <w:pPr>
            <w:pStyle w:val="TOC2"/>
            <w:tabs>
              <w:tab w:val="right" w:leader="dot" w:pos="9350"/>
            </w:tabs>
            <w:rPr>
              <w:rFonts w:eastAsiaTheme="minorEastAsia"/>
              <w:noProof/>
              <w:sz w:val="24"/>
              <w:szCs w:val="24"/>
              <w:lang w:val="en-GB" w:eastAsia="en-GB"/>
            </w:rPr>
          </w:pPr>
          <w:hyperlink w:anchor="_Toc198205685" w:history="1">
            <w:r w:rsidRPr="00551DA7">
              <w:rPr>
                <w:rStyle w:val="Hyperlink"/>
                <w:noProof/>
              </w:rPr>
              <w:t>UPDATE ON 2023 STRATEGIC PROJECTS IMPLEMENTED</w:t>
            </w:r>
            <w:r>
              <w:rPr>
                <w:noProof/>
                <w:webHidden/>
              </w:rPr>
              <w:tab/>
            </w:r>
            <w:r>
              <w:rPr>
                <w:noProof/>
                <w:webHidden/>
              </w:rPr>
              <w:fldChar w:fldCharType="begin"/>
            </w:r>
            <w:r>
              <w:rPr>
                <w:noProof/>
                <w:webHidden/>
              </w:rPr>
              <w:instrText xml:space="preserve"> PAGEREF _Toc198205685 \h </w:instrText>
            </w:r>
            <w:r>
              <w:rPr>
                <w:noProof/>
                <w:webHidden/>
              </w:rPr>
            </w:r>
            <w:r>
              <w:rPr>
                <w:noProof/>
                <w:webHidden/>
              </w:rPr>
              <w:fldChar w:fldCharType="separate"/>
            </w:r>
            <w:r>
              <w:rPr>
                <w:noProof/>
                <w:webHidden/>
              </w:rPr>
              <w:t>38</w:t>
            </w:r>
            <w:r>
              <w:rPr>
                <w:noProof/>
                <w:webHidden/>
              </w:rPr>
              <w:fldChar w:fldCharType="end"/>
            </w:r>
          </w:hyperlink>
        </w:p>
        <w:p w14:paraId="16D08CED" w14:textId="7A0CCE1B" w:rsidR="0026700F" w:rsidRDefault="0026700F">
          <w:pPr>
            <w:pStyle w:val="TOC3"/>
            <w:rPr>
              <w:rFonts w:eastAsiaTheme="minorEastAsia"/>
              <w:i w:val="0"/>
              <w:iCs w:val="0"/>
              <w:sz w:val="24"/>
              <w:szCs w:val="24"/>
              <w:lang w:val="en-GB" w:eastAsia="en-GB"/>
            </w:rPr>
          </w:pPr>
          <w:hyperlink w:anchor="_Toc198205686" w:history="1">
            <w:r w:rsidRPr="00551DA7">
              <w:rPr>
                <w:rStyle w:val="Hyperlink"/>
              </w:rPr>
              <w:t>Data Warehouse System Project</w:t>
            </w:r>
            <w:r>
              <w:rPr>
                <w:webHidden/>
              </w:rPr>
              <w:tab/>
            </w:r>
            <w:r>
              <w:rPr>
                <w:webHidden/>
              </w:rPr>
              <w:fldChar w:fldCharType="begin"/>
            </w:r>
            <w:r>
              <w:rPr>
                <w:webHidden/>
              </w:rPr>
              <w:instrText xml:space="preserve"> PAGEREF _Toc198205686 \h </w:instrText>
            </w:r>
            <w:r>
              <w:rPr>
                <w:webHidden/>
              </w:rPr>
            </w:r>
            <w:r>
              <w:rPr>
                <w:webHidden/>
              </w:rPr>
              <w:fldChar w:fldCharType="separate"/>
            </w:r>
            <w:r>
              <w:rPr>
                <w:webHidden/>
              </w:rPr>
              <w:t>38</w:t>
            </w:r>
            <w:r>
              <w:rPr>
                <w:webHidden/>
              </w:rPr>
              <w:fldChar w:fldCharType="end"/>
            </w:r>
          </w:hyperlink>
        </w:p>
        <w:p w14:paraId="59BB27CE" w14:textId="6620A85A" w:rsidR="0026700F" w:rsidRDefault="0026700F">
          <w:pPr>
            <w:pStyle w:val="TOC3"/>
            <w:rPr>
              <w:rFonts w:eastAsiaTheme="minorEastAsia"/>
              <w:i w:val="0"/>
              <w:iCs w:val="0"/>
              <w:sz w:val="24"/>
              <w:szCs w:val="24"/>
              <w:lang w:val="en-GB" w:eastAsia="en-GB"/>
            </w:rPr>
          </w:pPr>
          <w:hyperlink w:anchor="_Toc198205687" w:history="1">
            <w:r w:rsidRPr="00551DA7">
              <w:rPr>
                <w:rStyle w:val="Hyperlink"/>
              </w:rPr>
              <w:t>Compliance Improvement Project (CIP)</w:t>
            </w:r>
            <w:r>
              <w:rPr>
                <w:webHidden/>
              </w:rPr>
              <w:tab/>
            </w:r>
            <w:r>
              <w:rPr>
                <w:webHidden/>
              </w:rPr>
              <w:fldChar w:fldCharType="begin"/>
            </w:r>
            <w:r>
              <w:rPr>
                <w:webHidden/>
              </w:rPr>
              <w:instrText xml:space="preserve"> PAGEREF _Toc198205687 \h </w:instrText>
            </w:r>
            <w:r>
              <w:rPr>
                <w:webHidden/>
              </w:rPr>
            </w:r>
            <w:r>
              <w:rPr>
                <w:webHidden/>
              </w:rPr>
              <w:fldChar w:fldCharType="separate"/>
            </w:r>
            <w:r>
              <w:rPr>
                <w:webHidden/>
              </w:rPr>
              <w:t>39</w:t>
            </w:r>
            <w:r>
              <w:rPr>
                <w:webHidden/>
              </w:rPr>
              <w:fldChar w:fldCharType="end"/>
            </w:r>
          </w:hyperlink>
        </w:p>
        <w:p w14:paraId="7BF2DD27" w14:textId="5353B375" w:rsidR="0026700F" w:rsidRDefault="0026700F">
          <w:pPr>
            <w:pStyle w:val="TOC3"/>
            <w:rPr>
              <w:rFonts w:eastAsiaTheme="minorEastAsia"/>
              <w:i w:val="0"/>
              <w:iCs w:val="0"/>
              <w:sz w:val="24"/>
              <w:szCs w:val="24"/>
              <w:lang w:val="en-GB" w:eastAsia="en-GB"/>
            </w:rPr>
          </w:pPr>
          <w:hyperlink w:anchor="_Toc198205688" w:history="1">
            <w:r w:rsidRPr="00551DA7">
              <w:rPr>
                <w:rStyle w:val="Hyperlink"/>
              </w:rPr>
              <w:t>Mobile Payment App Expansion Project</w:t>
            </w:r>
            <w:r>
              <w:rPr>
                <w:webHidden/>
              </w:rPr>
              <w:tab/>
            </w:r>
            <w:r>
              <w:rPr>
                <w:webHidden/>
              </w:rPr>
              <w:fldChar w:fldCharType="begin"/>
            </w:r>
            <w:r>
              <w:rPr>
                <w:webHidden/>
              </w:rPr>
              <w:instrText xml:space="preserve"> PAGEREF _Toc198205688 \h </w:instrText>
            </w:r>
            <w:r>
              <w:rPr>
                <w:webHidden/>
              </w:rPr>
            </w:r>
            <w:r>
              <w:rPr>
                <w:webHidden/>
              </w:rPr>
              <w:fldChar w:fldCharType="separate"/>
            </w:r>
            <w:r>
              <w:rPr>
                <w:webHidden/>
              </w:rPr>
              <w:t>40</w:t>
            </w:r>
            <w:r>
              <w:rPr>
                <w:webHidden/>
              </w:rPr>
              <w:fldChar w:fldCharType="end"/>
            </w:r>
          </w:hyperlink>
        </w:p>
        <w:p w14:paraId="2F1B20C6" w14:textId="7C9EE5EE" w:rsidR="0026700F" w:rsidRDefault="0026700F">
          <w:pPr>
            <w:pStyle w:val="TOC3"/>
            <w:rPr>
              <w:rFonts w:eastAsiaTheme="minorEastAsia"/>
              <w:i w:val="0"/>
              <w:iCs w:val="0"/>
              <w:sz w:val="24"/>
              <w:szCs w:val="24"/>
              <w:lang w:val="en-GB" w:eastAsia="en-GB"/>
            </w:rPr>
          </w:pPr>
          <w:hyperlink w:anchor="_Toc198205689" w:history="1">
            <w:r w:rsidRPr="00551DA7">
              <w:rPr>
                <w:rStyle w:val="Hyperlink"/>
              </w:rPr>
              <w:t>Small and Micro Enterprise Project (Formalization Project)</w:t>
            </w:r>
            <w:r>
              <w:rPr>
                <w:webHidden/>
              </w:rPr>
              <w:tab/>
            </w:r>
            <w:r>
              <w:rPr>
                <w:webHidden/>
              </w:rPr>
              <w:fldChar w:fldCharType="begin"/>
            </w:r>
            <w:r>
              <w:rPr>
                <w:webHidden/>
              </w:rPr>
              <w:instrText xml:space="preserve"> PAGEREF _Toc198205689 \h </w:instrText>
            </w:r>
            <w:r>
              <w:rPr>
                <w:webHidden/>
              </w:rPr>
            </w:r>
            <w:r>
              <w:rPr>
                <w:webHidden/>
              </w:rPr>
              <w:fldChar w:fldCharType="separate"/>
            </w:r>
            <w:r>
              <w:rPr>
                <w:webHidden/>
              </w:rPr>
              <w:t>40</w:t>
            </w:r>
            <w:r>
              <w:rPr>
                <w:webHidden/>
              </w:rPr>
              <w:fldChar w:fldCharType="end"/>
            </w:r>
          </w:hyperlink>
        </w:p>
        <w:p w14:paraId="3EC50C4B" w14:textId="12C04905" w:rsidR="0026700F" w:rsidRDefault="0026700F">
          <w:pPr>
            <w:pStyle w:val="TOC3"/>
            <w:rPr>
              <w:rFonts w:eastAsiaTheme="minorEastAsia"/>
              <w:i w:val="0"/>
              <w:iCs w:val="0"/>
              <w:sz w:val="24"/>
              <w:szCs w:val="24"/>
              <w:lang w:val="en-GB" w:eastAsia="en-GB"/>
            </w:rPr>
          </w:pPr>
          <w:hyperlink w:anchor="_Toc198205690" w:history="1">
            <w:r w:rsidRPr="00551DA7">
              <w:rPr>
                <w:rStyle w:val="Hyperlink"/>
              </w:rPr>
              <w:t>Change Management Enhancement Project</w:t>
            </w:r>
            <w:r>
              <w:rPr>
                <w:webHidden/>
              </w:rPr>
              <w:tab/>
            </w:r>
            <w:r>
              <w:rPr>
                <w:webHidden/>
              </w:rPr>
              <w:fldChar w:fldCharType="begin"/>
            </w:r>
            <w:r>
              <w:rPr>
                <w:webHidden/>
              </w:rPr>
              <w:instrText xml:space="preserve"> PAGEREF _Toc198205690 \h </w:instrText>
            </w:r>
            <w:r>
              <w:rPr>
                <w:webHidden/>
              </w:rPr>
            </w:r>
            <w:r>
              <w:rPr>
                <w:webHidden/>
              </w:rPr>
              <w:fldChar w:fldCharType="separate"/>
            </w:r>
            <w:r>
              <w:rPr>
                <w:webHidden/>
              </w:rPr>
              <w:t>40</w:t>
            </w:r>
            <w:r>
              <w:rPr>
                <w:webHidden/>
              </w:rPr>
              <w:fldChar w:fldCharType="end"/>
            </w:r>
          </w:hyperlink>
        </w:p>
        <w:p w14:paraId="28757436" w14:textId="4E58E23D" w:rsidR="0026700F" w:rsidRDefault="0026700F">
          <w:pPr>
            <w:pStyle w:val="TOC3"/>
            <w:rPr>
              <w:rFonts w:eastAsiaTheme="minorEastAsia"/>
              <w:i w:val="0"/>
              <w:iCs w:val="0"/>
              <w:sz w:val="24"/>
              <w:szCs w:val="24"/>
              <w:lang w:val="en-GB" w:eastAsia="en-GB"/>
            </w:rPr>
          </w:pPr>
          <w:hyperlink w:anchor="_Toc198205691" w:history="1">
            <w:r w:rsidRPr="00551DA7">
              <w:rPr>
                <w:rStyle w:val="Hyperlink"/>
              </w:rPr>
              <w:t>Revenue Systems Integration and Security Project</w:t>
            </w:r>
            <w:r>
              <w:rPr>
                <w:webHidden/>
              </w:rPr>
              <w:tab/>
            </w:r>
            <w:r>
              <w:rPr>
                <w:webHidden/>
              </w:rPr>
              <w:fldChar w:fldCharType="begin"/>
            </w:r>
            <w:r>
              <w:rPr>
                <w:webHidden/>
              </w:rPr>
              <w:instrText xml:space="preserve"> PAGEREF _Toc198205691 \h </w:instrText>
            </w:r>
            <w:r>
              <w:rPr>
                <w:webHidden/>
              </w:rPr>
            </w:r>
            <w:r>
              <w:rPr>
                <w:webHidden/>
              </w:rPr>
              <w:fldChar w:fldCharType="separate"/>
            </w:r>
            <w:r>
              <w:rPr>
                <w:webHidden/>
              </w:rPr>
              <w:t>41</w:t>
            </w:r>
            <w:r>
              <w:rPr>
                <w:webHidden/>
              </w:rPr>
              <w:fldChar w:fldCharType="end"/>
            </w:r>
          </w:hyperlink>
        </w:p>
        <w:p w14:paraId="3CF802BA" w14:textId="06DA789E" w:rsidR="0026700F" w:rsidRDefault="0026700F">
          <w:pPr>
            <w:pStyle w:val="TOC3"/>
            <w:rPr>
              <w:rFonts w:eastAsiaTheme="minorEastAsia"/>
              <w:i w:val="0"/>
              <w:iCs w:val="0"/>
              <w:sz w:val="24"/>
              <w:szCs w:val="24"/>
              <w:lang w:val="en-GB" w:eastAsia="en-GB"/>
            </w:rPr>
          </w:pPr>
          <w:hyperlink w:anchor="_Toc198205692" w:history="1">
            <w:r w:rsidRPr="00551DA7">
              <w:rPr>
                <w:rStyle w:val="Hyperlink"/>
              </w:rPr>
              <w:t>Infrastructural Development/Enhancement Project</w:t>
            </w:r>
            <w:r>
              <w:rPr>
                <w:webHidden/>
              </w:rPr>
              <w:tab/>
            </w:r>
            <w:r>
              <w:rPr>
                <w:webHidden/>
              </w:rPr>
              <w:fldChar w:fldCharType="begin"/>
            </w:r>
            <w:r>
              <w:rPr>
                <w:webHidden/>
              </w:rPr>
              <w:instrText xml:space="preserve"> PAGEREF _Toc198205692 \h </w:instrText>
            </w:r>
            <w:r>
              <w:rPr>
                <w:webHidden/>
              </w:rPr>
            </w:r>
            <w:r>
              <w:rPr>
                <w:webHidden/>
              </w:rPr>
              <w:fldChar w:fldCharType="separate"/>
            </w:r>
            <w:r>
              <w:rPr>
                <w:webHidden/>
              </w:rPr>
              <w:t>41</w:t>
            </w:r>
            <w:r>
              <w:rPr>
                <w:webHidden/>
              </w:rPr>
              <w:fldChar w:fldCharType="end"/>
            </w:r>
          </w:hyperlink>
        </w:p>
        <w:p w14:paraId="118D5B83" w14:textId="3E43D261" w:rsidR="0026700F" w:rsidRDefault="0026700F">
          <w:pPr>
            <w:pStyle w:val="TOC3"/>
            <w:rPr>
              <w:rFonts w:eastAsiaTheme="minorEastAsia"/>
              <w:i w:val="0"/>
              <w:iCs w:val="0"/>
              <w:sz w:val="24"/>
              <w:szCs w:val="24"/>
              <w:lang w:val="en-GB" w:eastAsia="en-GB"/>
            </w:rPr>
          </w:pPr>
          <w:hyperlink w:anchor="_Toc198205693" w:history="1">
            <w:r w:rsidRPr="00551DA7">
              <w:rPr>
                <w:rStyle w:val="Hyperlink"/>
              </w:rPr>
              <w:t>Centralized Data Analytics Project</w:t>
            </w:r>
            <w:r>
              <w:rPr>
                <w:webHidden/>
              </w:rPr>
              <w:tab/>
            </w:r>
            <w:r>
              <w:rPr>
                <w:webHidden/>
              </w:rPr>
              <w:fldChar w:fldCharType="begin"/>
            </w:r>
            <w:r>
              <w:rPr>
                <w:webHidden/>
              </w:rPr>
              <w:instrText xml:space="preserve"> PAGEREF _Toc198205693 \h </w:instrText>
            </w:r>
            <w:r>
              <w:rPr>
                <w:webHidden/>
              </w:rPr>
            </w:r>
            <w:r>
              <w:rPr>
                <w:webHidden/>
              </w:rPr>
              <w:fldChar w:fldCharType="separate"/>
            </w:r>
            <w:r>
              <w:rPr>
                <w:webHidden/>
              </w:rPr>
              <w:t>41</w:t>
            </w:r>
            <w:r>
              <w:rPr>
                <w:webHidden/>
              </w:rPr>
              <w:fldChar w:fldCharType="end"/>
            </w:r>
          </w:hyperlink>
        </w:p>
        <w:p w14:paraId="76FC5E11" w14:textId="755FC4A9" w:rsidR="0026700F" w:rsidRDefault="0026700F">
          <w:pPr>
            <w:pStyle w:val="TOC3"/>
            <w:rPr>
              <w:rFonts w:eastAsiaTheme="minorEastAsia"/>
              <w:i w:val="0"/>
              <w:iCs w:val="0"/>
              <w:sz w:val="24"/>
              <w:szCs w:val="24"/>
              <w:lang w:val="en-GB" w:eastAsia="en-GB"/>
            </w:rPr>
          </w:pPr>
          <w:hyperlink w:anchor="_Toc198205694" w:history="1">
            <w:r w:rsidRPr="00551DA7">
              <w:rPr>
                <w:rStyle w:val="Hyperlink"/>
              </w:rPr>
              <w:t>Excise Stamp and Product Marking Project</w:t>
            </w:r>
            <w:r>
              <w:rPr>
                <w:webHidden/>
              </w:rPr>
              <w:tab/>
            </w:r>
            <w:r>
              <w:rPr>
                <w:webHidden/>
              </w:rPr>
              <w:fldChar w:fldCharType="begin"/>
            </w:r>
            <w:r>
              <w:rPr>
                <w:webHidden/>
              </w:rPr>
              <w:instrText xml:space="preserve"> PAGEREF _Toc198205694 \h </w:instrText>
            </w:r>
            <w:r>
              <w:rPr>
                <w:webHidden/>
              </w:rPr>
            </w:r>
            <w:r>
              <w:rPr>
                <w:webHidden/>
              </w:rPr>
              <w:fldChar w:fldCharType="separate"/>
            </w:r>
            <w:r>
              <w:rPr>
                <w:webHidden/>
              </w:rPr>
              <w:t>42</w:t>
            </w:r>
            <w:r>
              <w:rPr>
                <w:webHidden/>
              </w:rPr>
              <w:fldChar w:fldCharType="end"/>
            </w:r>
          </w:hyperlink>
        </w:p>
        <w:p w14:paraId="4AB1BC32" w14:textId="346EF748" w:rsidR="0026700F" w:rsidRDefault="0026700F">
          <w:pPr>
            <w:pStyle w:val="TOC2"/>
            <w:tabs>
              <w:tab w:val="right" w:leader="dot" w:pos="9350"/>
            </w:tabs>
            <w:rPr>
              <w:rFonts w:eastAsiaTheme="minorEastAsia"/>
              <w:noProof/>
              <w:sz w:val="24"/>
              <w:szCs w:val="24"/>
              <w:lang w:val="en-GB" w:eastAsia="en-GB"/>
            </w:rPr>
          </w:pPr>
          <w:hyperlink w:anchor="_Toc198205695" w:history="1">
            <w:r w:rsidRPr="00551DA7">
              <w:rPr>
                <w:rStyle w:val="Hyperlink"/>
                <w:noProof/>
              </w:rPr>
              <w:t>ICT ACTIVITIES UPDATE</w:t>
            </w:r>
            <w:r>
              <w:rPr>
                <w:noProof/>
                <w:webHidden/>
              </w:rPr>
              <w:tab/>
            </w:r>
            <w:r>
              <w:rPr>
                <w:noProof/>
                <w:webHidden/>
              </w:rPr>
              <w:fldChar w:fldCharType="begin"/>
            </w:r>
            <w:r>
              <w:rPr>
                <w:noProof/>
                <w:webHidden/>
              </w:rPr>
              <w:instrText xml:space="preserve"> PAGEREF _Toc198205695 \h </w:instrText>
            </w:r>
            <w:r>
              <w:rPr>
                <w:noProof/>
                <w:webHidden/>
              </w:rPr>
            </w:r>
            <w:r>
              <w:rPr>
                <w:noProof/>
                <w:webHidden/>
              </w:rPr>
              <w:fldChar w:fldCharType="separate"/>
            </w:r>
            <w:r>
              <w:rPr>
                <w:noProof/>
                <w:webHidden/>
              </w:rPr>
              <w:t>42</w:t>
            </w:r>
            <w:r>
              <w:rPr>
                <w:noProof/>
                <w:webHidden/>
              </w:rPr>
              <w:fldChar w:fldCharType="end"/>
            </w:r>
          </w:hyperlink>
        </w:p>
        <w:p w14:paraId="1F8D941F" w14:textId="2652F09A" w:rsidR="0026700F" w:rsidRDefault="0026700F">
          <w:pPr>
            <w:pStyle w:val="TOC3"/>
            <w:rPr>
              <w:rFonts w:eastAsiaTheme="minorEastAsia"/>
              <w:i w:val="0"/>
              <w:iCs w:val="0"/>
              <w:sz w:val="24"/>
              <w:szCs w:val="24"/>
              <w:lang w:val="en-GB" w:eastAsia="en-GB"/>
            </w:rPr>
          </w:pPr>
          <w:hyperlink w:anchor="_Toc198205696" w:history="1">
            <w:r w:rsidRPr="00551DA7">
              <w:rPr>
                <w:rStyle w:val="Hyperlink"/>
              </w:rPr>
              <w:t>Software Unit:</w:t>
            </w:r>
            <w:r>
              <w:rPr>
                <w:webHidden/>
              </w:rPr>
              <w:tab/>
            </w:r>
            <w:r>
              <w:rPr>
                <w:webHidden/>
              </w:rPr>
              <w:fldChar w:fldCharType="begin"/>
            </w:r>
            <w:r>
              <w:rPr>
                <w:webHidden/>
              </w:rPr>
              <w:instrText xml:space="preserve"> PAGEREF _Toc198205696 \h </w:instrText>
            </w:r>
            <w:r>
              <w:rPr>
                <w:webHidden/>
              </w:rPr>
            </w:r>
            <w:r>
              <w:rPr>
                <w:webHidden/>
              </w:rPr>
              <w:fldChar w:fldCharType="separate"/>
            </w:r>
            <w:r>
              <w:rPr>
                <w:webHidden/>
              </w:rPr>
              <w:t>42</w:t>
            </w:r>
            <w:r>
              <w:rPr>
                <w:webHidden/>
              </w:rPr>
              <w:fldChar w:fldCharType="end"/>
            </w:r>
          </w:hyperlink>
        </w:p>
        <w:p w14:paraId="15782775" w14:textId="6B34B434" w:rsidR="0026700F" w:rsidRDefault="0026700F">
          <w:pPr>
            <w:pStyle w:val="TOC3"/>
            <w:rPr>
              <w:rFonts w:eastAsiaTheme="minorEastAsia"/>
              <w:i w:val="0"/>
              <w:iCs w:val="0"/>
              <w:sz w:val="24"/>
              <w:szCs w:val="24"/>
              <w:lang w:val="en-GB" w:eastAsia="en-GB"/>
            </w:rPr>
          </w:pPr>
          <w:hyperlink w:anchor="_Toc198205697" w:history="1">
            <w:r w:rsidRPr="00551DA7">
              <w:rPr>
                <w:rStyle w:val="Hyperlink"/>
              </w:rPr>
              <w:t>Helpdesk Unit:</w:t>
            </w:r>
            <w:r>
              <w:rPr>
                <w:webHidden/>
              </w:rPr>
              <w:tab/>
            </w:r>
            <w:r>
              <w:rPr>
                <w:webHidden/>
              </w:rPr>
              <w:fldChar w:fldCharType="begin"/>
            </w:r>
            <w:r>
              <w:rPr>
                <w:webHidden/>
              </w:rPr>
              <w:instrText xml:space="preserve"> PAGEREF _Toc198205697 \h </w:instrText>
            </w:r>
            <w:r>
              <w:rPr>
                <w:webHidden/>
              </w:rPr>
            </w:r>
            <w:r>
              <w:rPr>
                <w:webHidden/>
              </w:rPr>
              <w:fldChar w:fldCharType="separate"/>
            </w:r>
            <w:r>
              <w:rPr>
                <w:webHidden/>
              </w:rPr>
              <w:t>43</w:t>
            </w:r>
            <w:r>
              <w:rPr>
                <w:webHidden/>
              </w:rPr>
              <w:fldChar w:fldCharType="end"/>
            </w:r>
          </w:hyperlink>
        </w:p>
        <w:p w14:paraId="3D8E5DD7" w14:textId="49FFDF10" w:rsidR="0026700F" w:rsidRDefault="0026700F">
          <w:pPr>
            <w:pStyle w:val="TOC3"/>
            <w:rPr>
              <w:rFonts w:eastAsiaTheme="minorEastAsia"/>
              <w:i w:val="0"/>
              <w:iCs w:val="0"/>
              <w:sz w:val="24"/>
              <w:szCs w:val="24"/>
              <w:lang w:val="en-GB" w:eastAsia="en-GB"/>
            </w:rPr>
          </w:pPr>
          <w:hyperlink w:anchor="_Toc198205698" w:history="1">
            <w:r w:rsidRPr="00551DA7">
              <w:rPr>
                <w:rStyle w:val="Hyperlink"/>
              </w:rPr>
              <w:t>Infrastructure Unit:</w:t>
            </w:r>
            <w:r>
              <w:rPr>
                <w:webHidden/>
              </w:rPr>
              <w:tab/>
            </w:r>
            <w:r>
              <w:rPr>
                <w:webHidden/>
              </w:rPr>
              <w:fldChar w:fldCharType="begin"/>
            </w:r>
            <w:r>
              <w:rPr>
                <w:webHidden/>
              </w:rPr>
              <w:instrText xml:space="preserve"> PAGEREF _Toc198205698 \h </w:instrText>
            </w:r>
            <w:r>
              <w:rPr>
                <w:webHidden/>
              </w:rPr>
            </w:r>
            <w:r>
              <w:rPr>
                <w:webHidden/>
              </w:rPr>
              <w:fldChar w:fldCharType="separate"/>
            </w:r>
            <w:r>
              <w:rPr>
                <w:webHidden/>
              </w:rPr>
              <w:t>43</w:t>
            </w:r>
            <w:r>
              <w:rPr>
                <w:webHidden/>
              </w:rPr>
              <w:fldChar w:fldCharType="end"/>
            </w:r>
          </w:hyperlink>
        </w:p>
        <w:p w14:paraId="19B2CCA3" w14:textId="43F98309" w:rsidR="0026700F" w:rsidRDefault="0026700F">
          <w:pPr>
            <w:pStyle w:val="TOC3"/>
            <w:rPr>
              <w:rFonts w:eastAsiaTheme="minorEastAsia"/>
              <w:i w:val="0"/>
              <w:iCs w:val="0"/>
              <w:sz w:val="24"/>
              <w:szCs w:val="24"/>
              <w:lang w:val="en-GB" w:eastAsia="en-GB"/>
            </w:rPr>
          </w:pPr>
          <w:hyperlink w:anchor="_Toc198205699" w:history="1">
            <w:r w:rsidRPr="00551DA7">
              <w:rPr>
                <w:rStyle w:val="Hyperlink"/>
              </w:rPr>
              <w:t>Security Unit:</w:t>
            </w:r>
            <w:r>
              <w:rPr>
                <w:webHidden/>
              </w:rPr>
              <w:tab/>
            </w:r>
            <w:r>
              <w:rPr>
                <w:webHidden/>
              </w:rPr>
              <w:fldChar w:fldCharType="begin"/>
            </w:r>
            <w:r>
              <w:rPr>
                <w:webHidden/>
              </w:rPr>
              <w:instrText xml:space="preserve"> PAGEREF _Toc198205699 \h </w:instrText>
            </w:r>
            <w:r>
              <w:rPr>
                <w:webHidden/>
              </w:rPr>
            </w:r>
            <w:r>
              <w:rPr>
                <w:webHidden/>
              </w:rPr>
              <w:fldChar w:fldCharType="separate"/>
            </w:r>
            <w:r>
              <w:rPr>
                <w:webHidden/>
              </w:rPr>
              <w:t>43</w:t>
            </w:r>
            <w:r>
              <w:rPr>
                <w:webHidden/>
              </w:rPr>
              <w:fldChar w:fldCharType="end"/>
            </w:r>
          </w:hyperlink>
        </w:p>
        <w:p w14:paraId="7B614049" w14:textId="3F5AE9FA" w:rsidR="0026700F" w:rsidRDefault="0026700F">
          <w:pPr>
            <w:pStyle w:val="TOC2"/>
            <w:tabs>
              <w:tab w:val="right" w:leader="dot" w:pos="9350"/>
            </w:tabs>
            <w:rPr>
              <w:rFonts w:eastAsiaTheme="minorEastAsia"/>
              <w:noProof/>
              <w:sz w:val="24"/>
              <w:szCs w:val="24"/>
              <w:lang w:val="en-GB" w:eastAsia="en-GB"/>
            </w:rPr>
          </w:pPr>
          <w:hyperlink w:anchor="_Toc198205700" w:history="1">
            <w:r w:rsidRPr="00551DA7">
              <w:rPr>
                <w:rStyle w:val="Hyperlink"/>
                <w:noProof/>
              </w:rPr>
              <w:t>UPDATE ON CONSTRUCTION AND REHABILITATION OF NRA OFFICES</w:t>
            </w:r>
            <w:r>
              <w:rPr>
                <w:noProof/>
                <w:webHidden/>
              </w:rPr>
              <w:tab/>
            </w:r>
            <w:r>
              <w:rPr>
                <w:noProof/>
                <w:webHidden/>
              </w:rPr>
              <w:fldChar w:fldCharType="begin"/>
            </w:r>
            <w:r>
              <w:rPr>
                <w:noProof/>
                <w:webHidden/>
              </w:rPr>
              <w:instrText xml:space="preserve"> PAGEREF _Toc198205700 \h </w:instrText>
            </w:r>
            <w:r>
              <w:rPr>
                <w:noProof/>
                <w:webHidden/>
              </w:rPr>
            </w:r>
            <w:r>
              <w:rPr>
                <w:noProof/>
                <w:webHidden/>
              </w:rPr>
              <w:fldChar w:fldCharType="separate"/>
            </w:r>
            <w:r>
              <w:rPr>
                <w:noProof/>
                <w:webHidden/>
              </w:rPr>
              <w:t>44</w:t>
            </w:r>
            <w:r>
              <w:rPr>
                <w:noProof/>
                <w:webHidden/>
              </w:rPr>
              <w:fldChar w:fldCharType="end"/>
            </w:r>
          </w:hyperlink>
        </w:p>
        <w:p w14:paraId="5CEC1DC3" w14:textId="212B8C0F" w:rsidR="0026700F" w:rsidRDefault="0026700F">
          <w:pPr>
            <w:pStyle w:val="TOC1"/>
            <w:rPr>
              <w:rFonts w:eastAsiaTheme="minorEastAsia"/>
              <w:b w:val="0"/>
              <w:bCs w:val="0"/>
              <w:sz w:val="24"/>
              <w:szCs w:val="24"/>
              <w:lang w:val="en-GB" w:eastAsia="en-GB"/>
            </w:rPr>
          </w:pPr>
          <w:hyperlink w:anchor="_Toc198205701" w:history="1">
            <w:r w:rsidRPr="00551DA7">
              <w:rPr>
                <w:rStyle w:val="Hyperlink"/>
              </w:rPr>
              <w:t>CHAPTER FOUR: SPECIAL RELEVANCE STATISTICS</w:t>
            </w:r>
            <w:r>
              <w:rPr>
                <w:webHidden/>
              </w:rPr>
              <w:tab/>
            </w:r>
            <w:r>
              <w:rPr>
                <w:webHidden/>
              </w:rPr>
              <w:fldChar w:fldCharType="begin"/>
            </w:r>
            <w:r>
              <w:rPr>
                <w:webHidden/>
              </w:rPr>
              <w:instrText xml:space="preserve"> PAGEREF _Toc198205701 \h </w:instrText>
            </w:r>
            <w:r>
              <w:rPr>
                <w:webHidden/>
              </w:rPr>
            </w:r>
            <w:r>
              <w:rPr>
                <w:webHidden/>
              </w:rPr>
              <w:fldChar w:fldCharType="separate"/>
            </w:r>
            <w:r>
              <w:rPr>
                <w:webHidden/>
              </w:rPr>
              <w:t>45</w:t>
            </w:r>
            <w:r>
              <w:rPr>
                <w:webHidden/>
              </w:rPr>
              <w:fldChar w:fldCharType="end"/>
            </w:r>
          </w:hyperlink>
        </w:p>
        <w:p w14:paraId="693EBBBF" w14:textId="7AC0F36A" w:rsidR="0026700F" w:rsidRDefault="0026700F">
          <w:pPr>
            <w:pStyle w:val="TOC2"/>
            <w:tabs>
              <w:tab w:val="right" w:leader="dot" w:pos="9350"/>
            </w:tabs>
            <w:rPr>
              <w:rFonts w:eastAsiaTheme="minorEastAsia"/>
              <w:noProof/>
              <w:sz w:val="24"/>
              <w:szCs w:val="24"/>
              <w:lang w:val="en-GB" w:eastAsia="en-GB"/>
            </w:rPr>
          </w:pPr>
          <w:hyperlink w:anchor="_Toc198205702" w:history="1">
            <w:r w:rsidRPr="00551DA7">
              <w:rPr>
                <w:rStyle w:val="Hyperlink"/>
                <w:noProof/>
                <w:lang w:val="en-GB"/>
              </w:rPr>
              <w:t>UPDATE ON TAXPAYER REGISTRATION</w:t>
            </w:r>
            <w:r>
              <w:rPr>
                <w:noProof/>
                <w:webHidden/>
              </w:rPr>
              <w:tab/>
            </w:r>
            <w:r>
              <w:rPr>
                <w:noProof/>
                <w:webHidden/>
              </w:rPr>
              <w:fldChar w:fldCharType="begin"/>
            </w:r>
            <w:r>
              <w:rPr>
                <w:noProof/>
                <w:webHidden/>
              </w:rPr>
              <w:instrText xml:space="preserve"> PAGEREF _Toc198205702 \h </w:instrText>
            </w:r>
            <w:r>
              <w:rPr>
                <w:noProof/>
                <w:webHidden/>
              </w:rPr>
            </w:r>
            <w:r>
              <w:rPr>
                <w:noProof/>
                <w:webHidden/>
              </w:rPr>
              <w:fldChar w:fldCharType="separate"/>
            </w:r>
            <w:r>
              <w:rPr>
                <w:noProof/>
                <w:webHidden/>
              </w:rPr>
              <w:t>45</w:t>
            </w:r>
            <w:r>
              <w:rPr>
                <w:noProof/>
                <w:webHidden/>
              </w:rPr>
              <w:fldChar w:fldCharType="end"/>
            </w:r>
          </w:hyperlink>
        </w:p>
        <w:p w14:paraId="26B57C88" w14:textId="59F4A8DE" w:rsidR="0026700F" w:rsidRDefault="0026700F">
          <w:pPr>
            <w:pStyle w:val="TOC2"/>
            <w:tabs>
              <w:tab w:val="right" w:leader="dot" w:pos="9350"/>
            </w:tabs>
            <w:rPr>
              <w:rFonts w:eastAsiaTheme="minorEastAsia"/>
              <w:noProof/>
              <w:sz w:val="24"/>
              <w:szCs w:val="24"/>
              <w:lang w:val="en-GB" w:eastAsia="en-GB"/>
            </w:rPr>
          </w:pPr>
          <w:hyperlink w:anchor="_Toc198205703" w:history="1">
            <w:r w:rsidRPr="00551DA7">
              <w:rPr>
                <w:rStyle w:val="Hyperlink"/>
                <w:noProof/>
                <w:lang w:val="en-GB"/>
              </w:rPr>
              <w:t>TAX COMPLIANCE (FILING ANALYSIS) AND ENFORCEMENT</w:t>
            </w:r>
            <w:r>
              <w:rPr>
                <w:noProof/>
                <w:webHidden/>
              </w:rPr>
              <w:tab/>
            </w:r>
            <w:r>
              <w:rPr>
                <w:noProof/>
                <w:webHidden/>
              </w:rPr>
              <w:fldChar w:fldCharType="begin"/>
            </w:r>
            <w:r>
              <w:rPr>
                <w:noProof/>
                <w:webHidden/>
              </w:rPr>
              <w:instrText xml:space="preserve"> PAGEREF _Toc198205703 \h </w:instrText>
            </w:r>
            <w:r>
              <w:rPr>
                <w:noProof/>
                <w:webHidden/>
              </w:rPr>
            </w:r>
            <w:r>
              <w:rPr>
                <w:noProof/>
                <w:webHidden/>
              </w:rPr>
              <w:fldChar w:fldCharType="separate"/>
            </w:r>
            <w:r>
              <w:rPr>
                <w:noProof/>
                <w:webHidden/>
              </w:rPr>
              <w:t>47</w:t>
            </w:r>
            <w:r>
              <w:rPr>
                <w:noProof/>
                <w:webHidden/>
              </w:rPr>
              <w:fldChar w:fldCharType="end"/>
            </w:r>
          </w:hyperlink>
        </w:p>
        <w:p w14:paraId="1B7747B3" w14:textId="25890014" w:rsidR="0026700F" w:rsidRDefault="0026700F">
          <w:pPr>
            <w:pStyle w:val="TOC2"/>
            <w:tabs>
              <w:tab w:val="right" w:leader="dot" w:pos="9350"/>
            </w:tabs>
            <w:rPr>
              <w:rFonts w:eastAsiaTheme="minorEastAsia"/>
              <w:noProof/>
              <w:sz w:val="24"/>
              <w:szCs w:val="24"/>
              <w:lang w:val="en-GB" w:eastAsia="en-GB"/>
            </w:rPr>
          </w:pPr>
          <w:hyperlink w:anchor="_Toc198205704" w:history="1">
            <w:r w:rsidRPr="00551DA7">
              <w:rPr>
                <w:rStyle w:val="Hyperlink"/>
                <w:noProof/>
              </w:rPr>
              <w:t>DTD PLANNED AND COMPLETED TAX AUDIT</w:t>
            </w:r>
            <w:r>
              <w:rPr>
                <w:noProof/>
                <w:webHidden/>
              </w:rPr>
              <w:tab/>
            </w:r>
            <w:r>
              <w:rPr>
                <w:noProof/>
                <w:webHidden/>
              </w:rPr>
              <w:fldChar w:fldCharType="begin"/>
            </w:r>
            <w:r>
              <w:rPr>
                <w:noProof/>
                <w:webHidden/>
              </w:rPr>
              <w:instrText xml:space="preserve"> PAGEREF _Toc198205704 \h </w:instrText>
            </w:r>
            <w:r>
              <w:rPr>
                <w:noProof/>
                <w:webHidden/>
              </w:rPr>
            </w:r>
            <w:r>
              <w:rPr>
                <w:noProof/>
                <w:webHidden/>
              </w:rPr>
              <w:fldChar w:fldCharType="separate"/>
            </w:r>
            <w:r>
              <w:rPr>
                <w:noProof/>
                <w:webHidden/>
              </w:rPr>
              <w:t>49</w:t>
            </w:r>
            <w:r>
              <w:rPr>
                <w:noProof/>
                <w:webHidden/>
              </w:rPr>
              <w:fldChar w:fldCharType="end"/>
            </w:r>
          </w:hyperlink>
        </w:p>
        <w:p w14:paraId="4A064CC8" w14:textId="1E52C13A" w:rsidR="0026700F" w:rsidRDefault="0026700F">
          <w:pPr>
            <w:pStyle w:val="TOC3"/>
            <w:rPr>
              <w:rFonts w:eastAsiaTheme="minorEastAsia"/>
              <w:i w:val="0"/>
              <w:iCs w:val="0"/>
              <w:sz w:val="24"/>
              <w:szCs w:val="24"/>
              <w:lang w:val="en-GB" w:eastAsia="en-GB"/>
            </w:rPr>
          </w:pPr>
          <w:hyperlink w:anchor="_Toc198205705" w:history="1">
            <w:r w:rsidRPr="00551DA7">
              <w:rPr>
                <w:rStyle w:val="Hyperlink"/>
              </w:rPr>
              <w:t>LTO Completed Tax Audit and Liability 2023 and 2022</w:t>
            </w:r>
            <w:r>
              <w:rPr>
                <w:webHidden/>
              </w:rPr>
              <w:tab/>
            </w:r>
            <w:r>
              <w:rPr>
                <w:webHidden/>
              </w:rPr>
              <w:fldChar w:fldCharType="begin"/>
            </w:r>
            <w:r>
              <w:rPr>
                <w:webHidden/>
              </w:rPr>
              <w:instrText xml:space="preserve"> PAGEREF _Toc198205705 \h </w:instrText>
            </w:r>
            <w:r>
              <w:rPr>
                <w:webHidden/>
              </w:rPr>
            </w:r>
            <w:r>
              <w:rPr>
                <w:webHidden/>
              </w:rPr>
              <w:fldChar w:fldCharType="separate"/>
            </w:r>
            <w:r>
              <w:rPr>
                <w:webHidden/>
              </w:rPr>
              <w:t>50</w:t>
            </w:r>
            <w:r>
              <w:rPr>
                <w:webHidden/>
              </w:rPr>
              <w:fldChar w:fldCharType="end"/>
            </w:r>
          </w:hyperlink>
        </w:p>
        <w:p w14:paraId="6EBC7BAE" w14:textId="1B741E8C" w:rsidR="0026700F" w:rsidRDefault="0026700F">
          <w:pPr>
            <w:pStyle w:val="TOC3"/>
            <w:rPr>
              <w:rFonts w:eastAsiaTheme="minorEastAsia"/>
              <w:i w:val="0"/>
              <w:iCs w:val="0"/>
              <w:sz w:val="24"/>
              <w:szCs w:val="24"/>
              <w:lang w:val="en-GB" w:eastAsia="en-GB"/>
            </w:rPr>
          </w:pPr>
          <w:hyperlink w:anchor="_Toc198205706" w:history="1">
            <w:r w:rsidRPr="00551DA7">
              <w:rPr>
                <w:rStyle w:val="Hyperlink"/>
              </w:rPr>
              <w:t>SMTO Completed Tax Audit and Liability 2023 and 2022</w:t>
            </w:r>
            <w:r>
              <w:rPr>
                <w:webHidden/>
              </w:rPr>
              <w:tab/>
            </w:r>
            <w:r>
              <w:rPr>
                <w:webHidden/>
              </w:rPr>
              <w:fldChar w:fldCharType="begin"/>
            </w:r>
            <w:r>
              <w:rPr>
                <w:webHidden/>
              </w:rPr>
              <w:instrText xml:space="preserve"> PAGEREF _Toc198205706 \h </w:instrText>
            </w:r>
            <w:r>
              <w:rPr>
                <w:webHidden/>
              </w:rPr>
            </w:r>
            <w:r>
              <w:rPr>
                <w:webHidden/>
              </w:rPr>
              <w:fldChar w:fldCharType="separate"/>
            </w:r>
            <w:r>
              <w:rPr>
                <w:webHidden/>
              </w:rPr>
              <w:t>50</w:t>
            </w:r>
            <w:r>
              <w:rPr>
                <w:webHidden/>
              </w:rPr>
              <w:fldChar w:fldCharType="end"/>
            </w:r>
          </w:hyperlink>
        </w:p>
        <w:p w14:paraId="4FE1B90C" w14:textId="08758708" w:rsidR="0026700F" w:rsidRDefault="0026700F">
          <w:pPr>
            <w:pStyle w:val="TOC3"/>
            <w:rPr>
              <w:rFonts w:eastAsiaTheme="minorEastAsia"/>
              <w:i w:val="0"/>
              <w:iCs w:val="0"/>
              <w:sz w:val="24"/>
              <w:szCs w:val="24"/>
              <w:lang w:val="en-GB" w:eastAsia="en-GB"/>
            </w:rPr>
          </w:pPr>
          <w:hyperlink w:anchor="_Toc198205707" w:history="1">
            <w:r w:rsidRPr="00551DA7">
              <w:rPr>
                <w:rStyle w:val="Hyperlink"/>
              </w:rPr>
              <w:t>EIRU Completed Tax Audit and Liability 2023 and 2022</w:t>
            </w:r>
            <w:r>
              <w:rPr>
                <w:webHidden/>
              </w:rPr>
              <w:tab/>
            </w:r>
            <w:r>
              <w:rPr>
                <w:webHidden/>
              </w:rPr>
              <w:fldChar w:fldCharType="begin"/>
            </w:r>
            <w:r>
              <w:rPr>
                <w:webHidden/>
              </w:rPr>
              <w:instrText xml:space="preserve"> PAGEREF _Toc198205707 \h </w:instrText>
            </w:r>
            <w:r>
              <w:rPr>
                <w:webHidden/>
              </w:rPr>
            </w:r>
            <w:r>
              <w:rPr>
                <w:webHidden/>
              </w:rPr>
              <w:fldChar w:fldCharType="separate"/>
            </w:r>
            <w:r>
              <w:rPr>
                <w:webHidden/>
              </w:rPr>
              <w:t>51</w:t>
            </w:r>
            <w:r>
              <w:rPr>
                <w:webHidden/>
              </w:rPr>
              <w:fldChar w:fldCharType="end"/>
            </w:r>
          </w:hyperlink>
        </w:p>
        <w:p w14:paraId="2184DE7F" w14:textId="12479EE5" w:rsidR="0026700F" w:rsidRDefault="0026700F">
          <w:pPr>
            <w:pStyle w:val="TOC2"/>
            <w:tabs>
              <w:tab w:val="right" w:leader="dot" w:pos="9350"/>
            </w:tabs>
            <w:rPr>
              <w:rFonts w:eastAsiaTheme="minorEastAsia"/>
              <w:noProof/>
              <w:sz w:val="24"/>
              <w:szCs w:val="24"/>
              <w:lang w:val="en-GB" w:eastAsia="en-GB"/>
            </w:rPr>
          </w:pPr>
          <w:hyperlink w:anchor="_Toc198205708" w:history="1">
            <w:r w:rsidRPr="00551DA7">
              <w:rPr>
                <w:rStyle w:val="Hyperlink"/>
                <w:rFonts w:eastAsia="Times New Roman"/>
                <w:noProof/>
              </w:rPr>
              <w:t>CSD POST CLEARANCE AUDIT (PCA) ACTIVITIES IN 2023</w:t>
            </w:r>
            <w:r>
              <w:rPr>
                <w:noProof/>
                <w:webHidden/>
              </w:rPr>
              <w:tab/>
            </w:r>
            <w:r>
              <w:rPr>
                <w:noProof/>
                <w:webHidden/>
              </w:rPr>
              <w:fldChar w:fldCharType="begin"/>
            </w:r>
            <w:r>
              <w:rPr>
                <w:noProof/>
                <w:webHidden/>
              </w:rPr>
              <w:instrText xml:space="preserve"> PAGEREF _Toc198205708 \h </w:instrText>
            </w:r>
            <w:r>
              <w:rPr>
                <w:noProof/>
                <w:webHidden/>
              </w:rPr>
            </w:r>
            <w:r>
              <w:rPr>
                <w:noProof/>
                <w:webHidden/>
              </w:rPr>
              <w:fldChar w:fldCharType="separate"/>
            </w:r>
            <w:r>
              <w:rPr>
                <w:noProof/>
                <w:webHidden/>
              </w:rPr>
              <w:t>52</w:t>
            </w:r>
            <w:r>
              <w:rPr>
                <w:noProof/>
                <w:webHidden/>
              </w:rPr>
              <w:fldChar w:fldCharType="end"/>
            </w:r>
          </w:hyperlink>
        </w:p>
        <w:p w14:paraId="01587F83" w14:textId="7877F97B" w:rsidR="0026700F" w:rsidRDefault="0026700F">
          <w:pPr>
            <w:pStyle w:val="TOC2"/>
            <w:tabs>
              <w:tab w:val="right" w:leader="dot" w:pos="9350"/>
            </w:tabs>
            <w:rPr>
              <w:rFonts w:eastAsiaTheme="minorEastAsia"/>
              <w:noProof/>
              <w:sz w:val="24"/>
              <w:szCs w:val="24"/>
              <w:lang w:val="en-GB" w:eastAsia="en-GB"/>
            </w:rPr>
          </w:pPr>
          <w:hyperlink w:anchor="_Toc198205709" w:history="1">
            <w:r w:rsidRPr="00551DA7">
              <w:rPr>
                <w:rStyle w:val="Hyperlink"/>
                <w:noProof/>
              </w:rPr>
              <w:t>DTD ARREARS STATUS UPDATE AND RECOVERY</w:t>
            </w:r>
            <w:r>
              <w:rPr>
                <w:noProof/>
                <w:webHidden/>
              </w:rPr>
              <w:tab/>
            </w:r>
            <w:r>
              <w:rPr>
                <w:noProof/>
                <w:webHidden/>
              </w:rPr>
              <w:fldChar w:fldCharType="begin"/>
            </w:r>
            <w:r>
              <w:rPr>
                <w:noProof/>
                <w:webHidden/>
              </w:rPr>
              <w:instrText xml:space="preserve"> PAGEREF _Toc198205709 \h </w:instrText>
            </w:r>
            <w:r>
              <w:rPr>
                <w:noProof/>
                <w:webHidden/>
              </w:rPr>
            </w:r>
            <w:r>
              <w:rPr>
                <w:noProof/>
                <w:webHidden/>
              </w:rPr>
              <w:fldChar w:fldCharType="separate"/>
            </w:r>
            <w:r>
              <w:rPr>
                <w:noProof/>
                <w:webHidden/>
              </w:rPr>
              <w:t>53</w:t>
            </w:r>
            <w:r>
              <w:rPr>
                <w:noProof/>
                <w:webHidden/>
              </w:rPr>
              <w:fldChar w:fldCharType="end"/>
            </w:r>
          </w:hyperlink>
        </w:p>
        <w:p w14:paraId="3B20821B" w14:textId="1B760E85" w:rsidR="0026700F" w:rsidRDefault="0026700F">
          <w:pPr>
            <w:pStyle w:val="TOC2"/>
            <w:tabs>
              <w:tab w:val="right" w:leader="dot" w:pos="9350"/>
            </w:tabs>
            <w:rPr>
              <w:rFonts w:eastAsiaTheme="minorEastAsia"/>
              <w:noProof/>
              <w:sz w:val="24"/>
              <w:szCs w:val="24"/>
              <w:lang w:val="en-GB" w:eastAsia="en-GB"/>
            </w:rPr>
          </w:pPr>
          <w:hyperlink w:anchor="_Toc198205710" w:history="1">
            <w:r w:rsidRPr="00551DA7">
              <w:rPr>
                <w:rStyle w:val="Hyperlink"/>
                <w:rFonts w:eastAsia="Times New Roman"/>
                <w:noProof/>
              </w:rPr>
              <w:t>CUSTOMS DEBT RECOVERY AND MANAGEMENT</w:t>
            </w:r>
            <w:r>
              <w:rPr>
                <w:noProof/>
                <w:webHidden/>
              </w:rPr>
              <w:tab/>
            </w:r>
            <w:r>
              <w:rPr>
                <w:noProof/>
                <w:webHidden/>
              </w:rPr>
              <w:fldChar w:fldCharType="begin"/>
            </w:r>
            <w:r>
              <w:rPr>
                <w:noProof/>
                <w:webHidden/>
              </w:rPr>
              <w:instrText xml:space="preserve"> PAGEREF _Toc198205710 \h </w:instrText>
            </w:r>
            <w:r>
              <w:rPr>
                <w:noProof/>
                <w:webHidden/>
              </w:rPr>
            </w:r>
            <w:r>
              <w:rPr>
                <w:noProof/>
                <w:webHidden/>
              </w:rPr>
              <w:fldChar w:fldCharType="separate"/>
            </w:r>
            <w:r>
              <w:rPr>
                <w:noProof/>
                <w:webHidden/>
              </w:rPr>
              <w:t>54</w:t>
            </w:r>
            <w:r>
              <w:rPr>
                <w:noProof/>
                <w:webHidden/>
              </w:rPr>
              <w:fldChar w:fldCharType="end"/>
            </w:r>
          </w:hyperlink>
        </w:p>
        <w:p w14:paraId="692C2484" w14:textId="11AA199E" w:rsidR="0026700F" w:rsidRDefault="0026700F">
          <w:pPr>
            <w:pStyle w:val="TOC2"/>
            <w:tabs>
              <w:tab w:val="right" w:leader="dot" w:pos="9350"/>
            </w:tabs>
            <w:rPr>
              <w:rFonts w:eastAsiaTheme="minorEastAsia"/>
              <w:noProof/>
              <w:sz w:val="24"/>
              <w:szCs w:val="24"/>
              <w:lang w:val="en-GB" w:eastAsia="en-GB"/>
            </w:rPr>
          </w:pPr>
          <w:hyperlink w:anchor="_Toc198205711" w:history="1">
            <w:r w:rsidRPr="00551DA7">
              <w:rPr>
                <w:rStyle w:val="Hyperlink"/>
                <w:noProof/>
              </w:rPr>
              <w:t>UPDATE ON CUSTOMS RISK MANAGEMENT ACTIVITIES</w:t>
            </w:r>
            <w:r>
              <w:rPr>
                <w:noProof/>
                <w:webHidden/>
              </w:rPr>
              <w:tab/>
            </w:r>
            <w:r>
              <w:rPr>
                <w:noProof/>
                <w:webHidden/>
              </w:rPr>
              <w:fldChar w:fldCharType="begin"/>
            </w:r>
            <w:r>
              <w:rPr>
                <w:noProof/>
                <w:webHidden/>
              </w:rPr>
              <w:instrText xml:space="preserve"> PAGEREF _Toc198205711 \h </w:instrText>
            </w:r>
            <w:r>
              <w:rPr>
                <w:noProof/>
                <w:webHidden/>
              </w:rPr>
            </w:r>
            <w:r>
              <w:rPr>
                <w:noProof/>
                <w:webHidden/>
              </w:rPr>
              <w:fldChar w:fldCharType="separate"/>
            </w:r>
            <w:r>
              <w:rPr>
                <w:noProof/>
                <w:webHidden/>
              </w:rPr>
              <w:t>55</w:t>
            </w:r>
            <w:r>
              <w:rPr>
                <w:noProof/>
                <w:webHidden/>
              </w:rPr>
              <w:fldChar w:fldCharType="end"/>
            </w:r>
          </w:hyperlink>
        </w:p>
        <w:p w14:paraId="5D81D808" w14:textId="5B331351" w:rsidR="0026700F" w:rsidRDefault="0026700F">
          <w:pPr>
            <w:pStyle w:val="TOC3"/>
            <w:rPr>
              <w:rFonts w:eastAsiaTheme="minorEastAsia"/>
              <w:i w:val="0"/>
              <w:iCs w:val="0"/>
              <w:sz w:val="24"/>
              <w:szCs w:val="24"/>
              <w:lang w:val="en-GB" w:eastAsia="en-GB"/>
            </w:rPr>
          </w:pPr>
          <w:hyperlink w:anchor="_Toc198205712" w:history="1">
            <w:r w:rsidRPr="00551DA7">
              <w:rPr>
                <w:rStyle w:val="Hyperlink"/>
              </w:rPr>
              <w:t>RMU Risk Profiling</w:t>
            </w:r>
            <w:r>
              <w:rPr>
                <w:webHidden/>
              </w:rPr>
              <w:tab/>
            </w:r>
            <w:r>
              <w:rPr>
                <w:webHidden/>
              </w:rPr>
              <w:fldChar w:fldCharType="begin"/>
            </w:r>
            <w:r>
              <w:rPr>
                <w:webHidden/>
              </w:rPr>
              <w:instrText xml:space="preserve"> PAGEREF _Toc198205712 \h </w:instrText>
            </w:r>
            <w:r>
              <w:rPr>
                <w:webHidden/>
              </w:rPr>
            </w:r>
            <w:r>
              <w:rPr>
                <w:webHidden/>
              </w:rPr>
              <w:fldChar w:fldCharType="separate"/>
            </w:r>
            <w:r>
              <w:rPr>
                <w:webHidden/>
              </w:rPr>
              <w:t>56</w:t>
            </w:r>
            <w:r>
              <w:rPr>
                <w:webHidden/>
              </w:rPr>
              <w:fldChar w:fldCharType="end"/>
            </w:r>
          </w:hyperlink>
        </w:p>
        <w:p w14:paraId="5949A351" w14:textId="1B5B7EEC" w:rsidR="0026700F" w:rsidRDefault="0026700F">
          <w:pPr>
            <w:pStyle w:val="TOC3"/>
            <w:rPr>
              <w:rFonts w:eastAsiaTheme="minorEastAsia"/>
              <w:i w:val="0"/>
              <w:iCs w:val="0"/>
              <w:sz w:val="24"/>
              <w:szCs w:val="24"/>
              <w:lang w:val="en-GB" w:eastAsia="en-GB"/>
            </w:rPr>
          </w:pPr>
          <w:hyperlink w:anchor="_Toc198205713" w:history="1">
            <w:r w:rsidRPr="00551DA7">
              <w:rPr>
                <w:rStyle w:val="Hyperlink"/>
              </w:rPr>
              <w:t>Additional Revenue Generated through RMU Interventions</w:t>
            </w:r>
            <w:r>
              <w:rPr>
                <w:webHidden/>
              </w:rPr>
              <w:tab/>
            </w:r>
            <w:r>
              <w:rPr>
                <w:webHidden/>
              </w:rPr>
              <w:fldChar w:fldCharType="begin"/>
            </w:r>
            <w:r>
              <w:rPr>
                <w:webHidden/>
              </w:rPr>
              <w:instrText xml:space="preserve"> PAGEREF _Toc198205713 \h </w:instrText>
            </w:r>
            <w:r>
              <w:rPr>
                <w:webHidden/>
              </w:rPr>
            </w:r>
            <w:r>
              <w:rPr>
                <w:webHidden/>
              </w:rPr>
              <w:fldChar w:fldCharType="separate"/>
            </w:r>
            <w:r>
              <w:rPr>
                <w:webHidden/>
              </w:rPr>
              <w:t>56</w:t>
            </w:r>
            <w:r>
              <w:rPr>
                <w:webHidden/>
              </w:rPr>
              <w:fldChar w:fldCharType="end"/>
            </w:r>
          </w:hyperlink>
        </w:p>
        <w:p w14:paraId="790B304A" w14:textId="49BBA685" w:rsidR="0026700F" w:rsidRDefault="0026700F">
          <w:pPr>
            <w:pStyle w:val="TOC2"/>
            <w:tabs>
              <w:tab w:val="right" w:leader="dot" w:pos="9350"/>
            </w:tabs>
            <w:rPr>
              <w:rFonts w:eastAsiaTheme="minorEastAsia"/>
              <w:noProof/>
              <w:sz w:val="24"/>
              <w:szCs w:val="24"/>
              <w:lang w:val="en-GB" w:eastAsia="en-GB"/>
            </w:rPr>
          </w:pPr>
          <w:hyperlink w:anchor="_Toc198205714" w:history="1">
            <w:r w:rsidRPr="00551DA7">
              <w:rPr>
                <w:rStyle w:val="Hyperlink"/>
                <w:noProof/>
                <w:lang w:val="en-GB"/>
              </w:rPr>
              <w:t>CUSTOMS VALUATION, GOODS CLASSIFICATION, AND TAX ASSESSMENT</w:t>
            </w:r>
            <w:r>
              <w:rPr>
                <w:noProof/>
                <w:webHidden/>
              </w:rPr>
              <w:tab/>
            </w:r>
            <w:r>
              <w:rPr>
                <w:noProof/>
                <w:webHidden/>
              </w:rPr>
              <w:fldChar w:fldCharType="begin"/>
            </w:r>
            <w:r>
              <w:rPr>
                <w:noProof/>
                <w:webHidden/>
              </w:rPr>
              <w:instrText xml:space="preserve"> PAGEREF _Toc198205714 \h </w:instrText>
            </w:r>
            <w:r>
              <w:rPr>
                <w:noProof/>
                <w:webHidden/>
              </w:rPr>
            </w:r>
            <w:r>
              <w:rPr>
                <w:noProof/>
                <w:webHidden/>
              </w:rPr>
              <w:fldChar w:fldCharType="separate"/>
            </w:r>
            <w:r>
              <w:rPr>
                <w:noProof/>
                <w:webHidden/>
              </w:rPr>
              <w:t>57</w:t>
            </w:r>
            <w:r>
              <w:rPr>
                <w:noProof/>
                <w:webHidden/>
              </w:rPr>
              <w:fldChar w:fldCharType="end"/>
            </w:r>
          </w:hyperlink>
        </w:p>
        <w:p w14:paraId="3D488D3B" w14:textId="31225067" w:rsidR="0026700F" w:rsidRDefault="0026700F">
          <w:pPr>
            <w:pStyle w:val="TOC2"/>
            <w:tabs>
              <w:tab w:val="right" w:leader="dot" w:pos="9350"/>
            </w:tabs>
            <w:rPr>
              <w:rFonts w:eastAsiaTheme="minorEastAsia"/>
              <w:noProof/>
              <w:sz w:val="24"/>
              <w:szCs w:val="24"/>
              <w:lang w:val="en-GB" w:eastAsia="en-GB"/>
            </w:rPr>
          </w:pPr>
          <w:hyperlink w:anchor="_Toc198205715" w:history="1">
            <w:r w:rsidRPr="00551DA7">
              <w:rPr>
                <w:rStyle w:val="Hyperlink"/>
                <w:noProof/>
                <w:lang w:val="en-GB"/>
              </w:rPr>
              <w:t>CUSTOMS RECOVERIES FROM ADJUSTMENTS AND AMENDMENTS</w:t>
            </w:r>
            <w:r>
              <w:rPr>
                <w:noProof/>
                <w:webHidden/>
              </w:rPr>
              <w:tab/>
            </w:r>
            <w:r>
              <w:rPr>
                <w:noProof/>
                <w:webHidden/>
              </w:rPr>
              <w:fldChar w:fldCharType="begin"/>
            </w:r>
            <w:r>
              <w:rPr>
                <w:noProof/>
                <w:webHidden/>
              </w:rPr>
              <w:instrText xml:space="preserve"> PAGEREF _Toc198205715 \h </w:instrText>
            </w:r>
            <w:r>
              <w:rPr>
                <w:noProof/>
                <w:webHidden/>
              </w:rPr>
            </w:r>
            <w:r>
              <w:rPr>
                <w:noProof/>
                <w:webHidden/>
              </w:rPr>
              <w:fldChar w:fldCharType="separate"/>
            </w:r>
            <w:r>
              <w:rPr>
                <w:noProof/>
                <w:webHidden/>
              </w:rPr>
              <w:t>58</w:t>
            </w:r>
            <w:r>
              <w:rPr>
                <w:noProof/>
                <w:webHidden/>
              </w:rPr>
              <w:fldChar w:fldCharType="end"/>
            </w:r>
          </w:hyperlink>
        </w:p>
        <w:p w14:paraId="235EDE23" w14:textId="52B73546" w:rsidR="0026700F" w:rsidRDefault="0026700F">
          <w:pPr>
            <w:pStyle w:val="TOC2"/>
            <w:tabs>
              <w:tab w:val="right" w:leader="dot" w:pos="9350"/>
            </w:tabs>
            <w:rPr>
              <w:rFonts w:eastAsiaTheme="minorEastAsia"/>
              <w:noProof/>
              <w:sz w:val="24"/>
              <w:szCs w:val="24"/>
              <w:lang w:val="en-GB" w:eastAsia="en-GB"/>
            </w:rPr>
          </w:pPr>
          <w:hyperlink w:anchor="_Toc198205716" w:history="1">
            <w:r w:rsidRPr="00551DA7">
              <w:rPr>
                <w:rStyle w:val="Hyperlink"/>
                <w:noProof/>
                <w:lang w:val="en-GB"/>
              </w:rPr>
              <w:t>IMPORT STATISTICS (2023 AND 2022)</w:t>
            </w:r>
            <w:r>
              <w:rPr>
                <w:noProof/>
                <w:webHidden/>
              </w:rPr>
              <w:tab/>
            </w:r>
            <w:r>
              <w:rPr>
                <w:noProof/>
                <w:webHidden/>
              </w:rPr>
              <w:fldChar w:fldCharType="begin"/>
            </w:r>
            <w:r>
              <w:rPr>
                <w:noProof/>
                <w:webHidden/>
              </w:rPr>
              <w:instrText xml:space="preserve"> PAGEREF _Toc198205716 \h </w:instrText>
            </w:r>
            <w:r>
              <w:rPr>
                <w:noProof/>
                <w:webHidden/>
              </w:rPr>
            </w:r>
            <w:r>
              <w:rPr>
                <w:noProof/>
                <w:webHidden/>
              </w:rPr>
              <w:fldChar w:fldCharType="separate"/>
            </w:r>
            <w:r>
              <w:rPr>
                <w:noProof/>
                <w:webHidden/>
              </w:rPr>
              <w:t>59</w:t>
            </w:r>
            <w:r>
              <w:rPr>
                <w:noProof/>
                <w:webHidden/>
              </w:rPr>
              <w:fldChar w:fldCharType="end"/>
            </w:r>
          </w:hyperlink>
        </w:p>
        <w:p w14:paraId="097CA60E" w14:textId="4D502EE7" w:rsidR="0026700F" w:rsidRDefault="0026700F">
          <w:pPr>
            <w:pStyle w:val="TOC2"/>
            <w:tabs>
              <w:tab w:val="right" w:leader="dot" w:pos="9350"/>
            </w:tabs>
            <w:rPr>
              <w:rFonts w:eastAsiaTheme="minorEastAsia"/>
              <w:noProof/>
              <w:sz w:val="24"/>
              <w:szCs w:val="24"/>
              <w:lang w:val="en-GB" w:eastAsia="en-GB"/>
            </w:rPr>
          </w:pPr>
          <w:hyperlink w:anchor="_Toc198205717" w:history="1">
            <w:r w:rsidRPr="00551DA7">
              <w:rPr>
                <w:rStyle w:val="Hyperlink"/>
                <w:noProof/>
              </w:rPr>
              <w:t>CONTAINER INSPECTION/EXAMINATION UNIT</w:t>
            </w:r>
            <w:r>
              <w:rPr>
                <w:noProof/>
                <w:webHidden/>
              </w:rPr>
              <w:tab/>
            </w:r>
            <w:r>
              <w:rPr>
                <w:noProof/>
                <w:webHidden/>
              </w:rPr>
              <w:fldChar w:fldCharType="begin"/>
            </w:r>
            <w:r>
              <w:rPr>
                <w:noProof/>
                <w:webHidden/>
              </w:rPr>
              <w:instrText xml:space="preserve"> PAGEREF _Toc198205717 \h </w:instrText>
            </w:r>
            <w:r>
              <w:rPr>
                <w:noProof/>
                <w:webHidden/>
              </w:rPr>
            </w:r>
            <w:r>
              <w:rPr>
                <w:noProof/>
                <w:webHidden/>
              </w:rPr>
              <w:fldChar w:fldCharType="separate"/>
            </w:r>
            <w:r>
              <w:rPr>
                <w:noProof/>
                <w:webHidden/>
              </w:rPr>
              <w:t>61</w:t>
            </w:r>
            <w:r>
              <w:rPr>
                <w:noProof/>
                <w:webHidden/>
              </w:rPr>
              <w:fldChar w:fldCharType="end"/>
            </w:r>
          </w:hyperlink>
        </w:p>
        <w:p w14:paraId="0DFB298D" w14:textId="6FC8B55D" w:rsidR="0026700F" w:rsidRDefault="0026700F">
          <w:pPr>
            <w:pStyle w:val="TOC2"/>
            <w:tabs>
              <w:tab w:val="right" w:leader="dot" w:pos="9350"/>
            </w:tabs>
            <w:rPr>
              <w:rFonts w:eastAsiaTheme="minorEastAsia"/>
              <w:noProof/>
              <w:sz w:val="24"/>
              <w:szCs w:val="24"/>
              <w:lang w:val="en-GB" w:eastAsia="en-GB"/>
            </w:rPr>
          </w:pPr>
          <w:hyperlink w:anchor="_Toc198205718" w:history="1">
            <w:r w:rsidRPr="00551DA7">
              <w:rPr>
                <w:rStyle w:val="Hyperlink"/>
                <w:noProof/>
              </w:rPr>
              <w:t>PORT BAGGAGE UNIT</w:t>
            </w:r>
            <w:r>
              <w:rPr>
                <w:noProof/>
                <w:webHidden/>
              </w:rPr>
              <w:tab/>
            </w:r>
            <w:r>
              <w:rPr>
                <w:noProof/>
                <w:webHidden/>
              </w:rPr>
              <w:fldChar w:fldCharType="begin"/>
            </w:r>
            <w:r>
              <w:rPr>
                <w:noProof/>
                <w:webHidden/>
              </w:rPr>
              <w:instrText xml:space="preserve"> PAGEREF _Toc198205718 \h </w:instrText>
            </w:r>
            <w:r>
              <w:rPr>
                <w:noProof/>
                <w:webHidden/>
              </w:rPr>
            </w:r>
            <w:r>
              <w:rPr>
                <w:noProof/>
                <w:webHidden/>
              </w:rPr>
              <w:fldChar w:fldCharType="separate"/>
            </w:r>
            <w:r>
              <w:rPr>
                <w:noProof/>
                <w:webHidden/>
              </w:rPr>
              <w:t>62</w:t>
            </w:r>
            <w:r>
              <w:rPr>
                <w:noProof/>
                <w:webHidden/>
              </w:rPr>
              <w:fldChar w:fldCharType="end"/>
            </w:r>
          </w:hyperlink>
        </w:p>
        <w:p w14:paraId="7775BE1E" w14:textId="70BE1531" w:rsidR="0026700F" w:rsidRDefault="0026700F">
          <w:pPr>
            <w:pStyle w:val="TOC2"/>
            <w:tabs>
              <w:tab w:val="right" w:leader="dot" w:pos="9350"/>
            </w:tabs>
            <w:rPr>
              <w:rFonts w:eastAsiaTheme="minorEastAsia"/>
              <w:noProof/>
              <w:sz w:val="24"/>
              <w:szCs w:val="24"/>
              <w:lang w:val="en-GB" w:eastAsia="en-GB"/>
            </w:rPr>
          </w:pPr>
          <w:hyperlink w:anchor="_Toc198205719" w:history="1">
            <w:r w:rsidRPr="00551DA7">
              <w:rPr>
                <w:rStyle w:val="Hyperlink"/>
                <w:noProof/>
              </w:rPr>
              <w:t>VEHICLE CLEARANCE UNIT</w:t>
            </w:r>
            <w:r>
              <w:rPr>
                <w:noProof/>
                <w:webHidden/>
              </w:rPr>
              <w:tab/>
            </w:r>
            <w:r>
              <w:rPr>
                <w:noProof/>
                <w:webHidden/>
              </w:rPr>
              <w:fldChar w:fldCharType="begin"/>
            </w:r>
            <w:r>
              <w:rPr>
                <w:noProof/>
                <w:webHidden/>
              </w:rPr>
              <w:instrText xml:space="preserve"> PAGEREF _Toc198205719 \h </w:instrText>
            </w:r>
            <w:r>
              <w:rPr>
                <w:noProof/>
                <w:webHidden/>
              </w:rPr>
            </w:r>
            <w:r>
              <w:rPr>
                <w:noProof/>
                <w:webHidden/>
              </w:rPr>
              <w:fldChar w:fldCharType="separate"/>
            </w:r>
            <w:r>
              <w:rPr>
                <w:noProof/>
                <w:webHidden/>
              </w:rPr>
              <w:t>63</w:t>
            </w:r>
            <w:r>
              <w:rPr>
                <w:noProof/>
                <w:webHidden/>
              </w:rPr>
              <w:fldChar w:fldCharType="end"/>
            </w:r>
          </w:hyperlink>
        </w:p>
        <w:p w14:paraId="7B0B7211" w14:textId="7AAE50DB" w:rsidR="0026700F" w:rsidRDefault="0026700F">
          <w:pPr>
            <w:pStyle w:val="TOC2"/>
            <w:tabs>
              <w:tab w:val="right" w:leader="dot" w:pos="9350"/>
            </w:tabs>
            <w:rPr>
              <w:rFonts w:eastAsiaTheme="minorEastAsia"/>
              <w:noProof/>
              <w:sz w:val="24"/>
              <w:szCs w:val="24"/>
              <w:lang w:val="en-GB" w:eastAsia="en-GB"/>
            </w:rPr>
          </w:pPr>
          <w:hyperlink w:anchor="_Toc198205720" w:history="1">
            <w:r w:rsidRPr="00551DA7">
              <w:rPr>
                <w:rStyle w:val="Hyperlink"/>
                <w:noProof/>
              </w:rPr>
              <w:t>SCANNING UNIT</w:t>
            </w:r>
            <w:r>
              <w:rPr>
                <w:noProof/>
                <w:webHidden/>
              </w:rPr>
              <w:tab/>
            </w:r>
            <w:r>
              <w:rPr>
                <w:noProof/>
                <w:webHidden/>
              </w:rPr>
              <w:fldChar w:fldCharType="begin"/>
            </w:r>
            <w:r>
              <w:rPr>
                <w:noProof/>
                <w:webHidden/>
              </w:rPr>
              <w:instrText xml:space="preserve"> PAGEREF _Toc198205720 \h </w:instrText>
            </w:r>
            <w:r>
              <w:rPr>
                <w:noProof/>
                <w:webHidden/>
              </w:rPr>
            </w:r>
            <w:r>
              <w:rPr>
                <w:noProof/>
                <w:webHidden/>
              </w:rPr>
              <w:fldChar w:fldCharType="separate"/>
            </w:r>
            <w:r>
              <w:rPr>
                <w:noProof/>
                <w:webHidden/>
              </w:rPr>
              <w:t>64</w:t>
            </w:r>
            <w:r>
              <w:rPr>
                <w:noProof/>
                <w:webHidden/>
              </w:rPr>
              <w:fldChar w:fldCharType="end"/>
            </w:r>
          </w:hyperlink>
        </w:p>
        <w:p w14:paraId="0123E90C" w14:textId="6DC52388" w:rsidR="0026700F" w:rsidRDefault="0026700F">
          <w:pPr>
            <w:pStyle w:val="TOC2"/>
            <w:tabs>
              <w:tab w:val="right" w:leader="dot" w:pos="9350"/>
            </w:tabs>
            <w:rPr>
              <w:rFonts w:eastAsiaTheme="minorEastAsia"/>
              <w:noProof/>
              <w:sz w:val="24"/>
              <w:szCs w:val="24"/>
              <w:lang w:val="en-GB" w:eastAsia="en-GB"/>
            </w:rPr>
          </w:pPr>
          <w:hyperlink w:anchor="_Toc198205721" w:history="1">
            <w:r w:rsidRPr="00551DA7">
              <w:rPr>
                <w:rStyle w:val="Hyperlink"/>
                <w:noProof/>
              </w:rPr>
              <w:t>CUSTOMS BOARDING UNIT</w:t>
            </w:r>
            <w:r>
              <w:rPr>
                <w:noProof/>
                <w:webHidden/>
              </w:rPr>
              <w:tab/>
            </w:r>
            <w:r>
              <w:rPr>
                <w:noProof/>
                <w:webHidden/>
              </w:rPr>
              <w:fldChar w:fldCharType="begin"/>
            </w:r>
            <w:r>
              <w:rPr>
                <w:noProof/>
                <w:webHidden/>
              </w:rPr>
              <w:instrText xml:space="preserve"> PAGEREF _Toc198205721 \h </w:instrText>
            </w:r>
            <w:r>
              <w:rPr>
                <w:noProof/>
                <w:webHidden/>
              </w:rPr>
            </w:r>
            <w:r>
              <w:rPr>
                <w:noProof/>
                <w:webHidden/>
              </w:rPr>
              <w:fldChar w:fldCharType="separate"/>
            </w:r>
            <w:r>
              <w:rPr>
                <w:noProof/>
                <w:webHidden/>
              </w:rPr>
              <w:t>66</w:t>
            </w:r>
            <w:r>
              <w:rPr>
                <w:noProof/>
                <w:webHidden/>
              </w:rPr>
              <w:fldChar w:fldCharType="end"/>
            </w:r>
          </w:hyperlink>
        </w:p>
        <w:p w14:paraId="59B01001" w14:textId="1CCD1E6C" w:rsidR="0026700F" w:rsidRDefault="0026700F">
          <w:pPr>
            <w:pStyle w:val="TOC2"/>
            <w:tabs>
              <w:tab w:val="right" w:leader="dot" w:pos="9350"/>
            </w:tabs>
            <w:rPr>
              <w:rFonts w:eastAsiaTheme="minorEastAsia"/>
              <w:noProof/>
              <w:sz w:val="24"/>
              <w:szCs w:val="24"/>
              <w:lang w:val="en-GB" w:eastAsia="en-GB"/>
            </w:rPr>
          </w:pPr>
          <w:hyperlink w:anchor="_Toc198205722" w:history="1">
            <w:r w:rsidRPr="00551DA7">
              <w:rPr>
                <w:rStyle w:val="Hyperlink"/>
                <w:noProof/>
              </w:rPr>
              <w:t>REVENUE PERFORMANCE OF CUSTOMS OUTSTATIONS / BORDER POSTS</w:t>
            </w:r>
            <w:r>
              <w:rPr>
                <w:noProof/>
                <w:webHidden/>
              </w:rPr>
              <w:tab/>
            </w:r>
            <w:r>
              <w:rPr>
                <w:noProof/>
                <w:webHidden/>
              </w:rPr>
              <w:fldChar w:fldCharType="begin"/>
            </w:r>
            <w:r>
              <w:rPr>
                <w:noProof/>
                <w:webHidden/>
              </w:rPr>
              <w:instrText xml:space="preserve"> PAGEREF _Toc198205722 \h </w:instrText>
            </w:r>
            <w:r>
              <w:rPr>
                <w:noProof/>
                <w:webHidden/>
              </w:rPr>
            </w:r>
            <w:r>
              <w:rPr>
                <w:noProof/>
                <w:webHidden/>
              </w:rPr>
              <w:fldChar w:fldCharType="separate"/>
            </w:r>
            <w:r>
              <w:rPr>
                <w:noProof/>
                <w:webHidden/>
              </w:rPr>
              <w:t>67</w:t>
            </w:r>
            <w:r>
              <w:rPr>
                <w:noProof/>
                <w:webHidden/>
              </w:rPr>
              <w:fldChar w:fldCharType="end"/>
            </w:r>
          </w:hyperlink>
        </w:p>
        <w:p w14:paraId="5262DB5E" w14:textId="7EDEA4AD" w:rsidR="0026700F" w:rsidRDefault="0026700F">
          <w:pPr>
            <w:pStyle w:val="TOC1"/>
            <w:rPr>
              <w:rFonts w:eastAsiaTheme="minorEastAsia"/>
              <w:b w:val="0"/>
              <w:bCs w:val="0"/>
              <w:sz w:val="24"/>
              <w:szCs w:val="24"/>
              <w:lang w:val="en-GB" w:eastAsia="en-GB"/>
            </w:rPr>
          </w:pPr>
          <w:hyperlink w:anchor="_Toc198205723" w:history="1">
            <w:r w:rsidRPr="00551DA7">
              <w:rPr>
                <w:rStyle w:val="Hyperlink"/>
              </w:rPr>
              <w:t>CHAPTER FIVE: PROSPECT AND CHALLENGES/RISK GOING FORWARD 2024</w:t>
            </w:r>
            <w:r>
              <w:rPr>
                <w:webHidden/>
              </w:rPr>
              <w:tab/>
            </w:r>
            <w:r>
              <w:rPr>
                <w:webHidden/>
              </w:rPr>
              <w:fldChar w:fldCharType="begin"/>
            </w:r>
            <w:r>
              <w:rPr>
                <w:webHidden/>
              </w:rPr>
              <w:instrText xml:space="preserve"> PAGEREF _Toc198205723 \h </w:instrText>
            </w:r>
            <w:r>
              <w:rPr>
                <w:webHidden/>
              </w:rPr>
            </w:r>
            <w:r>
              <w:rPr>
                <w:webHidden/>
              </w:rPr>
              <w:fldChar w:fldCharType="separate"/>
            </w:r>
            <w:r>
              <w:rPr>
                <w:webHidden/>
              </w:rPr>
              <w:t>69</w:t>
            </w:r>
            <w:r>
              <w:rPr>
                <w:webHidden/>
              </w:rPr>
              <w:fldChar w:fldCharType="end"/>
            </w:r>
          </w:hyperlink>
        </w:p>
        <w:p w14:paraId="358684C2" w14:textId="5DB7CA4D" w:rsidR="0026700F" w:rsidRDefault="0026700F">
          <w:pPr>
            <w:pStyle w:val="TOC1"/>
            <w:rPr>
              <w:rFonts w:eastAsiaTheme="minorEastAsia"/>
              <w:b w:val="0"/>
              <w:bCs w:val="0"/>
              <w:sz w:val="24"/>
              <w:szCs w:val="24"/>
              <w:lang w:val="en-GB" w:eastAsia="en-GB"/>
            </w:rPr>
          </w:pPr>
          <w:hyperlink w:anchor="_Toc198205724" w:history="1">
            <w:r w:rsidRPr="00551DA7">
              <w:rPr>
                <w:rStyle w:val="Hyperlink"/>
              </w:rPr>
              <w:t>APPENDIX</w:t>
            </w:r>
            <w:r>
              <w:rPr>
                <w:webHidden/>
              </w:rPr>
              <w:tab/>
            </w:r>
            <w:r>
              <w:rPr>
                <w:webHidden/>
              </w:rPr>
              <w:fldChar w:fldCharType="begin"/>
            </w:r>
            <w:r>
              <w:rPr>
                <w:webHidden/>
              </w:rPr>
              <w:instrText xml:space="preserve"> PAGEREF _Toc198205724 \h </w:instrText>
            </w:r>
            <w:r>
              <w:rPr>
                <w:webHidden/>
              </w:rPr>
            </w:r>
            <w:r>
              <w:rPr>
                <w:webHidden/>
              </w:rPr>
              <w:fldChar w:fldCharType="separate"/>
            </w:r>
            <w:r>
              <w:rPr>
                <w:webHidden/>
              </w:rPr>
              <w:t>73</w:t>
            </w:r>
            <w:r>
              <w:rPr>
                <w:webHidden/>
              </w:rPr>
              <w:fldChar w:fldCharType="end"/>
            </w:r>
          </w:hyperlink>
        </w:p>
        <w:p w14:paraId="049FD7A1" w14:textId="5A9F379A" w:rsidR="0026700F" w:rsidRDefault="0026700F">
          <w:pPr>
            <w:pStyle w:val="TOC2"/>
            <w:tabs>
              <w:tab w:val="right" w:leader="dot" w:pos="9350"/>
            </w:tabs>
            <w:rPr>
              <w:rFonts w:eastAsiaTheme="minorEastAsia"/>
              <w:noProof/>
              <w:sz w:val="24"/>
              <w:szCs w:val="24"/>
              <w:lang w:val="en-GB" w:eastAsia="en-GB"/>
            </w:rPr>
          </w:pPr>
          <w:hyperlink w:anchor="_Toc198205725" w:history="1">
            <w:r w:rsidRPr="00551DA7">
              <w:rPr>
                <w:rStyle w:val="Hyperlink"/>
                <w:noProof/>
              </w:rPr>
              <w:t>ABRIDGED VERSION OF THE 2021-2023 AUDITED FINANCIAL STATEMENTS OF THE NRA</w:t>
            </w:r>
            <w:r>
              <w:rPr>
                <w:noProof/>
                <w:webHidden/>
              </w:rPr>
              <w:tab/>
            </w:r>
            <w:r>
              <w:rPr>
                <w:noProof/>
                <w:webHidden/>
              </w:rPr>
              <w:fldChar w:fldCharType="begin"/>
            </w:r>
            <w:r>
              <w:rPr>
                <w:noProof/>
                <w:webHidden/>
              </w:rPr>
              <w:instrText xml:space="preserve"> PAGEREF _Toc198205725 \h </w:instrText>
            </w:r>
            <w:r>
              <w:rPr>
                <w:noProof/>
                <w:webHidden/>
              </w:rPr>
            </w:r>
            <w:r>
              <w:rPr>
                <w:noProof/>
                <w:webHidden/>
              </w:rPr>
              <w:fldChar w:fldCharType="separate"/>
            </w:r>
            <w:r>
              <w:rPr>
                <w:noProof/>
                <w:webHidden/>
              </w:rPr>
              <w:t>73</w:t>
            </w:r>
            <w:r>
              <w:rPr>
                <w:noProof/>
                <w:webHidden/>
              </w:rPr>
              <w:fldChar w:fldCharType="end"/>
            </w:r>
          </w:hyperlink>
        </w:p>
        <w:p w14:paraId="55E2C208" w14:textId="031FE41A" w:rsidR="00F300FD" w:rsidRDefault="00F300FD">
          <w:r w:rsidRPr="008C5C22">
            <w:rPr>
              <w:rFonts w:ascii="Baskerville Old Face" w:hAnsi="Baskerville Old Face"/>
              <w:b/>
              <w:bCs/>
              <w:noProof/>
              <w:sz w:val="20"/>
              <w:szCs w:val="20"/>
            </w:rPr>
            <w:fldChar w:fldCharType="end"/>
          </w:r>
        </w:p>
      </w:sdtContent>
    </w:sdt>
    <w:p w14:paraId="386B2C09" w14:textId="77777777" w:rsidR="00F300FD" w:rsidRPr="00EB32B0" w:rsidRDefault="00F300FD" w:rsidP="00625BF5">
      <w:pPr>
        <w:jc w:val="center"/>
        <w:rPr>
          <w:rFonts w:ascii="Baskerville Old Face" w:hAnsi="Baskerville Old Face" w:cs="Times New Roman"/>
          <w:b/>
          <w:bCs/>
          <w:kern w:val="0"/>
          <w:sz w:val="36"/>
          <w:szCs w:val="36"/>
          <w:lang w:val="en-GB"/>
          <w14:ligatures w14:val="none"/>
        </w:rPr>
      </w:pPr>
    </w:p>
    <w:p w14:paraId="1889FF80"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19A946E6" w14:textId="77777777" w:rsidR="00AF50B6" w:rsidRDefault="00AF50B6" w:rsidP="00625BF5">
      <w:pPr>
        <w:jc w:val="center"/>
        <w:rPr>
          <w:rFonts w:ascii="Baskerville Old Face" w:hAnsi="Baskerville Old Face" w:cs="Times New Roman"/>
          <w:b/>
          <w:bCs/>
          <w:kern w:val="0"/>
          <w:sz w:val="28"/>
          <w:szCs w:val="28"/>
          <w:lang w:val="en-GB"/>
          <w14:ligatures w14:val="none"/>
        </w:rPr>
      </w:pPr>
    </w:p>
    <w:p w14:paraId="21174E1F" w14:textId="77777777" w:rsidR="00CA5A3E" w:rsidRDefault="00CA5A3E" w:rsidP="00625BF5">
      <w:pPr>
        <w:jc w:val="center"/>
        <w:rPr>
          <w:rFonts w:ascii="Baskerville Old Face" w:hAnsi="Baskerville Old Face" w:cs="Times New Roman"/>
          <w:b/>
          <w:bCs/>
          <w:kern w:val="0"/>
          <w:sz w:val="28"/>
          <w:szCs w:val="28"/>
          <w:lang w:val="en-GB"/>
          <w14:ligatures w14:val="none"/>
        </w:rPr>
      </w:pPr>
    </w:p>
    <w:p w14:paraId="3961C76A" w14:textId="77777777" w:rsidR="00406665" w:rsidRDefault="00406665" w:rsidP="00625BF5">
      <w:pPr>
        <w:jc w:val="center"/>
        <w:rPr>
          <w:rFonts w:ascii="Baskerville Old Face" w:hAnsi="Baskerville Old Face" w:cs="Times New Roman"/>
          <w:kern w:val="0"/>
          <w:sz w:val="28"/>
          <w:szCs w:val="28"/>
          <w:lang w:val="en-GB"/>
          <w14:ligatures w14:val="none"/>
        </w:rPr>
      </w:pPr>
    </w:p>
    <w:p w14:paraId="6EC0F766" w14:textId="77777777" w:rsidR="00406665" w:rsidRDefault="00406665" w:rsidP="00625BF5">
      <w:pPr>
        <w:jc w:val="center"/>
        <w:rPr>
          <w:rFonts w:ascii="Baskerville Old Face" w:hAnsi="Baskerville Old Face" w:cs="Times New Roman"/>
          <w:kern w:val="0"/>
          <w:sz w:val="28"/>
          <w:szCs w:val="28"/>
          <w:lang w:val="en-GB"/>
          <w14:ligatures w14:val="none"/>
        </w:rPr>
      </w:pPr>
    </w:p>
    <w:p w14:paraId="67D26BC6" w14:textId="77777777" w:rsidR="0026700F" w:rsidRDefault="0026700F" w:rsidP="00625BF5">
      <w:pPr>
        <w:jc w:val="center"/>
        <w:rPr>
          <w:rFonts w:ascii="Baskerville Old Face" w:hAnsi="Baskerville Old Face" w:cs="Times New Roman"/>
          <w:kern w:val="0"/>
          <w:sz w:val="28"/>
          <w:szCs w:val="28"/>
          <w:lang w:val="en-GB"/>
          <w14:ligatures w14:val="none"/>
        </w:rPr>
      </w:pPr>
    </w:p>
    <w:p w14:paraId="7C16C528" w14:textId="77777777" w:rsidR="0026700F" w:rsidRDefault="0026700F" w:rsidP="00625BF5">
      <w:pPr>
        <w:jc w:val="center"/>
        <w:rPr>
          <w:rFonts w:ascii="Baskerville Old Face" w:hAnsi="Baskerville Old Face" w:cs="Times New Roman"/>
          <w:kern w:val="0"/>
          <w:sz w:val="28"/>
          <w:szCs w:val="28"/>
          <w:lang w:val="en-GB"/>
          <w14:ligatures w14:val="none"/>
        </w:rPr>
      </w:pPr>
    </w:p>
    <w:p w14:paraId="7ABBD4F9" w14:textId="77777777" w:rsidR="0026700F" w:rsidRDefault="0026700F" w:rsidP="00625BF5">
      <w:pPr>
        <w:jc w:val="center"/>
        <w:rPr>
          <w:rFonts w:ascii="Baskerville Old Face" w:hAnsi="Baskerville Old Face" w:cs="Times New Roman"/>
          <w:kern w:val="0"/>
          <w:sz w:val="28"/>
          <w:szCs w:val="28"/>
          <w:lang w:val="en-GB"/>
          <w14:ligatures w14:val="none"/>
        </w:rPr>
      </w:pPr>
    </w:p>
    <w:p w14:paraId="2B1F3423" w14:textId="77777777" w:rsidR="0026700F" w:rsidRDefault="0026700F" w:rsidP="00625BF5">
      <w:pPr>
        <w:jc w:val="center"/>
        <w:rPr>
          <w:rFonts w:ascii="Baskerville Old Face" w:hAnsi="Baskerville Old Face" w:cs="Times New Roman"/>
          <w:kern w:val="0"/>
          <w:sz w:val="28"/>
          <w:szCs w:val="28"/>
          <w:lang w:val="en-GB"/>
          <w14:ligatures w14:val="none"/>
        </w:rPr>
      </w:pPr>
    </w:p>
    <w:p w14:paraId="503FCFBC" w14:textId="77777777" w:rsidR="0026700F" w:rsidRDefault="0026700F" w:rsidP="00625BF5">
      <w:pPr>
        <w:jc w:val="center"/>
        <w:rPr>
          <w:rFonts w:ascii="Baskerville Old Face" w:hAnsi="Baskerville Old Face" w:cs="Times New Roman"/>
          <w:kern w:val="0"/>
          <w:sz w:val="28"/>
          <w:szCs w:val="28"/>
          <w:lang w:val="en-GB"/>
          <w14:ligatures w14:val="none"/>
        </w:rPr>
      </w:pPr>
    </w:p>
    <w:p w14:paraId="1D00B9F4" w14:textId="77777777" w:rsidR="0026700F" w:rsidRDefault="0026700F" w:rsidP="00625BF5">
      <w:pPr>
        <w:jc w:val="center"/>
        <w:rPr>
          <w:rFonts w:ascii="Baskerville Old Face" w:hAnsi="Baskerville Old Face" w:cs="Times New Roman"/>
          <w:kern w:val="0"/>
          <w:sz w:val="28"/>
          <w:szCs w:val="28"/>
          <w:lang w:val="en-GB"/>
          <w14:ligatures w14:val="none"/>
        </w:rPr>
      </w:pPr>
    </w:p>
    <w:p w14:paraId="2199E10C" w14:textId="77777777" w:rsidR="0026700F" w:rsidRDefault="0026700F" w:rsidP="00625BF5">
      <w:pPr>
        <w:jc w:val="center"/>
        <w:rPr>
          <w:rFonts w:ascii="Baskerville Old Face" w:hAnsi="Baskerville Old Face" w:cs="Times New Roman"/>
          <w:kern w:val="0"/>
          <w:sz w:val="28"/>
          <w:szCs w:val="28"/>
          <w:lang w:val="en-GB"/>
          <w14:ligatures w14:val="none"/>
        </w:rPr>
      </w:pPr>
    </w:p>
    <w:p w14:paraId="738A0048" w14:textId="77777777" w:rsidR="0026700F" w:rsidRDefault="0026700F" w:rsidP="00625BF5">
      <w:pPr>
        <w:jc w:val="center"/>
        <w:rPr>
          <w:rFonts w:ascii="Baskerville Old Face" w:hAnsi="Baskerville Old Face" w:cs="Times New Roman"/>
          <w:kern w:val="0"/>
          <w:sz w:val="28"/>
          <w:szCs w:val="28"/>
          <w:lang w:val="en-GB"/>
          <w14:ligatures w14:val="none"/>
        </w:rPr>
      </w:pPr>
    </w:p>
    <w:p w14:paraId="59FF4185" w14:textId="77777777" w:rsidR="00406665" w:rsidRDefault="00406665" w:rsidP="00625BF5">
      <w:pPr>
        <w:jc w:val="center"/>
        <w:rPr>
          <w:rFonts w:ascii="Baskerville Old Face" w:hAnsi="Baskerville Old Face" w:cs="Times New Roman"/>
          <w:kern w:val="0"/>
          <w:sz w:val="28"/>
          <w:szCs w:val="28"/>
          <w:lang w:val="en-GB"/>
          <w14:ligatures w14:val="none"/>
        </w:rPr>
      </w:pPr>
    </w:p>
    <w:p w14:paraId="6EB68557" w14:textId="77777777" w:rsidR="00406665" w:rsidRDefault="00406665" w:rsidP="00625BF5">
      <w:pPr>
        <w:jc w:val="center"/>
        <w:rPr>
          <w:rFonts w:ascii="Baskerville Old Face" w:hAnsi="Baskerville Old Face" w:cs="Times New Roman"/>
          <w:kern w:val="0"/>
          <w:sz w:val="28"/>
          <w:szCs w:val="28"/>
          <w:lang w:val="en-GB"/>
          <w14:ligatures w14:val="none"/>
        </w:rPr>
      </w:pPr>
    </w:p>
    <w:p w14:paraId="281EDA30" w14:textId="6B2644C7" w:rsidR="005A7A9B" w:rsidRDefault="00AF50B6" w:rsidP="00625BF5">
      <w:pPr>
        <w:jc w:val="center"/>
        <w:rPr>
          <w:rFonts w:ascii="Baskerville Old Face" w:hAnsi="Baskerville Old Face" w:cs="Times New Roman"/>
          <w:kern w:val="0"/>
          <w:sz w:val="28"/>
          <w:szCs w:val="28"/>
          <w:lang w:val="en-GB"/>
          <w14:ligatures w14:val="none"/>
        </w:rPr>
      </w:pPr>
      <w:r w:rsidRPr="004F2ED1">
        <w:rPr>
          <w:rFonts w:ascii="Baskerville Old Face" w:hAnsi="Baskerville Old Face" w:cs="Times New Roman"/>
          <w:kern w:val="0"/>
          <w:sz w:val="28"/>
          <w:szCs w:val="28"/>
          <w:lang w:val="en-GB"/>
          <w14:ligatures w14:val="none"/>
        </w:rPr>
        <w:lastRenderedPageBreak/>
        <w:t>List of Tables</w:t>
      </w:r>
    </w:p>
    <w:p w14:paraId="3F57D12B" w14:textId="28C34A1A" w:rsidR="003D1967" w:rsidRPr="00887E2C" w:rsidRDefault="003D1967" w:rsidP="00E069EE">
      <w:pPr>
        <w:spacing w:after="120" w:line="240" w:lineRule="auto"/>
        <w:jc w:val="both"/>
        <w:rPr>
          <w:rFonts w:ascii="Baskerville Old Face" w:hAnsi="Baskerville Old Face"/>
          <w:sz w:val="21"/>
          <w:szCs w:val="21"/>
        </w:rPr>
      </w:pPr>
      <w:hyperlink w:anchor="Table1" w:history="1">
        <w:r w:rsidRPr="00887E2C">
          <w:rPr>
            <w:rStyle w:val="Hyperlink"/>
            <w:rFonts w:ascii="Baskerville Old Face" w:hAnsi="Baskerville Old Face"/>
            <w:color w:val="auto"/>
            <w:sz w:val="21"/>
            <w:szCs w:val="21"/>
            <w:u w:val="none"/>
            <w:lang w:val="en-GB"/>
          </w:rPr>
          <w:t>Table 1: 2023 NRA Operational Plan Activities Analysis</w:t>
        </w:r>
      </w:hyperlink>
    </w:p>
    <w:p w14:paraId="27003FF4" w14:textId="506F0FEB" w:rsidR="003D1967" w:rsidRPr="00887E2C" w:rsidRDefault="003D1967" w:rsidP="00E069EE">
      <w:pPr>
        <w:suppressAutoHyphens/>
        <w:autoSpaceDN w:val="0"/>
        <w:spacing w:after="120" w:line="240" w:lineRule="auto"/>
        <w:jc w:val="both"/>
        <w:rPr>
          <w:rFonts w:ascii="Baskerville Old Face" w:eastAsia="Calibri" w:hAnsi="Baskerville Old Face" w:cs="Times New Roman"/>
          <w:kern w:val="3"/>
          <w:sz w:val="21"/>
          <w:szCs w:val="21"/>
          <w14:ligatures w14:val="none"/>
        </w:rPr>
      </w:pPr>
      <w:hyperlink w:anchor="Table2" w:history="1">
        <w:r w:rsidRPr="00887E2C">
          <w:rPr>
            <w:rStyle w:val="Hyperlink"/>
            <w:rFonts w:ascii="Baskerville Old Face" w:eastAsia="Calibri" w:hAnsi="Baskerville Old Face" w:cs="Times New Roman"/>
            <w:color w:val="auto"/>
            <w:kern w:val="3"/>
            <w:sz w:val="21"/>
            <w:szCs w:val="21"/>
            <w:u w:val="none"/>
            <w:lang w:val="en-GB"/>
            <w14:ligatures w14:val="none"/>
          </w:rPr>
          <w:t>Table 2: Departmental analysis of the 2023 Operational Plan</w:t>
        </w:r>
      </w:hyperlink>
    </w:p>
    <w:p w14:paraId="203B5C97" w14:textId="60E069E0" w:rsidR="003D1967" w:rsidRPr="00887E2C" w:rsidRDefault="003D1967" w:rsidP="00E069EE">
      <w:pPr>
        <w:spacing w:after="120" w:line="240" w:lineRule="auto"/>
        <w:jc w:val="both"/>
        <w:rPr>
          <w:rFonts w:ascii="Baskerville Old Face" w:hAnsi="Baskerville Old Face" w:cs="Times New Roman"/>
          <w:sz w:val="21"/>
          <w:szCs w:val="21"/>
        </w:rPr>
      </w:pPr>
      <w:hyperlink w:anchor="Table4" w:history="1">
        <w:r w:rsidRPr="00887E2C">
          <w:rPr>
            <w:rStyle w:val="Hyperlink"/>
            <w:rFonts w:ascii="Baskerville Old Face" w:hAnsi="Baskerville Old Face" w:cs="Times New Roman"/>
            <w:color w:val="auto"/>
            <w:sz w:val="21"/>
            <w:szCs w:val="21"/>
            <w:u w:val="none"/>
          </w:rPr>
          <w:t xml:space="preserve">Table </w:t>
        </w:r>
        <w:r w:rsidR="006844B7">
          <w:rPr>
            <w:rStyle w:val="Hyperlink"/>
            <w:rFonts w:ascii="Baskerville Old Face" w:hAnsi="Baskerville Old Face" w:cs="Times New Roman"/>
            <w:color w:val="auto"/>
            <w:sz w:val="21"/>
            <w:szCs w:val="21"/>
            <w:u w:val="none"/>
          </w:rPr>
          <w:t>3</w:t>
        </w:r>
        <w:r w:rsidRPr="00887E2C">
          <w:rPr>
            <w:rStyle w:val="Hyperlink"/>
            <w:rFonts w:ascii="Baskerville Old Face" w:hAnsi="Baskerville Old Face" w:cs="Times New Roman"/>
            <w:color w:val="auto"/>
            <w:sz w:val="21"/>
            <w:szCs w:val="21"/>
            <w:u w:val="none"/>
          </w:rPr>
          <w:t xml:space="preserve">: 2023 </w:t>
        </w:r>
        <w:r w:rsidR="006844B7">
          <w:rPr>
            <w:rStyle w:val="Hyperlink"/>
            <w:rFonts w:ascii="Baskerville Old Face" w:hAnsi="Baskerville Old Face" w:cs="Times New Roman"/>
            <w:color w:val="auto"/>
            <w:sz w:val="21"/>
            <w:szCs w:val="21"/>
            <w:u w:val="none"/>
          </w:rPr>
          <w:t xml:space="preserve">Quarterly </w:t>
        </w:r>
        <w:r w:rsidRPr="00887E2C">
          <w:rPr>
            <w:rStyle w:val="Hyperlink"/>
            <w:rFonts w:ascii="Baskerville Old Face" w:hAnsi="Baskerville Old Face" w:cs="Times New Roman"/>
            <w:color w:val="auto"/>
            <w:sz w:val="21"/>
            <w:szCs w:val="21"/>
            <w:u w:val="none"/>
          </w:rPr>
          <w:t xml:space="preserve">Domestic Revenue Collection Relative to </w:t>
        </w:r>
        <w:r w:rsidR="006844B7">
          <w:rPr>
            <w:rStyle w:val="Hyperlink"/>
            <w:rFonts w:ascii="Baskerville Old Face" w:hAnsi="Baskerville Old Face" w:cs="Times New Roman"/>
            <w:color w:val="auto"/>
            <w:sz w:val="21"/>
            <w:szCs w:val="21"/>
            <w:u w:val="none"/>
          </w:rPr>
          <w:t>IMF</w:t>
        </w:r>
        <w:r w:rsidRPr="00887E2C">
          <w:rPr>
            <w:rStyle w:val="Hyperlink"/>
            <w:rFonts w:ascii="Baskerville Old Face" w:hAnsi="Baskerville Old Face" w:cs="Times New Roman"/>
            <w:color w:val="auto"/>
            <w:sz w:val="21"/>
            <w:szCs w:val="21"/>
            <w:u w:val="none"/>
          </w:rPr>
          <w:t xml:space="preserve"> Target (NLe Billion)</w:t>
        </w:r>
      </w:hyperlink>
    </w:p>
    <w:p w14:paraId="205BDA2F" w14:textId="3043CF8E" w:rsidR="003D1967" w:rsidRPr="00887E2C" w:rsidRDefault="003D1967" w:rsidP="00E069EE">
      <w:pPr>
        <w:spacing w:after="120" w:line="240" w:lineRule="auto"/>
        <w:jc w:val="both"/>
        <w:rPr>
          <w:rFonts w:ascii="Baskerville Old Face" w:hAnsi="Baskerville Old Face" w:cs="Times New Roman"/>
          <w:sz w:val="21"/>
          <w:szCs w:val="21"/>
        </w:rPr>
      </w:pPr>
      <w:hyperlink w:anchor="Table5" w:history="1">
        <w:r w:rsidRPr="00887E2C">
          <w:rPr>
            <w:rStyle w:val="Hyperlink"/>
            <w:rFonts w:ascii="Baskerville Old Face" w:hAnsi="Baskerville Old Face" w:cs="Times New Roman"/>
            <w:color w:val="auto"/>
            <w:sz w:val="21"/>
            <w:szCs w:val="21"/>
            <w:u w:val="none"/>
          </w:rPr>
          <w:t xml:space="preserve">Table </w:t>
        </w:r>
        <w:r w:rsidR="00F936EB">
          <w:rPr>
            <w:rStyle w:val="Hyperlink"/>
            <w:rFonts w:ascii="Baskerville Old Face" w:hAnsi="Baskerville Old Face" w:cs="Times New Roman"/>
            <w:color w:val="auto"/>
            <w:sz w:val="21"/>
            <w:szCs w:val="21"/>
            <w:u w:val="none"/>
          </w:rPr>
          <w:t>4</w:t>
        </w:r>
        <w:r w:rsidRPr="00887E2C">
          <w:rPr>
            <w:rStyle w:val="Hyperlink"/>
            <w:rFonts w:ascii="Baskerville Old Face" w:hAnsi="Baskerville Old Face" w:cs="Times New Roman"/>
            <w:color w:val="auto"/>
            <w:sz w:val="21"/>
            <w:szCs w:val="21"/>
            <w:u w:val="none"/>
          </w:rPr>
          <w:t>: 2023 Domestic Revenue Collection Relative to Original Target (NLe Billion)</w:t>
        </w:r>
      </w:hyperlink>
    </w:p>
    <w:p w14:paraId="1EEAABAE" w14:textId="69C23613" w:rsidR="006844B7" w:rsidRPr="00887E2C" w:rsidRDefault="006844B7" w:rsidP="006844B7">
      <w:pPr>
        <w:spacing w:after="120" w:line="240" w:lineRule="auto"/>
        <w:jc w:val="both"/>
        <w:rPr>
          <w:rFonts w:ascii="Baskerville Old Face" w:hAnsi="Baskerville Old Face" w:cs="Times New Roman"/>
          <w:sz w:val="21"/>
          <w:szCs w:val="21"/>
        </w:rPr>
      </w:pPr>
      <w:hyperlink w:anchor="Table3" w:history="1">
        <w:r w:rsidRPr="00887E2C">
          <w:rPr>
            <w:rStyle w:val="Hyperlink"/>
            <w:rFonts w:ascii="Baskerville Old Face" w:hAnsi="Baskerville Old Face" w:cs="Times New Roman"/>
            <w:color w:val="auto"/>
            <w:sz w:val="21"/>
            <w:szCs w:val="21"/>
            <w:u w:val="none"/>
          </w:rPr>
          <w:t xml:space="preserve">Table </w:t>
        </w:r>
        <w:r w:rsidR="00F936EB">
          <w:rPr>
            <w:rStyle w:val="Hyperlink"/>
            <w:rFonts w:ascii="Baskerville Old Face" w:hAnsi="Baskerville Old Face" w:cs="Times New Roman"/>
            <w:color w:val="auto"/>
            <w:sz w:val="21"/>
            <w:szCs w:val="21"/>
            <w:u w:val="none"/>
          </w:rPr>
          <w:t>5</w:t>
        </w:r>
        <w:r w:rsidRPr="00887E2C">
          <w:rPr>
            <w:rStyle w:val="Hyperlink"/>
            <w:rFonts w:ascii="Baskerville Old Face" w:hAnsi="Baskerville Old Face" w:cs="Times New Roman"/>
            <w:color w:val="auto"/>
            <w:sz w:val="21"/>
            <w:szCs w:val="21"/>
            <w:u w:val="none"/>
          </w:rPr>
          <w:t>: Domestic Revenue Collection: 2023 versus 2022 (NLe Billion)</w:t>
        </w:r>
      </w:hyperlink>
    </w:p>
    <w:p w14:paraId="7ECE01EE" w14:textId="1A47E233" w:rsidR="003D1967" w:rsidRPr="00887E2C" w:rsidRDefault="003D1967" w:rsidP="00E069EE">
      <w:pPr>
        <w:spacing w:after="120" w:line="240" w:lineRule="auto"/>
        <w:rPr>
          <w:rFonts w:ascii="Baskerville Old Face" w:hAnsi="Baskerville Old Face" w:cs="Times New Roman"/>
          <w:sz w:val="21"/>
          <w:szCs w:val="21"/>
        </w:rPr>
      </w:pPr>
      <w:hyperlink w:anchor="Table6" w:history="1">
        <w:r w:rsidRPr="00887E2C">
          <w:rPr>
            <w:rStyle w:val="Hyperlink"/>
            <w:rFonts w:ascii="Baskerville Old Face" w:hAnsi="Baskerville Old Face" w:cs="Times New Roman"/>
            <w:color w:val="auto"/>
            <w:sz w:val="21"/>
            <w:szCs w:val="21"/>
            <w:u w:val="none"/>
          </w:rPr>
          <w:t>Table 6: Duty Waiver by Category of Exemption, 2023 and 2022 (NLe Million)</w:t>
        </w:r>
      </w:hyperlink>
    </w:p>
    <w:p w14:paraId="402D04E4" w14:textId="71269296" w:rsidR="003D1967" w:rsidRPr="00887E2C" w:rsidRDefault="003D1967" w:rsidP="00E069EE">
      <w:pPr>
        <w:spacing w:after="120" w:line="240" w:lineRule="auto"/>
        <w:rPr>
          <w:rFonts w:ascii="Baskerville Old Face" w:hAnsi="Baskerville Old Face" w:cs="Times New Roman"/>
          <w:sz w:val="21"/>
          <w:szCs w:val="21"/>
        </w:rPr>
      </w:pPr>
      <w:hyperlink w:anchor="Table7" w:history="1">
        <w:r w:rsidRPr="00887E2C">
          <w:rPr>
            <w:rStyle w:val="Hyperlink"/>
            <w:rFonts w:ascii="Baskerville Old Face" w:hAnsi="Baskerville Old Face" w:cs="Times New Roman"/>
            <w:color w:val="auto"/>
            <w:sz w:val="21"/>
            <w:szCs w:val="21"/>
            <w:u w:val="none"/>
          </w:rPr>
          <w:t>Table 7: Duty Waiver for 2023 and 2022 by Sector Analysis in (NLe Million)</w:t>
        </w:r>
      </w:hyperlink>
    </w:p>
    <w:p w14:paraId="1A217B5E" w14:textId="27E85A98" w:rsidR="003D1967" w:rsidRPr="00887E2C" w:rsidRDefault="003D1967" w:rsidP="00E069EE">
      <w:pPr>
        <w:spacing w:after="120" w:line="240" w:lineRule="auto"/>
        <w:jc w:val="both"/>
        <w:rPr>
          <w:rFonts w:ascii="Baskerville Old Face" w:hAnsi="Baskerville Old Face" w:cs="Times New Roman"/>
          <w:sz w:val="21"/>
          <w:szCs w:val="21"/>
        </w:rPr>
      </w:pPr>
      <w:hyperlink w:anchor="Table8" w:history="1">
        <w:r w:rsidRPr="00887E2C">
          <w:rPr>
            <w:rStyle w:val="Hyperlink"/>
            <w:rFonts w:ascii="Baskerville Old Face" w:hAnsi="Baskerville Old Face" w:cs="Times New Roman"/>
            <w:color w:val="auto"/>
            <w:sz w:val="21"/>
            <w:szCs w:val="21"/>
            <w:u w:val="none"/>
          </w:rPr>
          <w:t>Table 8: Staff Strength by Gender 2023 and 2022</w:t>
        </w:r>
      </w:hyperlink>
    </w:p>
    <w:p w14:paraId="11868524" w14:textId="2C95176A" w:rsidR="003D1967" w:rsidRPr="00887E2C" w:rsidRDefault="003D1967" w:rsidP="00E069EE">
      <w:pPr>
        <w:spacing w:after="120" w:line="240" w:lineRule="auto"/>
        <w:jc w:val="both"/>
        <w:rPr>
          <w:rFonts w:ascii="Baskerville Old Face" w:hAnsi="Baskerville Old Face" w:cs="Times New Roman"/>
          <w:sz w:val="21"/>
          <w:szCs w:val="21"/>
        </w:rPr>
      </w:pPr>
      <w:hyperlink w:anchor="Table9" w:history="1">
        <w:r w:rsidRPr="00887E2C">
          <w:rPr>
            <w:rStyle w:val="Hyperlink"/>
            <w:rFonts w:ascii="Baskerville Old Face" w:hAnsi="Baskerville Old Face" w:cs="Times New Roman"/>
            <w:color w:val="auto"/>
            <w:sz w:val="21"/>
            <w:szCs w:val="21"/>
            <w:u w:val="none"/>
          </w:rPr>
          <w:t>Table 9: Staff Separation by Department, 2023 and 2022</w:t>
        </w:r>
      </w:hyperlink>
    </w:p>
    <w:p w14:paraId="70AE6E32" w14:textId="5BF0D93A" w:rsidR="003D1967" w:rsidRPr="00887E2C" w:rsidRDefault="003D1967" w:rsidP="00E069EE">
      <w:pPr>
        <w:spacing w:after="120" w:line="240" w:lineRule="auto"/>
        <w:jc w:val="both"/>
        <w:rPr>
          <w:rFonts w:ascii="Baskerville Old Face" w:hAnsi="Baskerville Old Face" w:cs="Times New Roman"/>
          <w:sz w:val="21"/>
          <w:szCs w:val="21"/>
        </w:rPr>
      </w:pPr>
      <w:hyperlink w:anchor="Table10" w:history="1">
        <w:r w:rsidRPr="00887E2C">
          <w:rPr>
            <w:rStyle w:val="Hyperlink"/>
            <w:rFonts w:ascii="Baskerville Old Face" w:hAnsi="Baskerville Old Face" w:cs="Times New Roman"/>
            <w:color w:val="auto"/>
            <w:sz w:val="21"/>
            <w:szCs w:val="21"/>
            <w:u w:val="none"/>
          </w:rPr>
          <w:t>Table 10: Staff Recruitment, Confirmation and Promotion, 2023</w:t>
        </w:r>
      </w:hyperlink>
    </w:p>
    <w:p w14:paraId="6EC6763D" w14:textId="4808FE45" w:rsidR="003D1967" w:rsidRPr="00887E2C" w:rsidRDefault="003D1967" w:rsidP="00E069EE">
      <w:pPr>
        <w:spacing w:after="120" w:line="240" w:lineRule="auto"/>
        <w:jc w:val="both"/>
        <w:rPr>
          <w:rFonts w:ascii="Baskerville Old Face" w:hAnsi="Baskerville Old Face" w:cs="Times New Roman"/>
          <w:sz w:val="21"/>
          <w:szCs w:val="21"/>
        </w:rPr>
      </w:pPr>
      <w:hyperlink w:anchor="Table11" w:history="1">
        <w:r w:rsidRPr="00887E2C">
          <w:rPr>
            <w:rStyle w:val="Hyperlink"/>
            <w:rFonts w:ascii="Baskerville Old Face" w:hAnsi="Baskerville Old Face" w:cs="Times New Roman"/>
            <w:color w:val="auto"/>
            <w:sz w:val="21"/>
            <w:szCs w:val="21"/>
            <w:u w:val="none"/>
          </w:rPr>
          <w:t>Table 11: Number of Training Participants by Department</w:t>
        </w:r>
      </w:hyperlink>
    </w:p>
    <w:p w14:paraId="4EB2E896" w14:textId="407F82A8"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12" w:history="1">
        <w:r w:rsidRPr="00887E2C">
          <w:rPr>
            <w:rStyle w:val="Hyperlink"/>
            <w:rFonts w:ascii="Baskerville Old Face" w:hAnsi="Baskerville Old Face" w:cs="Times New Roman"/>
            <w:color w:val="auto"/>
            <w:kern w:val="0"/>
            <w:sz w:val="21"/>
            <w:szCs w:val="21"/>
            <w:u w:val="none"/>
            <w:lang w:val="en-GB"/>
            <w14:ligatures w14:val="none"/>
          </w:rPr>
          <w:t>Table 12: Number of TIN Issued by Tax Office in 2023 and 2022</w:t>
        </w:r>
      </w:hyperlink>
    </w:p>
    <w:p w14:paraId="4091A805" w14:textId="30CC186F"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13" w:history="1">
        <w:r w:rsidRPr="00887E2C">
          <w:rPr>
            <w:rStyle w:val="Hyperlink"/>
            <w:rFonts w:ascii="Baskerville Old Face" w:hAnsi="Baskerville Old Face" w:cs="Times New Roman"/>
            <w:color w:val="auto"/>
            <w:kern w:val="0"/>
            <w:sz w:val="21"/>
            <w:szCs w:val="21"/>
            <w:u w:val="none"/>
            <w:lang w:val="en-GB"/>
            <w14:ligatures w14:val="none"/>
          </w:rPr>
          <w:t>Table 13: Average Compliance Rate by Tax Office in 2023 and 2022</w:t>
        </w:r>
      </w:hyperlink>
    </w:p>
    <w:p w14:paraId="2EE7A661" w14:textId="4B18A955" w:rsidR="003D1967" w:rsidRPr="00887E2C" w:rsidRDefault="003D1967" w:rsidP="00E069EE">
      <w:pPr>
        <w:spacing w:after="120" w:line="240" w:lineRule="auto"/>
        <w:jc w:val="both"/>
        <w:rPr>
          <w:rFonts w:ascii="Baskerville Old Face" w:hAnsi="Baskerville Old Face" w:cs="Times New Roman"/>
          <w:sz w:val="21"/>
          <w:szCs w:val="21"/>
        </w:rPr>
      </w:pPr>
      <w:hyperlink w:anchor="Table14" w:history="1">
        <w:r w:rsidRPr="00887E2C">
          <w:rPr>
            <w:rStyle w:val="Hyperlink"/>
            <w:rFonts w:ascii="Baskerville Old Face" w:hAnsi="Baskerville Old Face" w:cs="Times New Roman"/>
            <w:color w:val="auto"/>
            <w:sz w:val="21"/>
            <w:szCs w:val="21"/>
            <w:u w:val="none"/>
          </w:rPr>
          <w:t>Table 14: DTD Planned Tax Audit 2023</w:t>
        </w:r>
      </w:hyperlink>
    </w:p>
    <w:p w14:paraId="07E6938F" w14:textId="747C9944" w:rsidR="003D1967" w:rsidRPr="00887E2C" w:rsidRDefault="003D1967" w:rsidP="00E069EE">
      <w:pPr>
        <w:spacing w:after="120" w:line="240" w:lineRule="auto"/>
        <w:jc w:val="both"/>
        <w:rPr>
          <w:rFonts w:ascii="Baskerville Old Face" w:hAnsi="Baskerville Old Face" w:cs="Times New Roman"/>
          <w:sz w:val="21"/>
          <w:szCs w:val="21"/>
        </w:rPr>
      </w:pPr>
      <w:hyperlink w:anchor="Table15" w:history="1">
        <w:r w:rsidRPr="00887E2C">
          <w:rPr>
            <w:rStyle w:val="Hyperlink"/>
            <w:rFonts w:ascii="Baskerville Old Face" w:hAnsi="Baskerville Old Face" w:cs="Times New Roman"/>
            <w:color w:val="auto"/>
            <w:sz w:val="21"/>
            <w:szCs w:val="21"/>
            <w:u w:val="none"/>
          </w:rPr>
          <w:t>Table 15: LTO Tax Audit Liability 2023 and 2022 in NLe</w:t>
        </w:r>
      </w:hyperlink>
      <w:r w:rsidRPr="00887E2C">
        <w:rPr>
          <w:rFonts w:ascii="Baskerville Old Face" w:hAnsi="Baskerville Old Face" w:cs="Times New Roman"/>
          <w:sz w:val="21"/>
          <w:szCs w:val="21"/>
        </w:rPr>
        <w:t xml:space="preserve"> </w:t>
      </w:r>
    </w:p>
    <w:p w14:paraId="33B790E5" w14:textId="3FC25E75" w:rsidR="003D1967" w:rsidRPr="00887E2C" w:rsidRDefault="003D1967" w:rsidP="00E069EE">
      <w:pPr>
        <w:spacing w:after="120" w:line="240" w:lineRule="auto"/>
        <w:jc w:val="both"/>
        <w:rPr>
          <w:rFonts w:ascii="Baskerville Old Face" w:hAnsi="Baskerville Old Face" w:cs="Times New Roman"/>
          <w:sz w:val="21"/>
          <w:szCs w:val="21"/>
        </w:rPr>
      </w:pPr>
      <w:hyperlink w:anchor="Table16" w:history="1">
        <w:r w:rsidRPr="00887E2C">
          <w:rPr>
            <w:rStyle w:val="Hyperlink"/>
            <w:rFonts w:ascii="Baskerville Old Face" w:hAnsi="Baskerville Old Face" w:cs="Times New Roman"/>
            <w:color w:val="auto"/>
            <w:sz w:val="21"/>
            <w:szCs w:val="21"/>
            <w:u w:val="none"/>
          </w:rPr>
          <w:t>Table 16: SMTO Tax Audit Liability 2023 and 2022 in NLe</w:t>
        </w:r>
      </w:hyperlink>
    </w:p>
    <w:p w14:paraId="243E60A8" w14:textId="78F55CF8" w:rsidR="003D1967" w:rsidRPr="00887E2C" w:rsidRDefault="003D1967" w:rsidP="00E069EE">
      <w:pPr>
        <w:spacing w:after="120" w:line="240" w:lineRule="auto"/>
        <w:jc w:val="both"/>
        <w:rPr>
          <w:rFonts w:ascii="Baskerville Old Face" w:hAnsi="Baskerville Old Face" w:cs="Times New Roman"/>
          <w:sz w:val="21"/>
          <w:szCs w:val="21"/>
        </w:rPr>
      </w:pPr>
      <w:hyperlink w:anchor="Table17" w:history="1">
        <w:r w:rsidRPr="00887E2C">
          <w:rPr>
            <w:rStyle w:val="Hyperlink"/>
            <w:rFonts w:ascii="Baskerville Old Face" w:hAnsi="Baskerville Old Face" w:cs="Times New Roman"/>
            <w:color w:val="auto"/>
            <w:sz w:val="21"/>
            <w:szCs w:val="21"/>
            <w:u w:val="none"/>
          </w:rPr>
          <w:t>Table 17: EIRU Tax Audit Liability (2023 and 2022) in NLe and USD</w:t>
        </w:r>
      </w:hyperlink>
    </w:p>
    <w:p w14:paraId="4391A490" w14:textId="66BF7000" w:rsidR="00A01452" w:rsidRPr="00887E2C" w:rsidRDefault="003D1967" w:rsidP="00E069EE">
      <w:pPr>
        <w:spacing w:after="120" w:line="240" w:lineRule="auto"/>
        <w:rPr>
          <w:rFonts w:ascii="Baskerville Old Face" w:hAnsi="Baskerville Old Face" w:cs="Times New Roman"/>
          <w:sz w:val="21"/>
          <w:szCs w:val="21"/>
        </w:rPr>
      </w:pPr>
      <w:hyperlink w:anchor="Table18" w:history="1">
        <w:r w:rsidRPr="00887E2C">
          <w:rPr>
            <w:rStyle w:val="Hyperlink"/>
            <w:rFonts w:ascii="Baskerville Old Face" w:hAnsi="Baskerville Old Face" w:cs="Times New Roman"/>
            <w:color w:val="auto"/>
            <w:sz w:val="21"/>
            <w:szCs w:val="21"/>
            <w:u w:val="none"/>
          </w:rPr>
          <w:t>Table 18: DTD Arrears by Tax Type and Office, 2023</w:t>
        </w:r>
      </w:hyperlink>
    </w:p>
    <w:p w14:paraId="24047661" w14:textId="71B5B792" w:rsidR="00606C10" w:rsidRPr="00887E2C" w:rsidRDefault="003D1967" w:rsidP="00E069EE">
      <w:pPr>
        <w:spacing w:after="120" w:line="240" w:lineRule="auto"/>
        <w:rPr>
          <w:rFonts w:ascii="Baskerville Old Face" w:hAnsi="Baskerville Old Face" w:cs="Times New Roman"/>
          <w:sz w:val="21"/>
          <w:szCs w:val="21"/>
        </w:rPr>
      </w:pPr>
      <w:hyperlink w:anchor="Table19" w:history="1">
        <w:r w:rsidRPr="00887E2C">
          <w:rPr>
            <w:rStyle w:val="Hyperlink"/>
            <w:rFonts w:ascii="Baskerville Old Face" w:hAnsi="Baskerville Old Face" w:cs="Times New Roman"/>
            <w:color w:val="auto"/>
            <w:sz w:val="21"/>
            <w:szCs w:val="21"/>
            <w:u w:val="none"/>
          </w:rPr>
          <w:t>Table 19</w:t>
        </w:r>
        <w:proofErr w:type="gramStart"/>
        <w:r w:rsidRPr="00887E2C">
          <w:rPr>
            <w:rStyle w:val="Hyperlink"/>
            <w:rFonts w:ascii="Baskerville Old Face" w:hAnsi="Baskerville Old Face" w:cs="Times New Roman"/>
            <w:color w:val="auto"/>
            <w:sz w:val="21"/>
            <w:szCs w:val="21"/>
            <w:u w:val="none"/>
          </w:rPr>
          <w:t>:  DTD</w:t>
        </w:r>
        <w:proofErr w:type="gramEnd"/>
        <w:r w:rsidRPr="00887E2C">
          <w:rPr>
            <w:rStyle w:val="Hyperlink"/>
            <w:rFonts w:ascii="Baskerville Old Face" w:hAnsi="Baskerville Old Face" w:cs="Times New Roman"/>
            <w:color w:val="auto"/>
            <w:sz w:val="21"/>
            <w:szCs w:val="21"/>
            <w:u w:val="none"/>
          </w:rPr>
          <w:t xml:space="preserve"> Revenue Raised from Enforcement Activities, 2023</w:t>
        </w:r>
      </w:hyperlink>
    </w:p>
    <w:p w14:paraId="17510B59" w14:textId="4C5D4977" w:rsidR="00A01452" w:rsidRPr="00887E2C" w:rsidRDefault="003D1967" w:rsidP="00E069EE">
      <w:pPr>
        <w:spacing w:after="120" w:line="240" w:lineRule="auto"/>
        <w:rPr>
          <w:rFonts w:ascii="Baskerville Old Face" w:hAnsi="Baskerville Old Face" w:cs="Times New Roman"/>
          <w:sz w:val="21"/>
          <w:szCs w:val="21"/>
        </w:rPr>
      </w:pPr>
      <w:hyperlink w:anchor="Table20" w:history="1">
        <w:r w:rsidRPr="00887E2C">
          <w:rPr>
            <w:rStyle w:val="Hyperlink"/>
            <w:rFonts w:ascii="Baskerville Old Face" w:hAnsi="Baskerville Old Face" w:cs="Times New Roman"/>
            <w:color w:val="auto"/>
            <w:sz w:val="21"/>
            <w:szCs w:val="21"/>
            <w:u w:val="none"/>
          </w:rPr>
          <w:t>Table 20: CSD Credit Liability 2023</w:t>
        </w:r>
      </w:hyperlink>
    </w:p>
    <w:p w14:paraId="62AED657" w14:textId="37A6CA7F" w:rsidR="003D1967" w:rsidRPr="00887E2C" w:rsidRDefault="003D1967" w:rsidP="00E069EE">
      <w:pPr>
        <w:spacing w:after="120" w:line="240" w:lineRule="auto"/>
        <w:jc w:val="both"/>
        <w:rPr>
          <w:rFonts w:ascii="Baskerville Old Face" w:hAnsi="Baskerville Old Face" w:cs="Times New Roman"/>
          <w:sz w:val="21"/>
          <w:szCs w:val="21"/>
        </w:rPr>
      </w:pPr>
      <w:hyperlink w:anchor="Table21" w:history="1">
        <w:r w:rsidRPr="00887E2C">
          <w:rPr>
            <w:rStyle w:val="Hyperlink"/>
            <w:rFonts w:ascii="Baskerville Old Face" w:hAnsi="Baskerville Old Face" w:cs="Times New Roman"/>
            <w:color w:val="auto"/>
            <w:sz w:val="21"/>
            <w:szCs w:val="21"/>
            <w:u w:val="none"/>
          </w:rPr>
          <w:t>Table 21: Number of profiled Importers by Selectivity Lane in 2023</w:t>
        </w:r>
      </w:hyperlink>
    </w:p>
    <w:p w14:paraId="6861BC57" w14:textId="58C85D2A" w:rsidR="003D1967" w:rsidRPr="00887E2C" w:rsidRDefault="003D1967" w:rsidP="00E069EE">
      <w:pPr>
        <w:spacing w:after="120" w:line="240" w:lineRule="auto"/>
        <w:jc w:val="both"/>
        <w:rPr>
          <w:rFonts w:ascii="Baskerville Old Face" w:hAnsi="Baskerville Old Face" w:cs="Times New Roman"/>
          <w:sz w:val="21"/>
          <w:szCs w:val="21"/>
        </w:rPr>
      </w:pPr>
      <w:hyperlink w:anchor="Table22" w:history="1">
        <w:r w:rsidRPr="00887E2C">
          <w:rPr>
            <w:rStyle w:val="Hyperlink"/>
            <w:rFonts w:ascii="Baskerville Old Face" w:hAnsi="Baskerville Old Face" w:cs="Times New Roman"/>
            <w:color w:val="auto"/>
            <w:sz w:val="21"/>
            <w:szCs w:val="21"/>
            <w:u w:val="none"/>
          </w:rPr>
          <w:t>Table 22: Revenue Raised by the Risk Management Unit, 2023</w:t>
        </w:r>
      </w:hyperlink>
    </w:p>
    <w:p w14:paraId="088355A9" w14:textId="4574C788" w:rsidR="003D1967" w:rsidRPr="00887E2C" w:rsidRDefault="003D1967" w:rsidP="00E069EE">
      <w:pPr>
        <w:spacing w:after="120" w:line="240" w:lineRule="auto"/>
        <w:jc w:val="both"/>
        <w:rPr>
          <w:rFonts w:ascii="Baskerville Old Face" w:hAnsi="Baskerville Old Face" w:cs="Times New Roman"/>
          <w:sz w:val="21"/>
          <w:szCs w:val="21"/>
        </w:rPr>
      </w:pPr>
      <w:hyperlink w:anchor="Table23" w:history="1">
        <w:r w:rsidRPr="00887E2C">
          <w:rPr>
            <w:rStyle w:val="Hyperlink"/>
            <w:rFonts w:ascii="Baskerville Old Face" w:hAnsi="Baskerville Old Face" w:cs="Times New Roman"/>
            <w:color w:val="auto"/>
            <w:sz w:val="21"/>
            <w:szCs w:val="21"/>
            <w:u w:val="none"/>
          </w:rPr>
          <w:t>Table 23: value uplift and the corresponding additional revenue generated by the Trade and Tariff Unit, 2023</w:t>
        </w:r>
      </w:hyperlink>
    </w:p>
    <w:p w14:paraId="3179F822" w14:textId="4B7AE2C1"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24" w:history="1">
        <w:r w:rsidRPr="00887E2C">
          <w:rPr>
            <w:rStyle w:val="Hyperlink"/>
            <w:rFonts w:ascii="Baskerville Old Face" w:hAnsi="Baskerville Old Face" w:cs="Times New Roman"/>
            <w:color w:val="auto"/>
            <w:sz w:val="21"/>
            <w:szCs w:val="21"/>
            <w:u w:val="none"/>
          </w:rPr>
          <w:t>Table 24: Dutiable</w:t>
        </w:r>
        <w:r w:rsidRPr="00887E2C">
          <w:rPr>
            <w:rStyle w:val="Hyperlink"/>
            <w:rFonts w:ascii="Baskerville Old Face" w:hAnsi="Baskerville Old Face" w:cs="Times New Roman"/>
            <w:color w:val="auto"/>
            <w:kern w:val="0"/>
            <w:sz w:val="21"/>
            <w:szCs w:val="21"/>
            <w:u w:val="none"/>
            <w:lang w:val="en-GB"/>
            <w14:ligatures w14:val="none"/>
          </w:rPr>
          <w:t xml:space="preserve"> Imports CIF Value 2023 and 2022 (NLe)</w:t>
        </w:r>
      </w:hyperlink>
    </w:p>
    <w:p w14:paraId="2F30EB9F" w14:textId="158E4057" w:rsidR="003D1967" w:rsidRPr="00887E2C" w:rsidRDefault="003D1967" w:rsidP="00E069EE">
      <w:pPr>
        <w:spacing w:after="120" w:line="240" w:lineRule="auto"/>
        <w:rPr>
          <w:rFonts w:ascii="Baskerville Old Face" w:hAnsi="Baskerville Old Face" w:cs="Times New Roman"/>
          <w:kern w:val="0"/>
          <w:sz w:val="21"/>
          <w:szCs w:val="21"/>
          <w:lang w:val="en-GB"/>
          <w14:ligatures w14:val="none"/>
        </w:rPr>
      </w:pPr>
      <w:hyperlink w:anchor="Table25" w:history="1">
        <w:r w:rsidRPr="00887E2C">
          <w:rPr>
            <w:rStyle w:val="Hyperlink"/>
            <w:rFonts w:ascii="Baskerville Old Face" w:hAnsi="Baskerville Old Face" w:cs="Times New Roman"/>
            <w:color w:val="auto"/>
            <w:kern w:val="0"/>
            <w:sz w:val="21"/>
            <w:szCs w:val="21"/>
            <w:u w:val="none"/>
            <w:lang w:val="en-GB"/>
            <w14:ligatures w14:val="none"/>
          </w:rPr>
          <w:t>Table 25: Non-Dutiable Imports CIF Value 2023 and 2022 (NLe)</w:t>
        </w:r>
      </w:hyperlink>
    </w:p>
    <w:p w14:paraId="02CC003E" w14:textId="0F90F8E0" w:rsidR="003D1967" w:rsidRPr="00887E2C" w:rsidRDefault="003D1967" w:rsidP="00E069EE">
      <w:pPr>
        <w:spacing w:after="120" w:line="240" w:lineRule="auto"/>
        <w:jc w:val="both"/>
        <w:rPr>
          <w:rFonts w:ascii="Baskerville Old Face" w:hAnsi="Baskerville Old Face" w:cs="Times New Roman"/>
          <w:kern w:val="0"/>
          <w:sz w:val="21"/>
          <w:szCs w:val="21"/>
          <w:lang w:val="en-GB"/>
          <w14:ligatures w14:val="none"/>
        </w:rPr>
      </w:pPr>
      <w:hyperlink w:anchor="Table26" w:history="1">
        <w:r w:rsidRPr="00887E2C">
          <w:rPr>
            <w:rStyle w:val="Hyperlink"/>
            <w:rFonts w:ascii="Baskerville Old Face" w:hAnsi="Baskerville Old Face" w:cs="Times New Roman"/>
            <w:color w:val="auto"/>
            <w:kern w:val="0"/>
            <w:sz w:val="21"/>
            <w:szCs w:val="21"/>
            <w:u w:val="none"/>
            <w:lang w:val="en-GB"/>
            <w14:ligatures w14:val="none"/>
          </w:rPr>
          <w:t>Table 26: Major Imports Origin* 2023 and 2022 (NLe)</w:t>
        </w:r>
      </w:hyperlink>
    </w:p>
    <w:p w14:paraId="6731F6F4" w14:textId="673B1A2C"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27" w:history="1">
        <w:r w:rsidRPr="00887E2C">
          <w:rPr>
            <w:rStyle w:val="Hyperlink"/>
            <w:rFonts w:ascii="Baskerville Old Face" w:hAnsi="Baskerville Old Face" w:cs="Times New Roman"/>
            <w:color w:val="auto"/>
            <w:sz w:val="21"/>
            <w:szCs w:val="21"/>
            <w:u w:val="none"/>
            <w:lang w:val="en-GB"/>
          </w:rPr>
          <w:t>Table 27: Containers Examined and Released 2023 and 2022 by the Container Unit</w:t>
        </w:r>
      </w:hyperlink>
    </w:p>
    <w:p w14:paraId="02DBE3D6" w14:textId="757BCBD2" w:rsidR="003D1967" w:rsidRPr="00887E2C" w:rsidRDefault="003D1967" w:rsidP="00E069EE">
      <w:pPr>
        <w:spacing w:after="120" w:line="240" w:lineRule="auto"/>
        <w:jc w:val="both"/>
        <w:rPr>
          <w:rFonts w:ascii="Baskerville Old Face" w:hAnsi="Baskerville Old Face"/>
          <w:sz w:val="21"/>
          <w:szCs w:val="21"/>
        </w:rPr>
      </w:pPr>
      <w:hyperlink w:anchor="Table28" w:history="1">
        <w:r w:rsidRPr="00887E2C">
          <w:rPr>
            <w:rStyle w:val="Hyperlink"/>
            <w:rFonts w:ascii="Baskerville Old Face" w:hAnsi="Baskerville Old Face"/>
            <w:color w:val="auto"/>
            <w:sz w:val="21"/>
            <w:szCs w:val="21"/>
            <w:u w:val="none"/>
          </w:rPr>
          <w:t>Table 28: Number of Containers Examined and Released 2023 and 2022 by the Baggage Unit</w:t>
        </w:r>
      </w:hyperlink>
    </w:p>
    <w:p w14:paraId="48C03027" w14:textId="67C187AC" w:rsidR="003D1967" w:rsidRPr="00887E2C" w:rsidRDefault="003D1967" w:rsidP="00E069EE">
      <w:pPr>
        <w:spacing w:after="120" w:line="240" w:lineRule="auto"/>
        <w:jc w:val="both"/>
        <w:rPr>
          <w:rFonts w:ascii="Baskerville Old Face" w:eastAsia="Times New Roman" w:hAnsi="Baskerville Old Face" w:cs="Times New Roman"/>
          <w:sz w:val="21"/>
          <w:szCs w:val="21"/>
          <w:lang w:val="en-GB"/>
        </w:rPr>
      </w:pPr>
      <w:hyperlink w:anchor="Table28" w:history="1">
        <w:r w:rsidRPr="00887E2C">
          <w:rPr>
            <w:rStyle w:val="Hyperlink"/>
            <w:rFonts w:ascii="Baskerville Old Face" w:hAnsi="Baskerville Old Face" w:cs="Times New Roman"/>
            <w:color w:val="auto"/>
            <w:sz w:val="21"/>
            <w:szCs w:val="21"/>
            <w:u w:val="none"/>
            <w:lang w:val="en-GB"/>
          </w:rPr>
          <w:t>Table 29:</w:t>
        </w:r>
        <w:r w:rsidRPr="00887E2C">
          <w:rPr>
            <w:rStyle w:val="Hyperlink"/>
            <w:rFonts w:ascii="Baskerville Old Face" w:eastAsia="Times New Roman" w:hAnsi="Baskerville Old Face" w:cs="Times New Roman"/>
            <w:color w:val="auto"/>
            <w:sz w:val="21"/>
            <w:szCs w:val="21"/>
            <w:u w:val="none"/>
            <w:lang w:val="en-GB"/>
          </w:rPr>
          <w:t xml:space="preserve"> Number of Declarations and Revenue Collection by the Vehicle Unit in 2023 and 2022 (NLe)</w:t>
        </w:r>
      </w:hyperlink>
    </w:p>
    <w:p w14:paraId="100436D8" w14:textId="07CB53F8"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30" w:history="1">
        <w:r w:rsidRPr="00887E2C">
          <w:rPr>
            <w:rStyle w:val="Hyperlink"/>
            <w:rFonts w:ascii="Baskerville Old Face" w:hAnsi="Baskerville Old Face" w:cs="Times New Roman"/>
            <w:color w:val="auto"/>
            <w:sz w:val="21"/>
            <w:szCs w:val="21"/>
            <w:u w:val="none"/>
            <w:lang w:val="en-GB"/>
          </w:rPr>
          <w:t>Table 30: Number of Scanned Containers (Import and Export), 2023 and 2022</w:t>
        </w:r>
      </w:hyperlink>
      <w:r w:rsidRPr="00887E2C">
        <w:rPr>
          <w:rFonts w:ascii="Baskerville Old Face" w:hAnsi="Baskerville Old Face" w:cs="Times New Roman"/>
          <w:sz w:val="21"/>
          <w:szCs w:val="21"/>
          <w:lang w:val="en-GB"/>
        </w:rPr>
        <w:t xml:space="preserve"> </w:t>
      </w:r>
    </w:p>
    <w:p w14:paraId="0CB8AB74" w14:textId="7C6C8EF8"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31" w:history="1">
        <w:r w:rsidRPr="00887E2C">
          <w:rPr>
            <w:rStyle w:val="Hyperlink"/>
            <w:rFonts w:ascii="Baskerville Old Face" w:hAnsi="Baskerville Old Face" w:cs="Times New Roman"/>
            <w:color w:val="auto"/>
            <w:sz w:val="21"/>
            <w:szCs w:val="21"/>
            <w:u w:val="none"/>
            <w:lang w:val="en-GB"/>
          </w:rPr>
          <w:t>Table 31: Total Number of Containers (Import &amp; Export) in 2023</w:t>
        </w:r>
      </w:hyperlink>
    </w:p>
    <w:p w14:paraId="23963059" w14:textId="2A6AFDBB" w:rsidR="003D1967" w:rsidRPr="00887E2C" w:rsidRDefault="003D1967" w:rsidP="00E069EE">
      <w:pPr>
        <w:spacing w:after="120" w:line="240" w:lineRule="auto"/>
        <w:jc w:val="both"/>
        <w:rPr>
          <w:rFonts w:ascii="Baskerville Old Face" w:hAnsi="Baskerville Old Face" w:cs="Times New Roman"/>
          <w:sz w:val="21"/>
          <w:szCs w:val="21"/>
          <w:lang w:val="en-GB"/>
        </w:rPr>
      </w:pPr>
      <w:hyperlink w:anchor="Table32" w:history="1">
        <w:r w:rsidRPr="00887E2C">
          <w:rPr>
            <w:rStyle w:val="Hyperlink"/>
            <w:rFonts w:ascii="Baskerville Old Face" w:hAnsi="Baskerville Old Face" w:cs="Times New Roman"/>
            <w:color w:val="auto"/>
            <w:sz w:val="21"/>
            <w:szCs w:val="21"/>
            <w:u w:val="none"/>
            <w:lang w:val="en-GB"/>
          </w:rPr>
          <w:t>Table 32: Monthly Summary of Additional Revenue Generated from Unsatisfactory Scanned Reports, 2023 (NLe)</w:t>
        </w:r>
      </w:hyperlink>
    </w:p>
    <w:p w14:paraId="53C98A71" w14:textId="109AA32D" w:rsidR="003D1967" w:rsidRPr="00887E2C" w:rsidRDefault="003D1967" w:rsidP="00E069EE">
      <w:pPr>
        <w:spacing w:after="120" w:line="240" w:lineRule="auto"/>
        <w:jc w:val="both"/>
        <w:rPr>
          <w:rFonts w:ascii="Baskerville Old Face" w:hAnsi="Baskerville Old Face" w:cs="Times New Roman"/>
          <w:sz w:val="21"/>
          <w:szCs w:val="21"/>
        </w:rPr>
      </w:pPr>
      <w:hyperlink w:anchor="Table33" w:history="1">
        <w:r w:rsidRPr="00887E2C">
          <w:rPr>
            <w:rStyle w:val="Hyperlink"/>
            <w:rFonts w:ascii="Baskerville Old Face" w:hAnsi="Baskerville Old Face" w:cs="Times New Roman"/>
            <w:color w:val="auto"/>
            <w:sz w:val="21"/>
            <w:szCs w:val="21"/>
            <w:u w:val="none"/>
          </w:rPr>
          <w:t>Table 33: 2024 Domestic Revenue Target (NLe Thousand)</w:t>
        </w:r>
      </w:hyperlink>
    </w:p>
    <w:p w14:paraId="566C49A9" w14:textId="77777777" w:rsidR="003D1967" w:rsidRPr="003D1967" w:rsidRDefault="003D1967" w:rsidP="00625BF5">
      <w:pPr>
        <w:jc w:val="center"/>
        <w:rPr>
          <w:rFonts w:ascii="Baskerville Old Face" w:hAnsi="Baskerville Old Face" w:cs="Times New Roman"/>
          <w:kern w:val="0"/>
          <w:sz w:val="28"/>
          <w:szCs w:val="28"/>
          <w14:ligatures w14:val="none"/>
        </w:rPr>
      </w:pPr>
    </w:p>
    <w:p w14:paraId="48D94059" w14:textId="244B5B8B" w:rsidR="00AF50B6" w:rsidRDefault="00AF50B6" w:rsidP="00AF50B6">
      <w:pPr>
        <w:jc w:val="center"/>
        <w:rPr>
          <w:rFonts w:ascii="Baskerville Old Face" w:hAnsi="Baskerville Old Face" w:cs="Times New Roman"/>
          <w:kern w:val="0"/>
          <w:sz w:val="28"/>
          <w:szCs w:val="28"/>
          <w:lang w:val="en-GB"/>
          <w14:ligatures w14:val="none"/>
        </w:rPr>
      </w:pPr>
      <w:r w:rsidRPr="004F2ED1">
        <w:rPr>
          <w:rFonts w:ascii="Baskerville Old Face" w:hAnsi="Baskerville Old Face" w:cs="Times New Roman"/>
          <w:kern w:val="0"/>
          <w:sz w:val="28"/>
          <w:szCs w:val="28"/>
          <w:lang w:val="en-GB"/>
          <w14:ligatures w14:val="none"/>
        </w:rPr>
        <w:lastRenderedPageBreak/>
        <w:t xml:space="preserve">List of </w:t>
      </w:r>
      <w:r w:rsidR="00EB32B0" w:rsidRPr="004F2ED1">
        <w:rPr>
          <w:rFonts w:ascii="Baskerville Old Face" w:hAnsi="Baskerville Old Face" w:cs="Times New Roman"/>
          <w:kern w:val="0"/>
          <w:sz w:val="28"/>
          <w:szCs w:val="28"/>
          <w:lang w:val="en-GB"/>
          <w14:ligatures w14:val="none"/>
        </w:rPr>
        <w:t>Figures</w:t>
      </w:r>
    </w:p>
    <w:p w14:paraId="0B53CC44" w14:textId="77777777" w:rsidR="008227C1" w:rsidRDefault="008227C1" w:rsidP="00AF50B6">
      <w:pPr>
        <w:jc w:val="center"/>
        <w:rPr>
          <w:rFonts w:ascii="Baskerville Old Face" w:hAnsi="Baskerville Old Face" w:cs="Times New Roman"/>
          <w:kern w:val="0"/>
          <w:sz w:val="28"/>
          <w:szCs w:val="28"/>
          <w:lang w:val="en-GB"/>
          <w14:ligatures w14:val="none"/>
        </w:rPr>
      </w:pPr>
    </w:p>
    <w:p w14:paraId="4BD8A427" w14:textId="4CB526B8" w:rsidR="00542E89" w:rsidRPr="00887E2C" w:rsidRDefault="00542E89" w:rsidP="00887E2C">
      <w:pPr>
        <w:spacing w:line="240" w:lineRule="auto"/>
        <w:jc w:val="both"/>
        <w:rPr>
          <w:rFonts w:ascii="Baskerville Old Face" w:hAnsi="Baskerville Old Face" w:cs="Times New Roman"/>
          <w:kern w:val="0"/>
          <w:sz w:val="21"/>
          <w:szCs w:val="21"/>
          <w:lang w:val="en-GB"/>
          <w14:ligatures w14:val="none"/>
        </w:rPr>
      </w:pPr>
      <w:hyperlink w:anchor="Figure1" w:history="1">
        <w:r w:rsidRPr="00887E2C">
          <w:rPr>
            <w:rStyle w:val="Hyperlink"/>
            <w:rFonts w:ascii="Baskerville Old Face" w:hAnsi="Baskerville Old Face" w:cs="Times New Roman"/>
            <w:color w:val="auto"/>
            <w:kern w:val="0"/>
            <w:sz w:val="21"/>
            <w:szCs w:val="21"/>
            <w:u w:val="none"/>
            <w:lang w:val="en-GB"/>
            <w14:ligatures w14:val="none"/>
          </w:rPr>
          <w:t>Figure 1: The Vision, Mission, and Mandate of the NRA</w:t>
        </w:r>
      </w:hyperlink>
    </w:p>
    <w:p w14:paraId="511E4F26" w14:textId="08800A6F" w:rsidR="00542E89" w:rsidRPr="00887E2C" w:rsidRDefault="00542E89" w:rsidP="00887E2C">
      <w:pPr>
        <w:spacing w:line="240" w:lineRule="auto"/>
        <w:rPr>
          <w:rFonts w:ascii="Baskerville Old Face" w:hAnsi="Baskerville Old Face" w:cs="Times New Roman"/>
          <w:sz w:val="21"/>
          <w:szCs w:val="21"/>
        </w:rPr>
      </w:pPr>
      <w:hyperlink w:anchor="Figure2" w:history="1">
        <w:r w:rsidRPr="00887E2C">
          <w:rPr>
            <w:rStyle w:val="Hyperlink"/>
            <w:rFonts w:ascii="Baskerville Old Face" w:hAnsi="Baskerville Old Face" w:cs="Times New Roman"/>
            <w:color w:val="auto"/>
            <w:sz w:val="21"/>
            <w:szCs w:val="21"/>
            <w:u w:val="none"/>
          </w:rPr>
          <w:t>Figure 2: NRA’s Core Values</w:t>
        </w:r>
      </w:hyperlink>
    </w:p>
    <w:p w14:paraId="12CF3CA0" w14:textId="55DF6DB7" w:rsidR="00542E89" w:rsidRPr="00887E2C" w:rsidRDefault="00542E89" w:rsidP="00887E2C">
      <w:pPr>
        <w:spacing w:line="240" w:lineRule="auto"/>
        <w:rPr>
          <w:rFonts w:ascii="Baskerville Old Face" w:hAnsi="Baskerville Old Face" w:cs="Times New Roman"/>
          <w:kern w:val="0"/>
          <w:sz w:val="21"/>
          <w:szCs w:val="21"/>
          <w14:ligatures w14:val="none"/>
        </w:rPr>
      </w:pPr>
      <w:hyperlink w:anchor="Figure3" w:history="1">
        <w:r w:rsidRPr="00887E2C">
          <w:rPr>
            <w:rStyle w:val="Hyperlink"/>
            <w:rFonts w:ascii="Baskerville Old Face" w:hAnsi="Baskerville Old Face" w:cs="Times New Roman"/>
            <w:color w:val="auto"/>
            <w:kern w:val="0"/>
            <w:sz w:val="21"/>
            <w:szCs w:val="21"/>
            <w:u w:val="none"/>
            <w:lang w:val="en-GB"/>
            <w14:ligatures w14:val="none"/>
          </w:rPr>
          <w:t>Figure 3: NRA Organogram</w:t>
        </w:r>
      </w:hyperlink>
    </w:p>
    <w:p w14:paraId="3355751B" w14:textId="78BC501C" w:rsidR="00542E89" w:rsidRPr="00887E2C" w:rsidRDefault="00542E89" w:rsidP="00887E2C">
      <w:pPr>
        <w:spacing w:line="240" w:lineRule="auto"/>
        <w:rPr>
          <w:rFonts w:ascii="Baskerville Old Face" w:hAnsi="Baskerville Old Face" w:cs="Times New Roman"/>
          <w:sz w:val="21"/>
          <w:szCs w:val="21"/>
        </w:rPr>
      </w:pPr>
      <w:hyperlink w:anchor="Figure4" w:history="1">
        <w:r w:rsidRPr="00887E2C">
          <w:rPr>
            <w:rStyle w:val="Hyperlink"/>
            <w:rFonts w:ascii="Baskerville Old Face" w:hAnsi="Baskerville Old Face" w:cs="Times New Roman"/>
            <w:color w:val="auto"/>
            <w:sz w:val="21"/>
            <w:szCs w:val="21"/>
            <w:u w:val="none"/>
          </w:rPr>
          <w:t>Figure 4: Quarterly Trend of 2023 Domestic Revenue (NLe Billion)</w:t>
        </w:r>
      </w:hyperlink>
      <w:r w:rsidRPr="00887E2C">
        <w:rPr>
          <w:rFonts w:ascii="Baskerville Old Face" w:hAnsi="Baskerville Old Face" w:cs="Times New Roman"/>
          <w:sz w:val="21"/>
          <w:szCs w:val="21"/>
        </w:rPr>
        <w:t xml:space="preserve"> </w:t>
      </w:r>
    </w:p>
    <w:p w14:paraId="707A6260" w14:textId="74C628C5" w:rsidR="00542E89" w:rsidRPr="00887E2C" w:rsidRDefault="00542E89" w:rsidP="00887E2C">
      <w:pPr>
        <w:spacing w:line="240" w:lineRule="auto"/>
        <w:jc w:val="both"/>
        <w:rPr>
          <w:rFonts w:ascii="Baskerville Old Face" w:hAnsi="Baskerville Old Face" w:cs="Times New Roman"/>
          <w:sz w:val="21"/>
          <w:szCs w:val="21"/>
        </w:rPr>
      </w:pPr>
      <w:hyperlink w:anchor="Figure5" w:history="1">
        <w:r w:rsidRPr="00887E2C">
          <w:rPr>
            <w:rStyle w:val="Hyperlink"/>
            <w:rFonts w:ascii="Baskerville Old Face" w:hAnsi="Baskerville Old Face" w:cs="Times New Roman"/>
            <w:color w:val="auto"/>
            <w:sz w:val="21"/>
            <w:szCs w:val="21"/>
            <w:u w:val="none"/>
          </w:rPr>
          <w:t>Figure 5: Revenue Performance in the Past Five Years</w:t>
        </w:r>
      </w:hyperlink>
      <w:r w:rsidRPr="00887E2C">
        <w:rPr>
          <w:rFonts w:ascii="Baskerville Old Face" w:hAnsi="Baskerville Old Face" w:cs="Times New Roman"/>
          <w:sz w:val="21"/>
          <w:szCs w:val="21"/>
        </w:rPr>
        <w:t xml:space="preserve"> </w:t>
      </w:r>
    </w:p>
    <w:p w14:paraId="221CE75A" w14:textId="1AB9A546" w:rsidR="00542E89" w:rsidRPr="00887E2C" w:rsidRDefault="00542E89" w:rsidP="00887E2C">
      <w:pPr>
        <w:spacing w:line="240" w:lineRule="auto"/>
        <w:jc w:val="both"/>
        <w:rPr>
          <w:rFonts w:ascii="Baskerville Old Face" w:hAnsi="Baskerville Old Face" w:cs="Times New Roman"/>
          <w:sz w:val="21"/>
          <w:szCs w:val="21"/>
        </w:rPr>
      </w:pPr>
      <w:hyperlink w:anchor="Figure6" w:history="1">
        <w:r w:rsidRPr="00887E2C">
          <w:rPr>
            <w:rStyle w:val="Hyperlink"/>
            <w:rFonts w:ascii="Baskerville Old Face" w:hAnsi="Baskerville Old Face" w:cs="Times New Roman"/>
            <w:color w:val="auto"/>
            <w:sz w:val="21"/>
            <w:szCs w:val="21"/>
            <w:u w:val="none"/>
          </w:rPr>
          <w:t>Figure 6: Staff Separations by Category, 2023 and 2022</w:t>
        </w:r>
      </w:hyperlink>
    </w:p>
    <w:p w14:paraId="49E41F84" w14:textId="03B2BDC8" w:rsidR="00542E89" w:rsidRPr="00887E2C" w:rsidRDefault="00542E89" w:rsidP="00887E2C">
      <w:pPr>
        <w:spacing w:line="240" w:lineRule="auto"/>
        <w:rPr>
          <w:rFonts w:ascii="Baskerville Old Face" w:hAnsi="Baskerville Old Face" w:cs="Times New Roman"/>
          <w:kern w:val="0"/>
          <w:sz w:val="21"/>
          <w:szCs w:val="21"/>
          <w:lang w:val="en-GB"/>
          <w14:ligatures w14:val="none"/>
        </w:rPr>
      </w:pPr>
      <w:hyperlink w:anchor="Figure7" w:history="1">
        <w:r w:rsidRPr="00887E2C">
          <w:rPr>
            <w:rStyle w:val="Hyperlink"/>
            <w:rFonts w:ascii="Baskerville Old Face" w:hAnsi="Baskerville Old Face" w:cs="Times New Roman"/>
            <w:color w:val="auto"/>
            <w:kern w:val="0"/>
            <w:sz w:val="21"/>
            <w:szCs w:val="21"/>
            <w:u w:val="none"/>
            <w:lang w:val="en-GB"/>
            <w14:ligatures w14:val="none"/>
          </w:rPr>
          <w:t>Figure 7: TIN Issuance by Tax Type in 2023 and 2022</w:t>
        </w:r>
      </w:hyperlink>
    </w:p>
    <w:p w14:paraId="4F99F128" w14:textId="007AC028" w:rsidR="00542E89" w:rsidRPr="00887E2C" w:rsidRDefault="00542E89" w:rsidP="00887E2C">
      <w:pPr>
        <w:spacing w:line="240" w:lineRule="auto"/>
        <w:rPr>
          <w:rFonts w:ascii="Baskerville Old Face" w:hAnsi="Baskerville Old Face" w:cs="Times New Roman"/>
          <w:kern w:val="0"/>
          <w:sz w:val="21"/>
          <w:szCs w:val="21"/>
          <w:lang w:val="en-GB"/>
          <w14:ligatures w14:val="none"/>
        </w:rPr>
      </w:pPr>
      <w:hyperlink w:anchor="Figure8" w:history="1">
        <w:r w:rsidRPr="00887E2C">
          <w:rPr>
            <w:rStyle w:val="Hyperlink"/>
            <w:rFonts w:ascii="Baskerville Old Face" w:hAnsi="Baskerville Old Face" w:cs="Times New Roman"/>
            <w:color w:val="auto"/>
            <w:kern w:val="0"/>
            <w:sz w:val="21"/>
            <w:szCs w:val="21"/>
            <w:u w:val="none"/>
            <w:lang w:val="en-GB"/>
            <w14:ligatures w14:val="none"/>
          </w:rPr>
          <w:t>Figure 8: Purpose for TIN Issuance in 2023</w:t>
        </w:r>
      </w:hyperlink>
    </w:p>
    <w:p w14:paraId="5FC55C14" w14:textId="1B2D8F7A" w:rsidR="00542E89" w:rsidRPr="00887E2C" w:rsidRDefault="00542E89" w:rsidP="00887E2C">
      <w:pPr>
        <w:spacing w:line="240" w:lineRule="auto"/>
        <w:rPr>
          <w:rFonts w:ascii="Baskerville Old Face" w:hAnsi="Baskerville Old Face" w:cs="Times New Roman"/>
          <w:kern w:val="0"/>
          <w:sz w:val="21"/>
          <w:szCs w:val="21"/>
          <w:lang w:val="en-GB"/>
          <w14:ligatures w14:val="none"/>
        </w:rPr>
      </w:pPr>
      <w:hyperlink w:anchor="Figure9" w:history="1">
        <w:r w:rsidRPr="00887E2C">
          <w:rPr>
            <w:rStyle w:val="Hyperlink"/>
            <w:rFonts w:ascii="Baskerville Old Face" w:hAnsi="Baskerville Old Face" w:cs="Times New Roman"/>
            <w:color w:val="auto"/>
            <w:kern w:val="0"/>
            <w:sz w:val="21"/>
            <w:szCs w:val="21"/>
            <w:u w:val="none"/>
            <w:lang w:val="en-GB"/>
            <w14:ligatures w14:val="none"/>
          </w:rPr>
          <w:t>Figure 9: Average Compliance Rate by Tax Type in 2023 and 2022</w:t>
        </w:r>
      </w:hyperlink>
    </w:p>
    <w:p w14:paraId="316A4F39" w14:textId="6BA87C67" w:rsidR="00542E89" w:rsidRPr="00887E2C" w:rsidRDefault="00542E89" w:rsidP="00887E2C">
      <w:pPr>
        <w:spacing w:line="240" w:lineRule="auto"/>
        <w:jc w:val="both"/>
        <w:rPr>
          <w:rFonts w:ascii="Baskerville Old Face" w:hAnsi="Baskerville Old Face" w:cs="Times New Roman"/>
          <w:sz w:val="21"/>
          <w:szCs w:val="21"/>
        </w:rPr>
      </w:pPr>
      <w:hyperlink w:anchor="Figure10" w:history="1">
        <w:r w:rsidRPr="00887E2C">
          <w:rPr>
            <w:rStyle w:val="Hyperlink"/>
            <w:rFonts w:ascii="Baskerville Old Face" w:hAnsi="Baskerville Old Face" w:cs="Times New Roman"/>
            <w:color w:val="auto"/>
            <w:sz w:val="21"/>
            <w:szCs w:val="21"/>
            <w:u w:val="none"/>
          </w:rPr>
          <w:t>Figure 10: Monthly Number of Vessels 2023 and 2022</w:t>
        </w:r>
      </w:hyperlink>
      <w:r w:rsidRPr="00887E2C">
        <w:rPr>
          <w:rFonts w:ascii="Baskerville Old Face" w:hAnsi="Baskerville Old Face" w:cs="Times New Roman"/>
          <w:sz w:val="21"/>
          <w:szCs w:val="21"/>
        </w:rPr>
        <w:t xml:space="preserve"> </w:t>
      </w:r>
    </w:p>
    <w:p w14:paraId="566DFD05" w14:textId="298E6986" w:rsidR="00542E89" w:rsidRPr="00887E2C" w:rsidRDefault="00542E89" w:rsidP="00887E2C">
      <w:pPr>
        <w:spacing w:after="200" w:line="240" w:lineRule="auto"/>
        <w:jc w:val="both"/>
        <w:rPr>
          <w:rFonts w:ascii="Baskerville Old Face" w:hAnsi="Baskerville Old Face" w:cs="Times New Roman"/>
          <w:sz w:val="21"/>
          <w:szCs w:val="21"/>
        </w:rPr>
      </w:pPr>
      <w:hyperlink w:anchor="Figure11" w:history="1">
        <w:r w:rsidRPr="00887E2C">
          <w:rPr>
            <w:rStyle w:val="Hyperlink"/>
            <w:rFonts w:ascii="Baskerville Old Face" w:hAnsi="Baskerville Old Face" w:cs="Times New Roman"/>
            <w:color w:val="auto"/>
            <w:sz w:val="21"/>
            <w:szCs w:val="21"/>
            <w:u w:val="none"/>
          </w:rPr>
          <w:t>Figure 11</w:t>
        </w:r>
        <w:proofErr w:type="gramStart"/>
        <w:r w:rsidRPr="00887E2C">
          <w:rPr>
            <w:rStyle w:val="Hyperlink"/>
            <w:rFonts w:ascii="Baskerville Old Face" w:hAnsi="Baskerville Old Face" w:cs="Times New Roman"/>
            <w:color w:val="auto"/>
            <w:sz w:val="21"/>
            <w:szCs w:val="21"/>
            <w:u w:val="none"/>
          </w:rPr>
          <w:t>:  Collection</w:t>
        </w:r>
        <w:proofErr w:type="gramEnd"/>
        <w:r w:rsidRPr="00887E2C">
          <w:rPr>
            <w:rStyle w:val="Hyperlink"/>
            <w:rFonts w:ascii="Baskerville Old Face" w:hAnsi="Baskerville Old Face" w:cs="Times New Roman"/>
            <w:color w:val="auto"/>
            <w:sz w:val="21"/>
            <w:szCs w:val="21"/>
            <w:u w:val="none"/>
          </w:rPr>
          <w:t xml:space="preserve"> from Three Key Customs Outstations, 2023</w:t>
        </w:r>
      </w:hyperlink>
    </w:p>
    <w:p w14:paraId="7252E994" w14:textId="77777777" w:rsidR="00800A2A" w:rsidRDefault="00800A2A" w:rsidP="00AF50B6">
      <w:pPr>
        <w:jc w:val="center"/>
        <w:rPr>
          <w:rFonts w:ascii="Baskerville Old Face" w:hAnsi="Baskerville Old Face" w:cs="Times New Roman"/>
          <w:kern w:val="0"/>
          <w:sz w:val="28"/>
          <w:szCs w:val="28"/>
          <w14:ligatures w14:val="none"/>
        </w:rPr>
      </w:pPr>
    </w:p>
    <w:p w14:paraId="10BF43A8" w14:textId="77777777" w:rsidR="0026700F" w:rsidRDefault="0026700F" w:rsidP="00AF50B6">
      <w:pPr>
        <w:jc w:val="center"/>
        <w:rPr>
          <w:rFonts w:ascii="Baskerville Old Face" w:hAnsi="Baskerville Old Face" w:cs="Times New Roman"/>
          <w:kern w:val="0"/>
          <w:sz w:val="28"/>
          <w:szCs w:val="28"/>
          <w14:ligatures w14:val="none"/>
        </w:rPr>
      </w:pPr>
    </w:p>
    <w:p w14:paraId="703DD6F4" w14:textId="77777777" w:rsidR="0026700F" w:rsidRDefault="0026700F" w:rsidP="00AF50B6">
      <w:pPr>
        <w:jc w:val="center"/>
        <w:rPr>
          <w:rFonts w:ascii="Baskerville Old Face" w:hAnsi="Baskerville Old Face" w:cs="Times New Roman"/>
          <w:kern w:val="0"/>
          <w:sz w:val="28"/>
          <w:szCs w:val="28"/>
          <w14:ligatures w14:val="none"/>
        </w:rPr>
      </w:pPr>
    </w:p>
    <w:p w14:paraId="489DEBB4" w14:textId="77777777" w:rsidR="0026700F" w:rsidRDefault="0026700F" w:rsidP="00AF50B6">
      <w:pPr>
        <w:jc w:val="center"/>
        <w:rPr>
          <w:rFonts w:ascii="Baskerville Old Face" w:hAnsi="Baskerville Old Face" w:cs="Times New Roman"/>
          <w:kern w:val="0"/>
          <w:sz w:val="28"/>
          <w:szCs w:val="28"/>
          <w14:ligatures w14:val="none"/>
        </w:rPr>
      </w:pPr>
    </w:p>
    <w:p w14:paraId="4F1A0D19" w14:textId="77777777" w:rsidR="0026700F" w:rsidRDefault="0026700F" w:rsidP="00AF50B6">
      <w:pPr>
        <w:jc w:val="center"/>
        <w:rPr>
          <w:rFonts w:ascii="Baskerville Old Face" w:hAnsi="Baskerville Old Face" w:cs="Times New Roman"/>
          <w:kern w:val="0"/>
          <w:sz w:val="28"/>
          <w:szCs w:val="28"/>
          <w14:ligatures w14:val="none"/>
        </w:rPr>
      </w:pPr>
    </w:p>
    <w:p w14:paraId="742D35DD" w14:textId="77777777" w:rsidR="0026700F" w:rsidRDefault="0026700F" w:rsidP="00AF50B6">
      <w:pPr>
        <w:jc w:val="center"/>
        <w:rPr>
          <w:rFonts w:ascii="Baskerville Old Face" w:hAnsi="Baskerville Old Face" w:cs="Times New Roman"/>
          <w:kern w:val="0"/>
          <w:sz w:val="28"/>
          <w:szCs w:val="28"/>
          <w14:ligatures w14:val="none"/>
        </w:rPr>
      </w:pPr>
    </w:p>
    <w:p w14:paraId="75D191B5" w14:textId="77777777" w:rsidR="0026700F" w:rsidRDefault="0026700F" w:rsidP="00AF50B6">
      <w:pPr>
        <w:jc w:val="center"/>
        <w:rPr>
          <w:rFonts w:ascii="Baskerville Old Face" w:hAnsi="Baskerville Old Face" w:cs="Times New Roman"/>
          <w:kern w:val="0"/>
          <w:sz w:val="28"/>
          <w:szCs w:val="28"/>
          <w14:ligatures w14:val="none"/>
        </w:rPr>
      </w:pPr>
    </w:p>
    <w:p w14:paraId="52DA68A6" w14:textId="77777777" w:rsidR="0026700F" w:rsidRDefault="0026700F" w:rsidP="00AF50B6">
      <w:pPr>
        <w:jc w:val="center"/>
        <w:rPr>
          <w:rFonts w:ascii="Baskerville Old Face" w:hAnsi="Baskerville Old Face" w:cs="Times New Roman"/>
          <w:kern w:val="0"/>
          <w:sz w:val="28"/>
          <w:szCs w:val="28"/>
          <w14:ligatures w14:val="none"/>
        </w:rPr>
      </w:pPr>
    </w:p>
    <w:p w14:paraId="7644AFFF" w14:textId="77777777" w:rsidR="0026700F" w:rsidRDefault="0026700F" w:rsidP="00AF50B6">
      <w:pPr>
        <w:jc w:val="center"/>
        <w:rPr>
          <w:rFonts w:ascii="Baskerville Old Face" w:hAnsi="Baskerville Old Face" w:cs="Times New Roman"/>
          <w:kern w:val="0"/>
          <w:sz w:val="28"/>
          <w:szCs w:val="28"/>
          <w14:ligatures w14:val="none"/>
        </w:rPr>
      </w:pPr>
    </w:p>
    <w:p w14:paraId="3961E97A" w14:textId="77777777" w:rsidR="0026700F" w:rsidRDefault="0026700F" w:rsidP="00AF50B6">
      <w:pPr>
        <w:jc w:val="center"/>
        <w:rPr>
          <w:rFonts w:ascii="Baskerville Old Face" w:hAnsi="Baskerville Old Face" w:cs="Times New Roman"/>
          <w:kern w:val="0"/>
          <w:sz w:val="28"/>
          <w:szCs w:val="28"/>
          <w14:ligatures w14:val="none"/>
        </w:rPr>
      </w:pPr>
    </w:p>
    <w:p w14:paraId="3FEEFD1D" w14:textId="77777777" w:rsidR="0026700F" w:rsidRDefault="0026700F" w:rsidP="00AF50B6">
      <w:pPr>
        <w:jc w:val="center"/>
        <w:rPr>
          <w:rFonts w:ascii="Baskerville Old Face" w:hAnsi="Baskerville Old Face" w:cs="Times New Roman"/>
          <w:kern w:val="0"/>
          <w:sz w:val="28"/>
          <w:szCs w:val="28"/>
          <w14:ligatures w14:val="none"/>
        </w:rPr>
      </w:pPr>
    </w:p>
    <w:p w14:paraId="63764C15" w14:textId="77777777" w:rsidR="0026700F" w:rsidRDefault="0026700F" w:rsidP="00AF50B6">
      <w:pPr>
        <w:jc w:val="center"/>
        <w:rPr>
          <w:rFonts w:ascii="Baskerville Old Face" w:hAnsi="Baskerville Old Face" w:cs="Times New Roman"/>
          <w:kern w:val="0"/>
          <w:sz w:val="28"/>
          <w:szCs w:val="28"/>
          <w14:ligatures w14:val="none"/>
        </w:rPr>
      </w:pPr>
    </w:p>
    <w:p w14:paraId="72391717" w14:textId="77777777" w:rsidR="0026700F" w:rsidRDefault="0026700F" w:rsidP="00AF50B6">
      <w:pPr>
        <w:jc w:val="center"/>
        <w:rPr>
          <w:rFonts w:ascii="Baskerville Old Face" w:hAnsi="Baskerville Old Face" w:cs="Times New Roman"/>
          <w:kern w:val="0"/>
          <w:sz w:val="28"/>
          <w:szCs w:val="28"/>
          <w14:ligatures w14:val="none"/>
        </w:rPr>
      </w:pPr>
    </w:p>
    <w:p w14:paraId="5D0F8D21" w14:textId="77777777" w:rsidR="0026700F" w:rsidRDefault="0026700F" w:rsidP="00AF50B6">
      <w:pPr>
        <w:jc w:val="center"/>
        <w:rPr>
          <w:rFonts w:ascii="Baskerville Old Face" w:hAnsi="Baskerville Old Face" w:cs="Times New Roman"/>
          <w:kern w:val="0"/>
          <w:sz w:val="28"/>
          <w:szCs w:val="28"/>
          <w14:ligatures w14:val="none"/>
        </w:rPr>
      </w:pPr>
    </w:p>
    <w:p w14:paraId="54E5E13F" w14:textId="77777777" w:rsidR="0026700F" w:rsidRPr="00542E89" w:rsidRDefault="0026700F" w:rsidP="00AF50B6">
      <w:pPr>
        <w:jc w:val="center"/>
        <w:rPr>
          <w:rFonts w:ascii="Baskerville Old Face" w:hAnsi="Baskerville Old Face" w:cs="Times New Roman"/>
          <w:kern w:val="0"/>
          <w:sz w:val="28"/>
          <w:szCs w:val="28"/>
          <w14:ligatures w14:val="none"/>
        </w:rPr>
      </w:pPr>
    </w:p>
    <w:p w14:paraId="74AD853B" w14:textId="4230F6C6" w:rsidR="005A7A9B" w:rsidRDefault="00304E14" w:rsidP="00304E14">
      <w:pPr>
        <w:spacing w:after="0" w:line="360" w:lineRule="auto"/>
        <w:jc w:val="center"/>
        <w:rPr>
          <w:rFonts w:ascii="Baskerville Old Face" w:hAnsi="Baskerville Old Face" w:cs="Times New Roman"/>
          <w:kern w:val="0"/>
          <w:sz w:val="28"/>
          <w:szCs w:val="28"/>
          <w:lang w:val="en-GB"/>
          <w14:ligatures w14:val="none"/>
        </w:rPr>
      </w:pPr>
      <w:r w:rsidRPr="00304E14">
        <w:rPr>
          <w:rFonts w:ascii="Baskerville Old Face" w:hAnsi="Baskerville Old Face" w:cs="Times New Roman"/>
          <w:kern w:val="0"/>
          <w:sz w:val="28"/>
          <w:szCs w:val="28"/>
          <w:lang w:val="en-GB"/>
          <w14:ligatures w14:val="none"/>
        </w:rPr>
        <w:lastRenderedPageBreak/>
        <w:t>List of 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5373"/>
      </w:tblGrid>
      <w:tr w:rsidR="00BD5AD0" w:rsidRPr="00BD5AD0" w14:paraId="1EEB147B" w14:textId="77777777" w:rsidTr="004E6765">
        <w:trPr>
          <w:trHeight w:val="300"/>
        </w:trPr>
        <w:tc>
          <w:tcPr>
            <w:tcW w:w="1167" w:type="dxa"/>
            <w:noWrap/>
            <w:hideMark/>
          </w:tcPr>
          <w:p w14:paraId="546F7A6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A-CIP</w:t>
            </w:r>
          </w:p>
        </w:tc>
        <w:tc>
          <w:tcPr>
            <w:tcW w:w="5373" w:type="dxa"/>
            <w:noWrap/>
            <w:hideMark/>
          </w:tcPr>
          <w:p w14:paraId="53B697D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Anti-Corruption and Integrity Promotion Programme </w:t>
            </w:r>
          </w:p>
        </w:tc>
      </w:tr>
      <w:tr w:rsidR="00BD5AD0" w:rsidRPr="00BD5AD0" w14:paraId="2D26D289" w14:textId="77777777" w:rsidTr="004E6765">
        <w:trPr>
          <w:trHeight w:val="300"/>
        </w:trPr>
        <w:tc>
          <w:tcPr>
            <w:tcW w:w="1167" w:type="dxa"/>
            <w:noWrap/>
            <w:hideMark/>
          </w:tcPr>
          <w:p w14:paraId="3B7D673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ASU</w:t>
            </w:r>
          </w:p>
        </w:tc>
        <w:tc>
          <w:tcPr>
            <w:tcW w:w="5373" w:type="dxa"/>
            <w:noWrap/>
            <w:hideMark/>
          </w:tcPr>
          <w:p w14:paraId="54ED42C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Anti-Smuggling Unit </w:t>
            </w:r>
          </w:p>
        </w:tc>
      </w:tr>
      <w:tr w:rsidR="00BD5AD0" w:rsidRPr="00BD5AD0" w14:paraId="55EF4DA7" w14:textId="77777777" w:rsidTr="004E6765">
        <w:trPr>
          <w:trHeight w:val="300"/>
        </w:trPr>
        <w:tc>
          <w:tcPr>
            <w:tcW w:w="1167" w:type="dxa"/>
            <w:noWrap/>
            <w:hideMark/>
          </w:tcPr>
          <w:p w14:paraId="4567A53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ASYCUDA</w:t>
            </w:r>
          </w:p>
        </w:tc>
        <w:tc>
          <w:tcPr>
            <w:tcW w:w="5373" w:type="dxa"/>
            <w:noWrap/>
            <w:hideMark/>
          </w:tcPr>
          <w:p w14:paraId="343AFC5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Automated System for Customs Data</w:t>
            </w:r>
          </w:p>
        </w:tc>
      </w:tr>
      <w:tr w:rsidR="00BD5AD0" w:rsidRPr="00BD5AD0" w14:paraId="76702D60" w14:textId="77777777" w:rsidTr="004E6765">
        <w:trPr>
          <w:trHeight w:val="300"/>
        </w:trPr>
        <w:tc>
          <w:tcPr>
            <w:tcW w:w="1167" w:type="dxa"/>
            <w:noWrap/>
            <w:hideMark/>
          </w:tcPr>
          <w:p w14:paraId="5882D46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ATAF</w:t>
            </w:r>
          </w:p>
        </w:tc>
        <w:tc>
          <w:tcPr>
            <w:tcW w:w="5373" w:type="dxa"/>
            <w:noWrap/>
            <w:hideMark/>
          </w:tcPr>
          <w:p w14:paraId="2E1BAAB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African Tax Administration Forum</w:t>
            </w:r>
          </w:p>
        </w:tc>
      </w:tr>
      <w:tr w:rsidR="00BD5AD0" w:rsidRPr="00BD5AD0" w14:paraId="036D04B9" w14:textId="77777777" w:rsidTr="004E6765">
        <w:trPr>
          <w:trHeight w:val="300"/>
        </w:trPr>
        <w:tc>
          <w:tcPr>
            <w:tcW w:w="1167" w:type="dxa"/>
            <w:noWrap/>
            <w:hideMark/>
          </w:tcPr>
          <w:p w14:paraId="4889BD5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AYV</w:t>
            </w:r>
          </w:p>
        </w:tc>
        <w:tc>
          <w:tcPr>
            <w:tcW w:w="5373" w:type="dxa"/>
            <w:noWrap/>
            <w:hideMark/>
          </w:tcPr>
          <w:p w14:paraId="6731FAB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African Young Voices </w:t>
            </w:r>
          </w:p>
        </w:tc>
      </w:tr>
      <w:tr w:rsidR="00BD5AD0" w:rsidRPr="00BD5AD0" w14:paraId="636034EE" w14:textId="77777777" w:rsidTr="004E6765">
        <w:trPr>
          <w:trHeight w:val="300"/>
        </w:trPr>
        <w:tc>
          <w:tcPr>
            <w:tcW w:w="1167" w:type="dxa"/>
            <w:noWrap/>
            <w:hideMark/>
          </w:tcPr>
          <w:p w14:paraId="085ADB7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BCM</w:t>
            </w:r>
          </w:p>
        </w:tc>
        <w:tc>
          <w:tcPr>
            <w:tcW w:w="5373" w:type="dxa"/>
            <w:noWrap/>
            <w:hideMark/>
          </w:tcPr>
          <w:p w14:paraId="20A1344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Border Controls and Management</w:t>
            </w:r>
          </w:p>
        </w:tc>
      </w:tr>
      <w:tr w:rsidR="00BD5AD0" w:rsidRPr="00BD5AD0" w14:paraId="307A2FA4" w14:textId="77777777" w:rsidTr="004E6765">
        <w:trPr>
          <w:trHeight w:val="300"/>
        </w:trPr>
        <w:tc>
          <w:tcPr>
            <w:tcW w:w="1167" w:type="dxa"/>
            <w:noWrap/>
            <w:hideMark/>
          </w:tcPr>
          <w:p w14:paraId="7CDB68D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BMS</w:t>
            </w:r>
          </w:p>
        </w:tc>
        <w:tc>
          <w:tcPr>
            <w:tcW w:w="5373" w:type="dxa"/>
            <w:noWrap/>
            <w:hideMark/>
          </w:tcPr>
          <w:p w14:paraId="085142B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Block Management System </w:t>
            </w:r>
          </w:p>
        </w:tc>
      </w:tr>
      <w:tr w:rsidR="00BD5AD0" w:rsidRPr="00BD5AD0" w14:paraId="048234D7" w14:textId="77777777" w:rsidTr="004E6765">
        <w:trPr>
          <w:trHeight w:val="300"/>
        </w:trPr>
        <w:tc>
          <w:tcPr>
            <w:tcW w:w="1167" w:type="dxa"/>
            <w:noWrap/>
            <w:hideMark/>
          </w:tcPr>
          <w:p w14:paraId="5A827E6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C&amp;FA</w:t>
            </w:r>
          </w:p>
        </w:tc>
        <w:tc>
          <w:tcPr>
            <w:tcW w:w="5373" w:type="dxa"/>
            <w:noWrap/>
            <w:hideMark/>
          </w:tcPr>
          <w:p w14:paraId="5B37BE0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Clearing and Forwarding Agencies </w:t>
            </w:r>
          </w:p>
        </w:tc>
      </w:tr>
      <w:tr w:rsidR="00BD5AD0" w:rsidRPr="00BD5AD0" w14:paraId="4F6C5D97" w14:textId="77777777" w:rsidTr="004E6765">
        <w:trPr>
          <w:trHeight w:val="300"/>
        </w:trPr>
        <w:tc>
          <w:tcPr>
            <w:tcW w:w="1167" w:type="dxa"/>
            <w:noWrap/>
            <w:hideMark/>
          </w:tcPr>
          <w:p w14:paraId="1231E038" w14:textId="05F673C4"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CESW</w:t>
            </w:r>
          </w:p>
        </w:tc>
        <w:tc>
          <w:tcPr>
            <w:tcW w:w="5373" w:type="dxa"/>
            <w:noWrap/>
            <w:hideMark/>
          </w:tcPr>
          <w:p w14:paraId="1E737C1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Customs Electronic Single Window </w:t>
            </w:r>
          </w:p>
        </w:tc>
      </w:tr>
      <w:tr w:rsidR="00BD5AD0" w:rsidRPr="00BD5AD0" w14:paraId="7EDE932C" w14:textId="77777777" w:rsidTr="004E6765">
        <w:trPr>
          <w:trHeight w:val="300"/>
        </w:trPr>
        <w:tc>
          <w:tcPr>
            <w:tcW w:w="1167" w:type="dxa"/>
            <w:noWrap/>
            <w:hideMark/>
          </w:tcPr>
          <w:p w14:paraId="0B4F3E8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CG</w:t>
            </w:r>
          </w:p>
        </w:tc>
        <w:tc>
          <w:tcPr>
            <w:tcW w:w="5373" w:type="dxa"/>
            <w:noWrap/>
            <w:hideMark/>
          </w:tcPr>
          <w:p w14:paraId="7A1E7E4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Commissioner-General</w:t>
            </w:r>
          </w:p>
        </w:tc>
      </w:tr>
      <w:tr w:rsidR="00BD5AD0" w:rsidRPr="00BD5AD0" w14:paraId="3CE3301F" w14:textId="77777777" w:rsidTr="004E6765">
        <w:trPr>
          <w:trHeight w:val="300"/>
        </w:trPr>
        <w:tc>
          <w:tcPr>
            <w:tcW w:w="1167" w:type="dxa"/>
            <w:noWrap/>
            <w:hideMark/>
          </w:tcPr>
          <w:p w14:paraId="3BC1001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CIF</w:t>
            </w:r>
          </w:p>
        </w:tc>
        <w:tc>
          <w:tcPr>
            <w:tcW w:w="5373" w:type="dxa"/>
            <w:noWrap/>
            <w:hideMark/>
          </w:tcPr>
          <w:p w14:paraId="762D24A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Cost, Insurance and Freight</w:t>
            </w:r>
          </w:p>
        </w:tc>
      </w:tr>
      <w:tr w:rsidR="00BD5AD0" w:rsidRPr="00BD5AD0" w14:paraId="5508429E" w14:textId="77777777" w:rsidTr="004E6765">
        <w:trPr>
          <w:trHeight w:val="300"/>
        </w:trPr>
        <w:tc>
          <w:tcPr>
            <w:tcW w:w="1167" w:type="dxa"/>
            <w:noWrap/>
            <w:hideMark/>
          </w:tcPr>
          <w:p w14:paraId="72B9E40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CIP</w:t>
            </w:r>
          </w:p>
        </w:tc>
        <w:tc>
          <w:tcPr>
            <w:tcW w:w="5373" w:type="dxa"/>
            <w:noWrap/>
            <w:hideMark/>
          </w:tcPr>
          <w:p w14:paraId="606D1D4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Compliance Improvement Project </w:t>
            </w:r>
          </w:p>
        </w:tc>
      </w:tr>
      <w:tr w:rsidR="00BD5AD0" w:rsidRPr="00BD5AD0" w14:paraId="683B5A53" w14:textId="77777777" w:rsidTr="004E6765">
        <w:trPr>
          <w:trHeight w:val="300"/>
        </w:trPr>
        <w:tc>
          <w:tcPr>
            <w:tcW w:w="1167" w:type="dxa"/>
            <w:noWrap/>
            <w:hideMark/>
          </w:tcPr>
          <w:p w14:paraId="38F098D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CIT</w:t>
            </w:r>
          </w:p>
        </w:tc>
        <w:tc>
          <w:tcPr>
            <w:tcW w:w="5373" w:type="dxa"/>
            <w:noWrap/>
            <w:hideMark/>
          </w:tcPr>
          <w:p w14:paraId="01244A1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Corporate Income Tax</w:t>
            </w:r>
          </w:p>
        </w:tc>
      </w:tr>
      <w:tr w:rsidR="00BD5AD0" w:rsidRPr="00BD5AD0" w14:paraId="1EEE8639" w14:textId="77777777" w:rsidTr="004E6765">
        <w:trPr>
          <w:trHeight w:val="300"/>
        </w:trPr>
        <w:tc>
          <w:tcPr>
            <w:tcW w:w="1167" w:type="dxa"/>
            <w:noWrap/>
            <w:hideMark/>
          </w:tcPr>
          <w:p w14:paraId="480519A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CSD</w:t>
            </w:r>
          </w:p>
        </w:tc>
        <w:tc>
          <w:tcPr>
            <w:tcW w:w="5373" w:type="dxa"/>
            <w:noWrap/>
            <w:hideMark/>
          </w:tcPr>
          <w:p w14:paraId="06B6693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Customs Services Department</w:t>
            </w:r>
          </w:p>
        </w:tc>
      </w:tr>
      <w:tr w:rsidR="00BD5AD0" w:rsidRPr="00BD5AD0" w14:paraId="6BFBFD8F" w14:textId="77777777" w:rsidTr="004E6765">
        <w:trPr>
          <w:trHeight w:val="300"/>
        </w:trPr>
        <w:tc>
          <w:tcPr>
            <w:tcW w:w="1167" w:type="dxa"/>
            <w:noWrap/>
            <w:hideMark/>
          </w:tcPr>
          <w:p w14:paraId="3F9FF12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CSOs</w:t>
            </w:r>
          </w:p>
        </w:tc>
        <w:tc>
          <w:tcPr>
            <w:tcW w:w="5373" w:type="dxa"/>
            <w:noWrap/>
            <w:hideMark/>
          </w:tcPr>
          <w:p w14:paraId="75F2503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Civil Society Organizations </w:t>
            </w:r>
          </w:p>
        </w:tc>
      </w:tr>
      <w:tr w:rsidR="00BD5AD0" w:rsidRPr="00BD5AD0" w14:paraId="4574AA1A" w14:textId="77777777" w:rsidTr="004E6765">
        <w:trPr>
          <w:trHeight w:val="300"/>
        </w:trPr>
        <w:tc>
          <w:tcPr>
            <w:tcW w:w="1167" w:type="dxa"/>
            <w:noWrap/>
            <w:hideMark/>
          </w:tcPr>
          <w:p w14:paraId="3D3B3DF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D&amp;M</w:t>
            </w:r>
          </w:p>
        </w:tc>
        <w:tc>
          <w:tcPr>
            <w:tcW w:w="5373" w:type="dxa"/>
            <w:noWrap/>
            <w:hideMark/>
          </w:tcPr>
          <w:p w14:paraId="24C5705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Design and Monitoring </w:t>
            </w:r>
          </w:p>
        </w:tc>
      </w:tr>
      <w:tr w:rsidR="00BD5AD0" w:rsidRPr="00BD5AD0" w14:paraId="45374EEA" w14:textId="77777777" w:rsidTr="004E6765">
        <w:trPr>
          <w:trHeight w:val="300"/>
        </w:trPr>
        <w:tc>
          <w:tcPr>
            <w:tcW w:w="1167" w:type="dxa"/>
            <w:noWrap/>
            <w:hideMark/>
          </w:tcPr>
          <w:p w14:paraId="27AE8D2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DCG</w:t>
            </w:r>
          </w:p>
        </w:tc>
        <w:tc>
          <w:tcPr>
            <w:tcW w:w="5373" w:type="dxa"/>
            <w:noWrap/>
            <w:hideMark/>
          </w:tcPr>
          <w:p w14:paraId="6E68CAC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Deputy Commissioner-General</w:t>
            </w:r>
          </w:p>
        </w:tc>
      </w:tr>
      <w:tr w:rsidR="00BD5AD0" w:rsidRPr="00BD5AD0" w14:paraId="46DCF6D8" w14:textId="77777777" w:rsidTr="004E6765">
        <w:trPr>
          <w:trHeight w:val="300"/>
        </w:trPr>
        <w:tc>
          <w:tcPr>
            <w:tcW w:w="1167" w:type="dxa"/>
            <w:noWrap/>
            <w:hideMark/>
          </w:tcPr>
          <w:p w14:paraId="75DB4A2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DIPS</w:t>
            </w:r>
          </w:p>
        </w:tc>
        <w:tc>
          <w:tcPr>
            <w:tcW w:w="5373" w:type="dxa"/>
            <w:noWrap/>
            <w:hideMark/>
          </w:tcPr>
          <w:p w14:paraId="78B8067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Domestic Tax Integrity Perception Survey</w:t>
            </w:r>
          </w:p>
        </w:tc>
      </w:tr>
      <w:tr w:rsidR="00BD5AD0" w:rsidRPr="00BD5AD0" w14:paraId="2FDBCC98" w14:textId="77777777" w:rsidTr="004E6765">
        <w:trPr>
          <w:trHeight w:val="300"/>
        </w:trPr>
        <w:tc>
          <w:tcPr>
            <w:tcW w:w="1167" w:type="dxa"/>
            <w:noWrap/>
            <w:hideMark/>
          </w:tcPr>
          <w:p w14:paraId="25F6A0C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DMU</w:t>
            </w:r>
          </w:p>
        </w:tc>
        <w:tc>
          <w:tcPr>
            <w:tcW w:w="5373" w:type="dxa"/>
            <w:noWrap/>
            <w:hideMark/>
          </w:tcPr>
          <w:p w14:paraId="0183944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Debt Management Unit </w:t>
            </w:r>
          </w:p>
        </w:tc>
      </w:tr>
      <w:tr w:rsidR="00BD5AD0" w:rsidRPr="00BD5AD0" w14:paraId="6B5EF330" w14:textId="77777777" w:rsidTr="004E6765">
        <w:trPr>
          <w:trHeight w:val="300"/>
        </w:trPr>
        <w:tc>
          <w:tcPr>
            <w:tcW w:w="1167" w:type="dxa"/>
            <w:noWrap/>
            <w:hideMark/>
          </w:tcPr>
          <w:p w14:paraId="1E44BF8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DTD</w:t>
            </w:r>
          </w:p>
        </w:tc>
        <w:tc>
          <w:tcPr>
            <w:tcW w:w="5373" w:type="dxa"/>
            <w:noWrap/>
            <w:hideMark/>
          </w:tcPr>
          <w:p w14:paraId="4E74A15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Domestic Taxes Department</w:t>
            </w:r>
          </w:p>
        </w:tc>
      </w:tr>
      <w:tr w:rsidR="00BD5AD0" w:rsidRPr="00BD5AD0" w14:paraId="448A4DBE" w14:textId="77777777" w:rsidTr="004E6765">
        <w:trPr>
          <w:trHeight w:val="300"/>
        </w:trPr>
        <w:tc>
          <w:tcPr>
            <w:tcW w:w="1167" w:type="dxa"/>
            <w:noWrap/>
            <w:hideMark/>
          </w:tcPr>
          <w:p w14:paraId="34A479C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DTIS</w:t>
            </w:r>
          </w:p>
        </w:tc>
        <w:tc>
          <w:tcPr>
            <w:tcW w:w="5373" w:type="dxa"/>
            <w:noWrap/>
            <w:hideMark/>
          </w:tcPr>
          <w:p w14:paraId="24E01B7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Domestic Tax Information System</w:t>
            </w:r>
          </w:p>
        </w:tc>
      </w:tr>
      <w:tr w:rsidR="00BD5AD0" w:rsidRPr="00BD5AD0" w14:paraId="50EFAF2B" w14:textId="77777777" w:rsidTr="004E6765">
        <w:trPr>
          <w:trHeight w:val="300"/>
        </w:trPr>
        <w:tc>
          <w:tcPr>
            <w:tcW w:w="1167" w:type="dxa"/>
            <w:noWrap/>
            <w:hideMark/>
          </w:tcPr>
          <w:p w14:paraId="08D53DA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DTMM</w:t>
            </w:r>
          </w:p>
        </w:tc>
        <w:tc>
          <w:tcPr>
            <w:tcW w:w="5373" w:type="dxa"/>
            <w:noWrap/>
            <w:hideMark/>
          </w:tcPr>
          <w:p w14:paraId="77AA078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Digital Transformation Maturity Model</w:t>
            </w:r>
          </w:p>
        </w:tc>
      </w:tr>
      <w:tr w:rsidR="00BD5AD0" w:rsidRPr="00BD5AD0" w14:paraId="0E203E46" w14:textId="77777777" w:rsidTr="004E6765">
        <w:trPr>
          <w:trHeight w:val="300"/>
        </w:trPr>
        <w:tc>
          <w:tcPr>
            <w:tcW w:w="1167" w:type="dxa"/>
            <w:noWrap/>
            <w:hideMark/>
          </w:tcPr>
          <w:p w14:paraId="161FD87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ECOWAS</w:t>
            </w:r>
          </w:p>
        </w:tc>
        <w:tc>
          <w:tcPr>
            <w:tcW w:w="5373" w:type="dxa"/>
            <w:noWrap/>
            <w:hideMark/>
          </w:tcPr>
          <w:p w14:paraId="5EC030E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Economic Community of West African States</w:t>
            </w:r>
          </w:p>
        </w:tc>
      </w:tr>
      <w:tr w:rsidR="00BD5AD0" w:rsidRPr="00BD5AD0" w14:paraId="4A7AA7BB" w14:textId="77777777" w:rsidTr="004E6765">
        <w:trPr>
          <w:trHeight w:val="300"/>
        </w:trPr>
        <w:tc>
          <w:tcPr>
            <w:tcW w:w="1167" w:type="dxa"/>
            <w:noWrap/>
            <w:hideMark/>
          </w:tcPr>
          <w:p w14:paraId="0601B3B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ECR</w:t>
            </w:r>
          </w:p>
        </w:tc>
        <w:tc>
          <w:tcPr>
            <w:tcW w:w="5373" w:type="dxa"/>
            <w:noWrap/>
            <w:hideMark/>
          </w:tcPr>
          <w:p w14:paraId="0A57198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Electronic Cash Register</w:t>
            </w:r>
          </w:p>
        </w:tc>
      </w:tr>
      <w:tr w:rsidR="00BD5AD0" w:rsidRPr="00BD5AD0" w14:paraId="3FC76CCF" w14:textId="77777777" w:rsidTr="004E6765">
        <w:trPr>
          <w:trHeight w:val="300"/>
        </w:trPr>
        <w:tc>
          <w:tcPr>
            <w:tcW w:w="1167" w:type="dxa"/>
            <w:noWrap/>
            <w:hideMark/>
          </w:tcPr>
          <w:p w14:paraId="5E81956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EDSA</w:t>
            </w:r>
          </w:p>
        </w:tc>
        <w:tc>
          <w:tcPr>
            <w:tcW w:w="5373" w:type="dxa"/>
            <w:noWrap/>
            <w:hideMark/>
          </w:tcPr>
          <w:p w14:paraId="2C4DCD3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Electricity Distribution and Supply Authority</w:t>
            </w:r>
          </w:p>
        </w:tc>
      </w:tr>
      <w:tr w:rsidR="00BD5AD0" w:rsidRPr="00BD5AD0" w14:paraId="3E7FF306" w14:textId="77777777" w:rsidTr="004E6765">
        <w:trPr>
          <w:trHeight w:val="300"/>
        </w:trPr>
        <w:tc>
          <w:tcPr>
            <w:tcW w:w="1167" w:type="dxa"/>
            <w:noWrap/>
            <w:hideMark/>
          </w:tcPr>
          <w:p w14:paraId="60A61E4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EIRU</w:t>
            </w:r>
          </w:p>
        </w:tc>
        <w:tc>
          <w:tcPr>
            <w:tcW w:w="5373" w:type="dxa"/>
            <w:noWrap/>
            <w:hideMark/>
          </w:tcPr>
          <w:p w14:paraId="5FE3BAB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Extractive Industry Revenue Unit</w:t>
            </w:r>
          </w:p>
        </w:tc>
      </w:tr>
      <w:tr w:rsidR="00BD5AD0" w:rsidRPr="00BD5AD0" w14:paraId="66F7923D" w14:textId="77777777" w:rsidTr="004E6765">
        <w:trPr>
          <w:trHeight w:val="300"/>
        </w:trPr>
        <w:tc>
          <w:tcPr>
            <w:tcW w:w="1167" w:type="dxa"/>
            <w:noWrap/>
            <w:hideMark/>
          </w:tcPr>
          <w:p w14:paraId="4D9B0B8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F&amp;B</w:t>
            </w:r>
          </w:p>
        </w:tc>
        <w:tc>
          <w:tcPr>
            <w:tcW w:w="5373" w:type="dxa"/>
            <w:noWrap/>
            <w:hideMark/>
          </w:tcPr>
          <w:p w14:paraId="501594B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Finance and Budget</w:t>
            </w:r>
          </w:p>
        </w:tc>
      </w:tr>
      <w:tr w:rsidR="00BD5AD0" w:rsidRPr="00BD5AD0" w14:paraId="1166CF06" w14:textId="77777777" w:rsidTr="004E6765">
        <w:trPr>
          <w:trHeight w:val="300"/>
        </w:trPr>
        <w:tc>
          <w:tcPr>
            <w:tcW w:w="1167" w:type="dxa"/>
            <w:noWrap/>
            <w:hideMark/>
          </w:tcPr>
          <w:p w14:paraId="42B212D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FCDO</w:t>
            </w:r>
          </w:p>
        </w:tc>
        <w:tc>
          <w:tcPr>
            <w:tcW w:w="5373" w:type="dxa"/>
            <w:noWrap/>
            <w:hideMark/>
          </w:tcPr>
          <w:p w14:paraId="448A86E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Foreign, Commonwealth &amp; Development Office</w:t>
            </w:r>
          </w:p>
        </w:tc>
      </w:tr>
      <w:tr w:rsidR="00BD5AD0" w:rsidRPr="00BD5AD0" w14:paraId="4BF94270" w14:textId="77777777" w:rsidTr="004E6765">
        <w:trPr>
          <w:trHeight w:val="300"/>
        </w:trPr>
        <w:tc>
          <w:tcPr>
            <w:tcW w:w="1167" w:type="dxa"/>
            <w:noWrap/>
            <w:hideMark/>
          </w:tcPr>
          <w:p w14:paraId="3020D10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FIU</w:t>
            </w:r>
          </w:p>
        </w:tc>
        <w:tc>
          <w:tcPr>
            <w:tcW w:w="5373" w:type="dxa"/>
            <w:noWrap/>
            <w:hideMark/>
          </w:tcPr>
          <w:p w14:paraId="75FED33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Financial Intelligence Unit</w:t>
            </w:r>
          </w:p>
        </w:tc>
      </w:tr>
      <w:tr w:rsidR="00BD5AD0" w:rsidRPr="00BD5AD0" w14:paraId="19A65F01" w14:textId="77777777" w:rsidTr="004E6765">
        <w:trPr>
          <w:trHeight w:val="300"/>
        </w:trPr>
        <w:tc>
          <w:tcPr>
            <w:tcW w:w="1167" w:type="dxa"/>
            <w:noWrap/>
            <w:hideMark/>
          </w:tcPr>
          <w:p w14:paraId="3476A6B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FOB</w:t>
            </w:r>
          </w:p>
        </w:tc>
        <w:tc>
          <w:tcPr>
            <w:tcW w:w="5373" w:type="dxa"/>
            <w:noWrap/>
            <w:hideMark/>
          </w:tcPr>
          <w:p w14:paraId="46E6A72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Free on Board</w:t>
            </w:r>
          </w:p>
        </w:tc>
      </w:tr>
      <w:tr w:rsidR="00BD5AD0" w:rsidRPr="00BD5AD0" w14:paraId="2B338D43" w14:textId="77777777" w:rsidTr="004E6765">
        <w:trPr>
          <w:trHeight w:val="300"/>
        </w:trPr>
        <w:tc>
          <w:tcPr>
            <w:tcW w:w="1167" w:type="dxa"/>
            <w:noWrap/>
            <w:hideMark/>
          </w:tcPr>
          <w:p w14:paraId="1E975DD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GST</w:t>
            </w:r>
          </w:p>
        </w:tc>
        <w:tc>
          <w:tcPr>
            <w:tcW w:w="5373" w:type="dxa"/>
            <w:noWrap/>
            <w:hideMark/>
          </w:tcPr>
          <w:p w14:paraId="2FF6D41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Goods and Services Tax</w:t>
            </w:r>
          </w:p>
        </w:tc>
      </w:tr>
      <w:tr w:rsidR="00BD5AD0" w:rsidRPr="00BD5AD0" w14:paraId="35FE31D5" w14:textId="77777777" w:rsidTr="004E6765">
        <w:trPr>
          <w:trHeight w:val="300"/>
        </w:trPr>
        <w:tc>
          <w:tcPr>
            <w:tcW w:w="1167" w:type="dxa"/>
            <w:noWrap/>
            <w:hideMark/>
          </w:tcPr>
          <w:p w14:paraId="73BF166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HRD</w:t>
            </w:r>
          </w:p>
        </w:tc>
        <w:tc>
          <w:tcPr>
            <w:tcW w:w="5373" w:type="dxa"/>
            <w:noWrap/>
            <w:hideMark/>
          </w:tcPr>
          <w:p w14:paraId="04CC8B0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Human Resource Department </w:t>
            </w:r>
          </w:p>
        </w:tc>
      </w:tr>
      <w:tr w:rsidR="00BD5AD0" w:rsidRPr="00BD5AD0" w14:paraId="6E083B15" w14:textId="77777777" w:rsidTr="004E6765">
        <w:trPr>
          <w:trHeight w:val="300"/>
        </w:trPr>
        <w:tc>
          <w:tcPr>
            <w:tcW w:w="1167" w:type="dxa"/>
            <w:noWrap/>
            <w:hideMark/>
          </w:tcPr>
          <w:p w14:paraId="73CA8B3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HS</w:t>
            </w:r>
          </w:p>
        </w:tc>
        <w:tc>
          <w:tcPr>
            <w:tcW w:w="5373" w:type="dxa"/>
            <w:noWrap/>
            <w:hideMark/>
          </w:tcPr>
          <w:p w14:paraId="3C4CEC0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Harmonized System</w:t>
            </w:r>
          </w:p>
        </w:tc>
      </w:tr>
      <w:tr w:rsidR="00BD5AD0" w:rsidRPr="00BD5AD0" w14:paraId="237C74C1" w14:textId="77777777" w:rsidTr="004E6765">
        <w:trPr>
          <w:trHeight w:val="300"/>
        </w:trPr>
        <w:tc>
          <w:tcPr>
            <w:tcW w:w="1167" w:type="dxa"/>
            <w:noWrap/>
            <w:hideMark/>
          </w:tcPr>
          <w:p w14:paraId="4CCF93B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IAU</w:t>
            </w:r>
          </w:p>
        </w:tc>
        <w:tc>
          <w:tcPr>
            <w:tcW w:w="5373" w:type="dxa"/>
            <w:noWrap/>
            <w:hideMark/>
          </w:tcPr>
          <w:p w14:paraId="526262F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Internal Affairs Unit</w:t>
            </w:r>
          </w:p>
        </w:tc>
      </w:tr>
      <w:tr w:rsidR="00BD5AD0" w:rsidRPr="00BD5AD0" w14:paraId="6A9D3E99" w14:textId="77777777" w:rsidTr="004E6765">
        <w:trPr>
          <w:trHeight w:val="300"/>
        </w:trPr>
        <w:tc>
          <w:tcPr>
            <w:tcW w:w="1167" w:type="dxa"/>
            <w:noWrap/>
            <w:hideMark/>
          </w:tcPr>
          <w:p w14:paraId="7897D8B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ICA</w:t>
            </w:r>
          </w:p>
        </w:tc>
        <w:tc>
          <w:tcPr>
            <w:tcW w:w="5373" w:type="dxa"/>
            <w:noWrap/>
            <w:hideMark/>
          </w:tcPr>
          <w:p w14:paraId="7461E50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Internal Controls and Audit</w:t>
            </w:r>
          </w:p>
        </w:tc>
      </w:tr>
      <w:tr w:rsidR="00BD5AD0" w:rsidRPr="00BD5AD0" w14:paraId="6C0D094D" w14:textId="77777777" w:rsidTr="004E6765">
        <w:trPr>
          <w:trHeight w:val="300"/>
        </w:trPr>
        <w:tc>
          <w:tcPr>
            <w:tcW w:w="1167" w:type="dxa"/>
            <w:noWrap/>
            <w:hideMark/>
          </w:tcPr>
          <w:p w14:paraId="2D775EC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ICT</w:t>
            </w:r>
          </w:p>
        </w:tc>
        <w:tc>
          <w:tcPr>
            <w:tcW w:w="5373" w:type="dxa"/>
            <w:noWrap/>
            <w:hideMark/>
          </w:tcPr>
          <w:p w14:paraId="577CDBE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Information, Communication Technology </w:t>
            </w:r>
          </w:p>
        </w:tc>
      </w:tr>
      <w:tr w:rsidR="00BD5AD0" w:rsidRPr="00BD5AD0" w14:paraId="39BE9449" w14:textId="77777777" w:rsidTr="004E6765">
        <w:trPr>
          <w:trHeight w:val="300"/>
        </w:trPr>
        <w:tc>
          <w:tcPr>
            <w:tcW w:w="1167" w:type="dxa"/>
            <w:noWrap/>
            <w:hideMark/>
          </w:tcPr>
          <w:p w14:paraId="4B2ACDC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IMF</w:t>
            </w:r>
          </w:p>
        </w:tc>
        <w:tc>
          <w:tcPr>
            <w:tcW w:w="5373" w:type="dxa"/>
            <w:noWrap/>
            <w:hideMark/>
          </w:tcPr>
          <w:p w14:paraId="4424257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International Monetary Fund </w:t>
            </w:r>
          </w:p>
        </w:tc>
      </w:tr>
      <w:tr w:rsidR="00BD5AD0" w:rsidRPr="00BD5AD0" w14:paraId="4221D671" w14:textId="77777777" w:rsidTr="004E6765">
        <w:trPr>
          <w:trHeight w:val="300"/>
        </w:trPr>
        <w:tc>
          <w:tcPr>
            <w:tcW w:w="1167" w:type="dxa"/>
            <w:noWrap/>
            <w:hideMark/>
          </w:tcPr>
          <w:p w14:paraId="5F4B7BA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ITAS</w:t>
            </w:r>
          </w:p>
        </w:tc>
        <w:tc>
          <w:tcPr>
            <w:tcW w:w="5373" w:type="dxa"/>
            <w:noWrap/>
            <w:hideMark/>
          </w:tcPr>
          <w:p w14:paraId="6DD2916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Integrated Tax Administration System</w:t>
            </w:r>
          </w:p>
        </w:tc>
      </w:tr>
      <w:tr w:rsidR="00BD5AD0" w:rsidRPr="00BD5AD0" w14:paraId="6BCB6374" w14:textId="77777777" w:rsidTr="004E6765">
        <w:trPr>
          <w:trHeight w:val="300"/>
        </w:trPr>
        <w:tc>
          <w:tcPr>
            <w:tcW w:w="1167" w:type="dxa"/>
            <w:noWrap/>
            <w:hideMark/>
          </w:tcPr>
          <w:p w14:paraId="272C90C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L&amp;CS</w:t>
            </w:r>
          </w:p>
        </w:tc>
        <w:tc>
          <w:tcPr>
            <w:tcW w:w="5373" w:type="dxa"/>
            <w:noWrap/>
            <w:hideMark/>
          </w:tcPr>
          <w:p w14:paraId="73BB196D" w14:textId="7C0DDAC0"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Legal and Corporate Services</w:t>
            </w:r>
          </w:p>
        </w:tc>
      </w:tr>
      <w:tr w:rsidR="00BD5AD0" w:rsidRPr="00BD5AD0" w14:paraId="2AA00F92" w14:textId="77777777" w:rsidTr="004E6765">
        <w:trPr>
          <w:trHeight w:val="300"/>
        </w:trPr>
        <w:tc>
          <w:tcPr>
            <w:tcW w:w="1167" w:type="dxa"/>
            <w:noWrap/>
            <w:hideMark/>
          </w:tcPr>
          <w:p w14:paraId="74B358E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LTO</w:t>
            </w:r>
          </w:p>
        </w:tc>
        <w:tc>
          <w:tcPr>
            <w:tcW w:w="5373" w:type="dxa"/>
            <w:noWrap/>
            <w:hideMark/>
          </w:tcPr>
          <w:p w14:paraId="1F66177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Large Taxpayers Office</w:t>
            </w:r>
          </w:p>
        </w:tc>
      </w:tr>
      <w:tr w:rsidR="00BD5AD0" w:rsidRPr="00BD5AD0" w14:paraId="0659E19C" w14:textId="77777777" w:rsidTr="004E6765">
        <w:trPr>
          <w:trHeight w:val="300"/>
        </w:trPr>
        <w:tc>
          <w:tcPr>
            <w:tcW w:w="1167" w:type="dxa"/>
            <w:noWrap/>
            <w:hideMark/>
          </w:tcPr>
          <w:p w14:paraId="598222D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MDAs</w:t>
            </w:r>
          </w:p>
        </w:tc>
        <w:tc>
          <w:tcPr>
            <w:tcW w:w="5373" w:type="dxa"/>
            <w:noWrap/>
            <w:hideMark/>
          </w:tcPr>
          <w:p w14:paraId="7080556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Ministries, Departments and Agencies</w:t>
            </w:r>
          </w:p>
        </w:tc>
      </w:tr>
      <w:tr w:rsidR="00BD5AD0" w:rsidRPr="00BD5AD0" w14:paraId="6E5412D6" w14:textId="77777777" w:rsidTr="004E6765">
        <w:trPr>
          <w:trHeight w:val="300"/>
        </w:trPr>
        <w:tc>
          <w:tcPr>
            <w:tcW w:w="1167" w:type="dxa"/>
            <w:noWrap/>
            <w:hideMark/>
          </w:tcPr>
          <w:p w14:paraId="4130DB5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lastRenderedPageBreak/>
              <w:t>MoF</w:t>
            </w:r>
          </w:p>
        </w:tc>
        <w:tc>
          <w:tcPr>
            <w:tcW w:w="5373" w:type="dxa"/>
            <w:noWrap/>
            <w:hideMark/>
          </w:tcPr>
          <w:p w14:paraId="0A5B5EE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Ministry of Finance</w:t>
            </w:r>
          </w:p>
        </w:tc>
      </w:tr>
      <w:tr w:rsidR="00BD5AD0" w:rsidRPr="00BD5AD0" w14:paraId="554D0876" w14:textId="77777777" w:rsidTr="004E6765">
        <w:trPr>
          <w:trHeight w:val="300"/>
        </w:trPr>
        <w:tc>
          <w:tcPr>
            <w:tcW w:w="1167" w:type="dxa"/>
            <w:noWrap/>
            <w:hideMark/>
          </w:tcPr>
          <w:p w14:paraId="2A639CE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MoU</w:t>
            </w:r>
          </w:p>
        </w:tc>
        <w:tc>
          <w:tcPr>
            <w:tcW w:w="5373" w:type="dxa"/>
            <w:noWrap/>
            <w:hideMark/>
          </w:tcPr>
          <w:p w14:paraId="4A87C2E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Memorandum of Understanding</w:t>
            </w:r>
          </w:p>
        </w:tc>
      </w:tr>
      <w:tr w:rsidR="00BD5AD0" w:rsidRPr="00BD5AD0" w14:paraId="5FC671D3" w14:textId="77777777" w:rsidTr="004E6765">
        <w:trPr>
          <w:trHeight w:val="300"/>
        </w:trPr>
        <w:tc>
          <w:tcPr>
            <w:tcW w:w="1167" w:type="dxa"/>
            <w:noWrap/>
            <w:hideMark/>
          </w:tcPr>
          <w:p w14:paraId="074A69F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MRP</w:t>
            </w:r>
          </w:p>
        </w:tc>
        <w:tc>
          <w:tcPr>
            <w:tcW w:w="5373" w:type="dxa"/>
            <w:noWrap/>
            <w:hideMark/>
          </w:tcPr>
          <w:p w14:paraId="4CCFED11" w14:textId="65206D28"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Monitoring, Research and Planning</w:t>
            </w:r>
          </w:p>
        </w:tc>
      </w:tr>
      <w:tr w:rsidR="00BD5AD0" w:rsidRPr="00BD5AD0" w14:paraId="641DB2FD" w14:textId="77777777" w:rsidTr="004E6765">
        <w:trPr>
          <w:trHeight w:val="300"/>
        </w:trPr>
        <w:tc>
          <w:tcPr>
            <w:tcW w:w="1167" w:type="dxa"/>
            <w:noWrap/>
            <w:hideMark/>
          </w:tcPr>
          <w:p w14:paraId="5B09A4E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MTNDP</w:t>
            </w:r>
          </w:p>
        </w:tc>
        <w:tc>
          <w:tcPr>
            <w:tcW w:w="5373" w:type="dxa"/>
            <w:noWrap/>
            <w:hideMark/>
          </w:tcPr>
          <w:p w14:paraId="1C076E4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Medium-term National Development Plan </w:t>
            </w:r>
          </w:p>
        </w:tc>
      </w:tr>
      <w:tr w:rsidR="00BD5AD0" w:rsidRPr="00BD5AD0" w14:paraId="5C389473" w14:textId="77777777" w:rsidTr="004E6765">
        <w:trPr>
          <w:trHeight w:val="300"/>
        </w:trPr>
        <w:tc>
          <w:tcPr>
            <w:tcW w:w="1167" w:type="dxa"/>
            <w:noWrap/>
            <w:hideMark/>
          </w:tcPr>
          <w:p w14:paraId="62688C0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MTO</w:t>
            </w:r>
          </w:p>
        </w:tc>
        <w:tc>
          <w:tcPr>
            <w:tcW w:w="5373" w:type="dxa"/>
            <w:noWrap/>
            <w:hideMark/>
          </w:tcPr>
          <w:p w14:paraId="5FD07C2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Medium Taxpayers Office </w:t>
            </w:r>
          </w:p>
        </w:tc>
      </w:tr>
      <w:tr w:rsidR="00BD5AD0" w:rsidRPr="00BD5AD0" w14:paraId="428425F5" w14:textId="77777777" w:rsidTr="004E6765">
        <w:trPr>
          <w:trHeight w:val="300"/>
        </w:trPr>
        <w:tc>
          <w:tcPr>
            <w:tcW w:w="1167" w:type="dxa"/>
            <w:noWrap/>
            <w:hideMark/>
          </w:tcPr>
          <w:p w14:paraId="01A3F24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MTRS</w:t>
            </w:r>
          </w:p>
        </w:tc>
        <w:tc>
          <w:tcPr>
            <w:tcW w:w="5373" w:type="dxa"/>
            <w:noWrap/>
            <w:hideMark/>
          </w:tcPr>
          <w:p w14:paraId="0992098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Medium-Term Revenue Strategy</w:t>
            </w:r>
          </w:p>
        </w:tc>
      </w:tr>
      <w:tr w:rsidR="00BD5AD0" w:rsidRPr="00BD5AD0" w14:paraId="67E65EA6" w14:textId="77777777" w:rsidTr="004E6765">
        <w:trPr>
          <w:trHeight w:val="300"/>
        </w:trPr>
        <w:tc>
          <w:tcPr>
            <w:tcW w:w="1167" w:type="dxa"/>
            <w:noWrap/>
            <w:hideMark/>
          </w:tcPr>
          <w:p w14:paraId="62B109E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NACS</w:t>
            </w:r>
          </w:p>
        </w:tc>
        <w:tc>
          <w:tcPr>
            <w:tcW w:w="5373" w:type="dxa"/>
            <w:noWrap/>
            <w:hideMark/>
          </w:tcPr>
          <w:p w14:paraId="3CD58F4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National Anti-Corruption Strategy </w:t>
            </w:r>
          </w:p>
        </w:tc>
      </w:tr>
      <w:tr w:rsidR="00BD5AD0" w:rsidRPr="00BD5AD0" w14:paraId="3BA6CE1A" w14:textId="77777777" w:rsidTr="004E6765">
        <w:trPr>
          <w:trHeight w:val="300"/>
        </w:trPr>
        <w:tc>
          <w:tcPr>
            <w:tcW w:w="1167" w:type="dxa"/>
            <w:noWrap/>
            <w:hideMark/>
          </w:tcPr>
          <w:p w14:paraId="0BC9E79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NaTCA</w:t>
            </w:r>
          </w:p>
        </w:tc>
        <w:tc>
          <w:tcPr>
            <w:tcW w:w="5373" w:type="dxa"/>
            <w:noWrap/>
            <w:hideMark/>
          </w:tcPr>
          <w:p w14:paraId="5BC5504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National Telecommunications Authority </w:t>
            </w:r>
          </w:p>
        </w:tc>
      </w:tr>
      <w:tr w:rsidR="00BD5AD0" w:rsidRPr="00BD5AD0" w14:paraId="458D82FF" w14:textId="77777777" w:rsidTr="004E6765">
        <w:trPr>
          <w:trHeight w:val="300"/>
        </w:trPr>
        <w:tc>
          <w:tcPr>
            <w:tcW w:w="1167" w:type="dxa"/>
            <w:noWrap/>
            <w:hideMark/>
          </w:tcPr>
          <w:p w14:paraId="093D886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NRA</w:t>
            </w:r>
          </w:p>
        </w:tc>
        <w:tc>
          <w:tcPr>
            <w:tcW w:w="5373" w:type="dxa"/>
            <w:noWrap/>
            <w:hideMark/>
          </w:tcPr>
          <w:p w14:paraId="18A6797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National Revenue Authority</w:t>
            </w:r>
          </w:p>
        </w:tc>
      </w:tr>
      <w:tr w:rsidR="00BD5AD0" w:rsidRPr="00BD5AD0" w14:paraId="00E9D1AF" w14:textId="77777777" w:rsidTr="004E6765">
        <w:trPr>
          <w:trHeight w:val="300"/>
        </w:trPr>
        <w:tc>
          <w:tcPr>
            <w:tcW w:w="1167" w:type="dxa"/>
            <w:noWrap/>
            <w:hideMark/>
          </w:tcPr>
          <w:p w14:paraId="60E74B2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NTR</w:t>
            </w:r>
          </w:p>
        </w:tc>
        <w:tc>
          <w:tcPr>
            <w:tcW w:w="5373" w:type="dxa"/>
            <w:noWrap/>
            <w:hideMark/>
          </w:tcPr>
          <w:p w14:paraId="243ADAD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Non-Tax Revenue </w:t>
            </w:r>
          </w:p>
        </w:tc>
      </w:tr>
      <w:tr w:rsidR="00BD5AD0" w:rsidRPr="00BD5AD0" w14:paraId="12B1E59D" w14:textId="77777777" w:rsidTr="004E6765">
        <w:trPr>
          <w:trHeight w:val="300"/>
        </w:trPr>
        <w:tc>
          <w:tcPr>
            <w:tcW w:w="1167" w:type="dxa"/>
            <w:noWrap/>
            <w:hideMark/>
          </w:tcPr>
          <w:p w14:paraId="251DD1C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NYC</w:t>
            </w:r>
          </w:p>
        </w:tc>
        <w:tc>
          <w:tcPr>
            <w:tcW w:w="5373" w:type="dxa"/>
            <w:noWrap/>
            <w:hideMark/>
          </w:tcPr>
          <w:p w14:paraId="0406C4A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National Youth Commission </w:t>
            </w:r>
          </w:p>
        </w:tc>
      </w:tr>
      <w:tr w:rsidR="00BD5AD0" w:rsidRPr="00BD5AD0" w14:paraId="4647B67E" w14:textId="77777777" w:rsidTr="004E6765">
        <w:trPr>
          <w:trHeight w:val="300"/>
        </w:trPr>
        <w:tc>
          <w:tcPr>
            <w:tcW w:w="1167" w:type="dxa"/>
            <w:noWrap/>
            <w:hideMark/>
          </w:tcPr>
          <w:p w14:paraId="4DC26BB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OARG</w:t>
            </w:r>
          </w:p>
        </w:tc>
        <w:tc>
          <w:tcPr>
            <w:tcW w:w="5373" w:type="dxa"/>
            <w:noWrap/>
            <w:hideMark/>
          </w:tcPr>
          <w:p w14:paraId="36AA81F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Administrator and Registrar General </w:t>
            </w:r>
          </w:p>
        </w:tc>
      </w:tr>
      <w:tr w:rsidR="00BD5AD0" w:rsidRPr="00BD5AD0" w14:paraId="6DFD80A6" w14:textId="77777777" w:rsidTr="004E6765">
        <w:trPr>
          <w:trHeight w:val="300"/>
        </w:trPr>
        <w:tc>
          <w:tcPr>
            <w:tcW w:w="1167" w:type="dxa"/>
            <w:noWrap/>
            <w:hideMark/>
          </w:tcPr>
          <w:p w14:paraId="4830E59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OMCs</w:t>
            </w:r>
          </w:p>
        </w:tc>
        <w:tc>
          <w:tcPr>
            <w:tcW w:w="5373" w:type="dxa"/>
            <w:noWrap/>
            <w:hideMark/>
          </w:tcPr>
          <w:p w14:paraId="16E5190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Oil Marketing Companies </w:t>
            </w:r>
          </w:p>
        </w:tc>
      </w:tr>
      <w:tr w:rsidR="00BD5AD0" w:rsidRPr="00BD5AD0" w14:paraId="18048863" w14:textId="77777777" w:rsidTr="004E6765">
        <w:trPr>
          <w:trHeight w:val="300"/>
        </w:trPr>
        <w:tc>
          <w:tcPr>
            <w:tcW w:w="1167" w:type="dxa"/>
            <w:noWrap/>
            <w:hideMark/>
          </w:tcPr>
          <w:p w14:paraId="313D441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OSIWA</w:t>
            </w:r>
          </w:p>
        </w:tc>
        <w:tc>
          <w:tcPr>
            <w:tcW w:w="5373" w:type="dxa"/>
            <w:noWrap/>
            <w:hideMark/>
          </w:tcPr>
          <w:p w14:paraId="166ABDE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Open Society Initiative for West Africa </w:t>
            </w:r>
          </w:p>
        </w:tc>
      </w:tr>
      <w:tr w:rsidR="00BD5AD0" w:rsidRPr="00BD5AD0" w14:paraId="7104B7D0" w14:textId="77777777" w:rsidTr="004E6765">
        <w:trPr>
          <w:trHeight w:val="300"/>
        </w:trPr>
        <w:tc>
          <w:tcPr>
            <w:tcW w:w="1167" w:type="dxa"/>
            <w:noWrap/>
            <w:hideMark/>
          </w:tcPr>
          <w:p w14:paraId="00F0F14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PATE</w:t>
            </w:r>
          </w:p>
        </w:tc>
        <w:tc>
          <w:tcPr>
            <w:tcW w:w="5373" w:type="dxa"/>
            <w:noWrap/>
            <w:hideMark/>
          </w:tcPr>
          <w:p w14:paraId="36658DF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Public Affairs and Tax Education </w:t>
            </w:r>
          </w:p>
        </w:tc>
      </w:tr>
      <w:tr w:rsidR="00BD5AD0" w:rsidRPr="00BD5AD0" w14:paraId="50D419F2" w14:textId="77777777" w:rsidTr="004E6765">
        <w:trPr>
          <w:trHeight w:val="300"/>
        </w:trPr>
        <w:tc>
          <w:tcPr>
            <w:tcW w:w="1167" w:type="dxa"/>
            <w:noWrap/>
            <w:hideMark/>
          </w:tcPr>
          <w:p w14:paraId="5D0CA5D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PAYE</w:t>
            </w:r>
          </w:p>
        </w:tc>
        <w:tc>
          <w:tcPr>
            <w:tcW w:w="5373" w:type="dxa"/>
            <w:noWrap/>
            <w:hideMark/>
          </w:tcPr>
          <w:p w14:paraId="4944008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Pay-As-You-Earn</w:t>
            </w:r>
          </w:p>
        </w:tc>
      </w:tr>
      <w:tr w:rsidR="00BD5AD0" w:rsidRPr="00BD5AD0" w14:paraId="0B97FCF4" w14:textId="77777777" w:rsidTr="004E6765">
        <w:trPr>
          <w:trHeight w:val="300"/>
        </w:trPr>
        <w:tc>
          <w:tcPr>
            <w:tcW w:w="1167" w:type="dxa"/>
            <w:noWrap/>
            <w:hideMark/>
          </w:tcPr>
          <w:p w14:paraId="73F444E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PCA</w:t>
            </w:r>
          </w:p>
        </w:tc>
        <w:tc>
          <w:tcPr>
            <w:tcW w:w="5373" w:type="dxa"/>
            <w:noWrap/>
            <w:hideMark/>
          </w:tcPr>
          <w:p w14:paraId="7D03887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Post Clearance Audit</w:t>
            </w:r>
          </w:p>
        </w:tc>
      </w:tr>
      <w:tr w:rsidR="00BD5AD0" w:rsidRPr="00BD5AD0" w14:paraId="6AD456ED" w14:textId="77777777" w:rsidTr="004E6765">
        <w:trPr>
          <w:trHeight w:val="300"/>
        </w:trPr>
        <w:tc>
          <w:tcPr>
            <w:tcW w:w="1167" w:type="dxa"/>
            <w:noWrap/>
            <w:hideMark/>
          </w:tcPr>
          <w:p w14:paraId="60CFD283"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PESTEL</w:t>
            </w:r>
          </w:p>
        </w:tc>
        <w:tc>
          <w:tcPr>
            <w:tcW w:w="5373" w:type="dxa"/>
            <w:noWrap/>
            <w:hideMark/>
          </w:tcPr>
          <w:p w14:paraId="1FCBDC6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Political, Economic, Social, Technological, Legal, and Environment</w:t>
            </w:r>
          </w:p>
        </w:tc>
      </w:tr>
      <w:tr w:rsidR="00BD5AD0" w:rsidRPr="00BD5AD0" w14:paraId="39C205DC" w14:textId="77777777" w:rsidTr="004E6765">
        <w:trPr>
          <w:trHeight w:val="300"/>
        </w:trPr>
        <w:tc>
          <w:tcPr>
            <w:tcW w:w="1167" w:type="dxa"/>
            <w:noWrap/>
            <w:hideMark/>
          </w:tcPr>
          <w:p w14:paraId="6F17C2A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PIOs</w:t>
            </w:r>
          </w:p>
        </w:tc>
        <w:tc>
          <w:tcPr>
            <w:tcW w:w="5373" w:type="dxa"/>
            <w:noWrap/>
            <w:hideMark/>
          </w:tcPr>
          <w:p w14:paraId="7D9434F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Public International Organisations </w:t>
            </w:r>
          </w:p>
        </w:tc>
      </w:tr>
      <w:tr w:rsidR="00BD5AD0" w:rsidRPr="00BD5AD0" w14:paraId="21F36AEB" w14:textId="77777777" w:rsidTr="004E6765">
        <w:trPr>
          <w:trHeight w:val="300"/>
        </w:trPr>
        <w:tc>
          <w:tcPr>
            <w:tcW w:w="1167" w:type="dxa"/>
            <w:noWrap/>
            <w:hideMark/>
          </w:tcPr>
          <w:p w14:paraId="6367A01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PIT</w:t>
            </w:r>
          </w:p>
        </w:tc>
        <w:tc>
          <w:tcPr>
            <w:tcW w:w="5373" w:type="dxa"/>
            <w:noWrap/>
            <w:hideMark/>
          </w:tcPr>
          <w:p w14:paraId="1974692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Personal Income Tax</w:t>
            </w:r>
          </w:p>
        </w:tc>
      </w:tr>
      <w:tr w:rsidR="00BD5AD0" w:rsidRPr="00BD5AD0" w14:paraId="74FD6EE6" w14:textId="77777777" w:rsidTr="004E6765">
        <w:trPr>
          <w:trHeight w:val="300"/>
        </w:trPr>
        <w:tc>
          <w:tcPr>
            <w:tcW w:w="1167" w:type="dxa"/>
            <w:noWrap/>
            <w:hideMark/>
          </w:tcPr>
          <w:p w14:paraId="12597A1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RIID</w:t>
            </w:r>
          </w:p>
        </w:tc>
        <w:tc>
          <w:tcPr>
            <w:tcW w:w="5373" w:type="dxa"/>
            <w:noWrap/>
            <w:hideMark/>
          </w:tcPr>
          <w:p w14:paraId="0DAE5B9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Revenue Intelligence and Investigations Department</w:t>
            </w:r>
          </w:p>
        </w:tc>
      </w:tr>
      <w:tr w:rsidR="00BD5AD0" w:rsidRPr="00BD5AD0" w14:paraId="294A3836" w14:textId="77777777" w:rsidTr="004E6765">
        <w:trPr>
          <w:trHeight w:val="300"/>
        </w:trPr>
        <w:tc>
          <w:tcPr>
            <w:tcW w:w="1167" w:type="dxa"/>
            <w:noWrap/>
            <w:hideMark/>
          </w:tcPr>
          <w:p w14:paraId="399457B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RMC</w:t>
            </w:r>
          </w:p>
        </w:tc>
        <w:tc>
          <w:tcPr>
            <w:tcW w:w="5373" w:type="dxa"/>
            <w:noWrap/>
            <w:hideMark/>
          </w:tcPr>
          <w:p w14:paraId="0AF6634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Risk Management Committee </w:t>
            </w:r>
          </w:p>
        </w:tc>
      </w:tr>
      <w:tr w:rsidR="00BD5AD0" w:rsidRPr="00BD5AD0" w14:paraId="696C0A7B" w14:textId="77777777" w:rsidTr="004E6765">
        <w:trPr>
          <w:trHeight w:val="300"/>
        </w:trPr>
        <w:tc>
          <w:tcPr>
            <w:tcW w:w="1167" w:type="dxa"/>
            <w:noWrap/>
            <w:hideMark/>
          </w:tcPr>
          <w:p w14:paraId="1F5B3EA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RUC</w:t>
            </w:r>
          </w:p>
        </w:tc>
        <w:tc>
          <w:tcPr>
            <w:tcW w:w="5373" w:type="dxa"/>
            <w:noWrap/>
            <w:hideMark/>
          </w:tcPr>
          <w:p w14:paraId="0A7FF1C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Road User Charges</w:t>
            </w:r>
          </w:p>
        </w:tc>
      </w:tr>
      <w:tr w:rsidR="00BD5AD0" w:rsidRPr="00BD5AD0" w14:paraId="57D13FDE" w14:textId="77777777" w:rsidTr="004E6765">
        <w:trPr>
          <w:trHeight w:val="300"/>
        </w:trPr>
        <w:tc>
          <w:tcPr>
            <w:tcW w:w="1167" w:type="dxa"/>
            <w:noWrap/>
            <w:hideMark/>
          </w:tcPr>
          <w:p w14:paraId="70DAF5AF"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SDGs</w:t>
            </w:r>
          </w:p>
        </w:tc>
        <w:tc>
          <w:tcPr>
            <w:tcW w:w="5373" w:type="dxa"/>
            <w:noWrap/>
            <w:hideMark/>
          </w:tcPr>
          <w:p w14:paraId="1B10351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Sustainable Development Goals </w:t>
            </w:r>
          </w:p>
        </w:tc>
      </w:tr>
      <w:tr w:rsidR="00BD5AD0" w:rsidRPr="00E01A49" w14:paraId="3026BC53" w14:textId="77777777" w:rsidTr="004E6765">
        <w:trPr>
          <w:trHeight w:val="300"/>
        </w:trPr>
        <w:tc>
          <w:tcPr>
            <w:tcW w:w="1167" w:type="dxa"/>
            <w:noWrap/>
            <w:hideMark/>
          </w:tcPr>
          <w:p w14:paraId="118C0E4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SICPA</w:t>
            </w:r>
          </w:p>
        </w:tc>
        <w:tc>
          <w:tcPr>
            <w:tcW w:w="5373" w:type="dxa"/>
            <w:noWrap/>
            <w:hideMark/>
          </w:tcPr>
          <w:p w14:paraId="450D73F8" w14:textId="77777777" w:rsidR="00BD5AD0" w:rsidRPr="001515AC" w:rsidRDefault="00BD5AD0">
            <w:pPr>
              <w:rPr>
                <w:rFonts w:ascii="Baskerville Old Face" w:hAnsi="Baskerville Old Face" w:cs="Times New Roman"/>
                <w:kern w:val="0"/>
                <w:sz w:val="20"/>
                <w:szCs w:val="20"/>
                <w:lang w:val="fr-FR"/>
                <w14:ligatures w14:val="none"/>
              </w:rPr>
            </w:pPr>
            <w:r w:rsidRPr="001515AC">
              <w:rPr>
                <w:rFonts w:ascii="Baskerville Old Face" w:hAnsi="Baskerville Old Face" w:cs="Times New Roman"/>
                <w:kern w:val="0"/>
                <w:sz w:val="20"/>
                <w:szCs w:val="20"/>
                <w:lang w:val="fr-FR"/>
                <w14:ligatures w14:val="none"/>
              </w:rPr>
              <w:t xml:space="preserve">Société Industrielle et Commerciale de Produits Alimentaires </w:t>
            </w:r>
          </w:p>
        </w:tc>
      </w:tr>
      <w:tr w:rsidR="00BD5AD0" w:rsidRPr="00BD5AD0" w14:paraId="0955D2BB" w14:textId="77777777" w:rsidTr="004E6765">
        <w:trPr>
          <w:trHeight w:val="300"/>
        </w:trPr>
        <w:tc>
          <w:tcPr>
            <w:tcW w:w="1167" w:type="dxa"/>
            <w:noWrap/>
            <w:hideMark/>
          </w:tcPr>
          <w:p w14:paraId="59137DB7"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SLBC</w:t>
            </w:r>
          </w:p>
        </w:tc>
        <w:tc>
          <w:tcPr>
            <w:tcW w:w="5373" w:type="dxa"/>
            <w:noWrap/>
            <w:hideMark/>
          </w:tcPr>
          <w:p w14:paraId="5BCAACD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Sierra Leone Broadcasting Corporation</w:t>
            </w:r>
          </w:p>
        </w:tc>
      </w:tr>
      <w:tr w:rsidR="00BD5AD0" w:rsidRPr="00BD5AD0" w14:paraId="05DBAB78" w14:textId="77777777" w:rsidTr="004E6765">
        <w:trPr>
          <w:trHeight w:val="300"/>
        </w:trPr>
        <w:tc>
          <w:tcPr>
            <w:tcW w:w="1167" w:type="dxa"/>
            <w:noWrap/>
            <w:hideMark/>
          </w:tcPr>
          <w:p w14:paraId="3C8217D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SLRSA</w:t>
            </w:r>
          </w:p>
        </w:tc>
        <w:tc>
          <w:tcPr>
            <w:tcW w:w="5373" w:type="dxa"/>
            <w:noWrap/>
            <w:hideMark/>
          </w:tcPr>
          <w:p w14:paraId="65DA618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Sierra Leone Road Safety Authority</w:t>
            </w:r>
          </w:p>
        </w:tc>
      </w:tr>
      <w:tr w:rsidR="00BD5AD0" w:rsidRPr="00BD5AD0" w14:paraId="0BA592AC" w14:textId="77777777" w:rsidTr="004E6765">
        <w:trPr>
          <w:trHeight w:val="300"/>
        </w:trPr>
        <w:tc>
          <w:tcPr>
            <w:tcW w:w="1167" w:type="dxa"/>
            <w:noWrap/>
            <w:hideMark/>
          </w:tcPr>
          <w:p w14:paraId="574DDC01"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SME</w:t>
            </w:r>
          </w:p>
        </w:tc>
        <w:tc>
          <w:tcPr>
            <w:tcW w:w="5373" w:type="dxa"/>
            <w:noWrap/>
            <w:hideMark/>
          </w:tcPr>
          <w:p w14:paraId="60FE022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Small and Medium Enterprise</w:t>
            </w:r>
          </w:p>
        </w:tc>
      </w:tr>
      <w:tr w:rsidR="00BD5AD0" w:rsidRPr="00BD5AD0" w14:paraId="10419045" w14:textId="77777777" w:rsidTr="004E6765">
        <w:trPr>
          <w:trHeight w:val="300"/>
        </w:trPr>
        <w:tc>
          <w:tcPr>
            <w:tcW w:w="1167" w:type="dxa"/>
            <w:noWrap/>
            <w:hideMark/>
          </w:tcPr>
          <w:p w14:paraId="69F897A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SMT</w:t>
            </w:r>
          </w:p>
        </w:tc>
        <w:tc>
          <w:tcPr>
            <w:tcW w:w="5373" w:type="dxa"/>
            <w:noWrap/>
            <w:hideMark/>
          </w:tcPr>
          <w:p w14:paraId="00DF440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Senior Management Team </w:t>
            </w:r>
          </w:p>
        </w:tc>
      </w:tr>
      <w:tr w:rsidR="00BD5AD0" w:rsidRPr="00BD5AD0" w14:paraId="0352C041" w14:textId="77777777" w:rsidTr="004E6765">
        <w:trPr>
          <w:trHeight w:val="300"/>
        </w:trPr>
        <w:tc>
          <w:tcPr>
            <w:tcW w:w="1167" w:type="dxa"/>
            <w:noWrap/>
            <w:hideMark/>
          </w:tcPr>
          <w:p w14:paraId="3E4864BC"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SMTO</w:t>
            </w:r>
          </w:p>
        </w:tc>
        <w:tc>
          <w:tcPr>
            <w:tcW w:w="5373" w:type="dxa"/>
            <w:noWrap/>
            <w:hideMark/>
          </w:tcPr>
          <w:p w14:paraId="7A4D521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Small and Medium Taxpayers Office</w:t>
            </w:r>
          </w:p>
        </w:tc>
      </w:tr>
      <w:tr w:rsidR="00BD5AD0" w:rsidRPr="00BD5AD0" w14:paraId="2C6E7902" w14:textId="77777777" w:rsidTr="004E6765">
        <w:trPr>
          <w:trHeight w:val="300"/>
        </w:trPr>
        <w:tc>
          <w:tcPr>
            <w:tcW w:w="1167" w:type="dxa"/>
            <w:noWrap/>
            <w:hideMark/>
          </w:tcPr>
          <w:p w14:paraId="18A6422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SOE</w:t>
            </w:r>
          </w:p>
        </w:tc>
        <w:tc>
          <w:tcPr>
            <w:tcW w:w="5373" w:type="dxa"/>
            <w:noWrap/>
            <w:hideMark/>
          </w:tcPr>
          <w:p w14:paraId="3D45738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State Owned Enterprise</w:t>
            </w:r>
          </w:p>
        </w:tc>
      </w:tr>
      <w:tr w:rsidR="00BD5AD0" w:rsidRPr="00BD5AD0" w14:paraId="5F7E1037" w14:textId="77777777" w:rsidTr="004E6765">
        <w:trPr>
          <w:trHeight w:val="300"/>
        </w:trPr>
        <w:tc>
          <w:tcPr>
            <w:tcW w:w="1167" w:type="dxa"/>
            <w:noWrap/>
            <w:hideMark/>
          </w:tcPr>
          <w:p w14:paraId="25250F9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SOPs</w:t>
            </w:r>
          </w:p>
        </w:tc>
        <w:tc>
          <w:tcPr>
            <w:tcW w:w="5373" w:type="dxa"/>
            <w:noWrap/>
            <w:hideMark/>
          </w:tcPr>
          <w:p w14:paraId="19D3700B"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Standard Operating Procedures</w:t>
            </w:r>
          </w:p>
        </w:tc>
      </w:tr>
      <w:tr w:rsidR="00BD5AD0" w:rsidRPr="00BD5AD0" w14:paraId="4E992537" w14:textId="77777777" w:rsidTr="004E6765">
        <w:trPr>
          <w:trHeight w:val="300"/>
        </w:trPr>
        <w:tc>
          <w:tcPr>
            <w:tcW w:w="1167" w:type="dxa"/>
            <w:noWrap/>
            <w:hideMark/>
          </w:tcPr>
          <w:p w14:paraId="0240ECFE"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STA</w:t>
            </w:r>
          </w:p>
        </w:tc>
        <w:tc>
          <w:tcPr>
            <w:tcW w:w="5373" w:type="dxa"/>
            <w:noWrap/>
            <w:hideMark/>
          </w:tcPr>
          <w:p w14:paraId="0FD08C0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Swedish Tax Agency</w:t>
            </w:r>
          </w:p>
        </w:tc>
      </w:tr>
      <w:tr w:rsidR="00BD5AD0" w:rsidRPr="00BD5AD0" w14:paraId="426DCF66" w14:textId="77777777" w:rsidTr="004E6765">
        <w:trPr>
          <w:trHeight w:val="300"/>
        </w:trPr>
        <w:tc>
          <w:tcPr>
            <w:tcW w:w="1167" w:type="dxa"/>
            <w:noWrap/>
            <w:hideMark/>
          </w:tcPr>
          <w:p w14:paraId="643587B2"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SWOT</w:t>
            </w:r>
          </w:p>
        </w:tc>
        <w:tc>
          <w:tcPr>
            <w:tcW w:w="5373" w:type="dxa"/>
            <w:noWrap/>
            <w:hideMark/>
          </w:tcPr>
          <w:p w14:paraId="74A393E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Strengths, Weaknesses, Opportunities, and Threats</w:t>
            </w:r>
          </w:p>
        </w:tc>
      </w:tr>
      <w:tr w:rsidR="00BD5AD0" w:rsidRPr="00BD5AD0" w14:paraId="62B0BF9A" w14:textId="77777777" w:rsidTr="004E6765">
        <w:trPr>
          <w:trHeight w:val="300"/>
        </w:trPr>
        <w:tc>
          <w:tcPr>
            <w:tcW w:w="1167" w:type="dxa"/>
            <w:noWrap/>
            <w:hideMark/>
          </w:tcPr>
          <w:p w14:paraId="09BA44D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TIN</w:t>
            </w:r>
          </w:p>
        </w:tc>
        <w:tc>
          <w:tcPr>
            <w:tcW w:w="5373" w:type="dxa"/>
            <w:noWrap/>
            <w:hideMark/>
          </w:tcPr>
          <w:p w14:paraId="49EEA15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Taxpayer Identification Number </w:t>
            </w:r>
          </w:p>
        </w:tc>
      </w:tr>
      <w:tr w:rsidR="00BD5AD0" w:rsidRPr="00BD5AD0" w14:paraId="41840F57" w14:textId="77777777" w:rsidTr="004E6765">
        <w:trPr>
          <w:trHeight w:val="300"/>
        </w:trPr>
        <w:tc>
          <w:tcPr>
            <w:tcW w:w="1167" w:type="dxa"/>
            <w:noWrap/>
            <w:hideMark/>
          </w:tcPr>
          <w:p w14:paraId="31B362D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TOR</w:t>
            </w:r>
          </w:p>
        </w:tc>
        <w:tc>
          <w:tcPr>
            <w:tcW w:w="5373" w:type="dxa"/>
            <w:noWrap/>
            <w:hideMark/>
          </w:tcPr>
          <w:p w14:paraId="49E3C18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Terms of Reference</w:t>
            </w:r>
          </w:p>
        </w:tc>
      </w:tr>
      <w:tr w:rsidR="00BD5AD0" w:rsidRPr="00BD5AD0" w14:paraId="2994578B" w14:textId="77777777" w:rsidTr="004E6765">
        <w:trPr>
          <w:trHeight w:val="300"/>
        </w:trPr>
        <w:tc>
          <w:tcPr>
            <w:tcW w:w="1167" w:type="dxa"/>
            <w:noWrap/>
            <w:hideMark/>
          </w:tcPr>
          <w:p w14:paraId="024D5866"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TSA</w:t>
            </w:r>
          </w:p>
        </w:tc>
        <w:tc>
          <w:tcPr>
            <w:tcW w:w="5373" w:type="dxa"/>
            <w:noWrap/>
            <w:hideMark/>
          </w:tcPr>
          <w:p w14:paraId="6C44E1B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Treasury Single Account</w:t>
            </w:r>
          </w:p>
        </w:tc>
      </w:tr>
      <w:tr w:rsidR="00BD5AD0" w:rsidRPr="00BD5AD0" w14:paraId="16C07C8C" w14:textId="77777777" w:rsidTr="004E6765">
        <w:trPr>
          <w:trHeight w:val="300"/>
        </w:trPr>
        <w:tc>
          <w:tcPr>
            <w:tcW w:w="1167" w:type="dxa"/>
            <w:noWrap/>
            <w:hideMark/>
          </w:tcPr>
          <w:p w14:paraId="3AEF381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UNDP</w:t>
            </w:r>
          </w:p>
        </w:tc>
        <w:tc>
          <w:tcPr>
            <w:tcW w:w="5373" w:type="dxa"/>
            <w:noWrap/>
            <w:hideMark/>
          </w:tcPr>
          <w:p w14:paraId="064817AA"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United Nations Development Programme</w:t>
            </w:r>
          </w:p>
        </w:tc>
      </w:tr>
      <w:tr w:rsidR="00BD5AD0" w:rsidRPr="00BD5AD0" w14:paraId="4951E537" w14:textId="77777777" w:rsidTr="004E6765">
        <w:trPr>
          <w:trHeight w:val="300"/>
        </w:trPr>
        <w:tc>
          <w:tcPr>
            <w:tcW w:w="1167" w:type="dxa"/>
            <w:noWrap/>
            <w:hideMark/>
          </w:tcPr>
          <w:p w14:paraId="7176CBA4"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VAPT</w:t>
            </w:r>
          </w:p>
        </w:tc>
        <w:tc>
          <w:tcPr>
            <w:tcW w:w="5373" w:type="dxa"/>
            <w:noWrap/>
            <w:hideMark/>
          </w:tcPr>
          <w:p w14:paraId="756F490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Vulnerability Assessment and Penetration Testing </w:t>
            </w:r>
          </w:p>
        </w:tc>
      </w:tr>
      <w:tr w:rsidR="00BD5AD0" w:rsidRPr="00BD5AD0" w14:paraId="5B6AB81A" w14:textId="77777777" w:rsidTr="004E6765">
        <w:trPr>
          <w:trHeight w:val="300"/>
        </w:trPr>
        <w:tc>
          <w:tcPr>
            <w:tcW w:w="1167" w:type="dxa"/>
            <w:noWrap/>
            <w:hideMark/>
          </w:tcPr>
          <w:p w14:paraId="65D34E10"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VIPS</w:t>
            </w:r>
          </w:p>
        </w:tc>
        <w:tc>
          <w:tcPr>
            <w:tcW w:w="5373" w:type="dxa"/>
            <w:noWrap/>
            <w:hideMark/>
          </w:tcPr>
          <w:p w14:paraId="7666A8E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VAT Integrated Processing System</w:t>
            </w:r>
          </w:p>
        </w:tc>
      </w:tr>
      <w:tr w:rsidR="00BD5AD0" w:rsidRPr="00BD5AD0" w14:paraId="56694CC2" w14:textId="77777777" w:rsidTr="004E6765">
        <w:trPr>
          <w:trHeight w:val="300"/>
        </w:trPr>
        <w:tc>
          <w:tcPr>
            <w:tcW w:w="1167" w:type="dxa"/>
            <w:noWrap/>
            <w:hideMark/>
          </w:tcPr>
          <w:p w14:paraId="2825A5F9"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WAMA</w:t>
            </w:r>
          </w:p>
        </w:tc>
        <w:tc>
          <w:tcPr>
            <w:tcW w:w="5373" w:type="dxa"/>
            <w:noWrap/>
            <w:hideMark/>
          </w:tcPr>
          <w:p w14:paraId="475D03D8"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 xml:space="preserve">West African Monetary Agency Building </w:t>
            </w:r>
          </w:p>
        </w:tc>
      </w:tr>
      <w:tr w:rsidR="00BD5AD0" w:rsidRPr="00BD5AD0" w14:paraId="6E2BD93F" w14:textId="77777777" w:rsidTr="004E6765">
        <w:trPr>
          <w:trHeight w:val="300"/>
        </w:trPr>
        <w:tc>
          <w:tcPr>
            <w:tcW w:w="1167" w:type="dxa"/>
            <w:noWrap/>
            <w:hideMark/>
          </w:tcPr>
          <w:p w14:paraId="20B29FC5"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WAN</w:t>
            </w:r>
          </w:p>
        </w:tc>
        <w:tc>
          <w:tcPr>
            <w:tcW w:w="5373" w:type="dxa"/>
            <w:noWrap/>
            <w:hideMark/>
          </w:tcPr>
          <w:p w14:paraId="7FA8149D" w14:textId="77777777" w:rsidR="00BD5AD0" w:rsidRPr="00BD5AD0" w:rsidRDefault="00BD5AD0">
            <w:pPr>
              <w:rPr>
                <w:rFonts w:ascii="Baskerville Old Face" w:hAnsi="Baskerville Old Face" w:cs="Times New Roman"/>
                <w:kern w:val="0"/>
                <w:sz w:val="20"/>
                <w:szCs w:val="20"/>
                <w14:ligatures w14:val="none"/>
              </w:rPr>
            </w:pPr>
            <w:r w:rsidRPr="00BD5AD0">
              <w:rPr>
                <w:rFonts w:ascii="Baskerville Old Face" w:hAnsi="Baskerville Old Face" w:cs="Times New Roman"/>
                <w:kern w:val="0"/>
                <w:sz w:val="20"/>
                <w:szCs w:val="20"/>
                <w14:ligatures w14:val="none"/>
              </w:rPr>
              <w:t>Wide Area Network</w:t>
            </w:r>
          </w:p>
        </w:tc>
      </w:tr>
    </w:tbl>
    <w:p w14:paraId="49732E8A" w14:textId="470A8AC9" w:rsidR="004F2ED1" w:rsidRPr="00220584" w:rsidRDefault="00C46E07" w:rsidP="00BC5735">
      <w:pPr>
        <w:pStyle w:val="Heading1"/>
        <w:spacing w:before="120" w:after="120"/>
        <w:rPr>
          <w:color w:val="002060"/>
        </w:rPr>
      </w:pPr>
      <w:bookmarkStart w:id="0" w:name="_Toc198205652"/>
      <w:r w:rsidRPr="00220584">
        <w:rPr>
          <w:color w:val="002060"/>
        </w:rPr>
        <w:lastRenderedPageBreak/>
        <w:t>FOR</w:t>
      </w:r>
      <w:r w:rsidR="006C7B9B">
        <w:rPr>
          <w:color w:val="002060"/>
        </w:rPr>
        <w:t>E</w:t>
      </w:r>
      <w:r w:rsidRPr="00220584">
        <w:rPr>
          <w:color w:val="002060"/>
        </w:rPr>
        <w:t>W</w:t>
      </w:r>
      <w:r w:rsidR="006C7B9B">
        <w:rPr>
          <w:color w:val="002060"/>
        </w:rPr>
        <w:t>O</w:t>
      </w:r>
      <w:r w:rsidRPr="00220584">
        <w:rPr>
          <w:color w:val="002060"/>
        </w:rPr>
        <w:t>RD BY THE COMMISSIONER GENERAL</w:t>
      </w:r>
      <w:bookmarkEnd w:id="0"/>
    </w:p>
    <w:p w14:paraId="18AA158C" w14:textId="5EE5518A"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I am proud to present the 2023 Annual Report of the National Revenue Authority (NRA). </w:t>
      </w:r>
      <w:r w:rsidR="00727DA2" w:rsidRPr="00AA51A6">
        <w:rPr>
          <w:rFonts w:ascii="Baskerville Old Face" w:hAnsi="Baskerville Old Face" w:cs="Times New Roman"/>
          <w:kern w:val="0"/>
          <w:sz w:val="23"/>
          <w:szCs w:val="23"/>
          <w14:ligatures w14:val="none"/>
        </w:rPr>
        <w:t xml:space="preserve">As the authority charged with domestic revenue </w:t>
      </w:r>
      <w:proofErr w:type="spellStart"/>
      <w:r w:rsidR="00727DA2" w:rsidRPr="00AA51A6">
        <w:rPr>
          <w:rFonts w:ascii="Baskerville Old Face" w:hAnsi="Baskerville Old Face" w:cs="Times New Roman"/>
          <w:kern w:val="0"/>
          <w:sz w:val="23"/>
          <w:szCs w:val="23"/>
          <w14:ligatures w14:val="none"/>
        </w:rPr>
        <w:t>mobilisation</w:t>
      </w:r>
      <w:proofErr w:type="spellEnd"/>
      <w:r w:rsidR="00727DA2" w:rsidRPr="00AA51A6">
        <w:rPr>
          <w:rFonts w:ascii="Baskerville Old Face" w:hAnsi="Baskerville Old Face" w:cs="Times New Roman"/>
          <w:kern w:val="0"/>
          <w:sz w:val="23"/>
          <w:szCs w:val="23"/>
          <w14:ligatures w14:val="none"/>
        </w:rPr>
        <w:t xml:space="preserve"> and trade facilitation, the NRA plays a central role in supporting Sierra Leone’s economic development. We are tasked with raising the resources needed to fund the government’s vision and ensure the efficient movement of goods across borders. </w:t>
      </w:r>
      <w:r w:rsidRPr="00AA51A6">
        <w:rPr>
          <w:rFonts w:ascii="Baskerville Old Face" w:hAnsi="Baskerville Old Face" w:cs="Times New Roman"/>
          <w:kern w:val="0"/>
          <w:sz w:val="23"/>
          <w:szCs w:val="23"/>
          <w14:ligatures w14:val="none"/>
        </w:rPr>
        <w:t xml:space="preserve">This report reflects the collective efforts of all departments </w:t>
      </w:r>
      <w:r w:rsidR="008B794C" w:rsidRPr="00AA51A6">
        <w:rPr>
          <w:rFonts w:ascii="Baskerville Old Face" w:hAnsi="Baskerville Old Face" w:cs="Times New Roman"/>
          <w:kern w:val="0"/>
          <w:sz w:val="23"/>
          <w:szCs w:val="23"/>
          <w14:ligatures w14:val="none"/>
        </w:rPr>
        <w:t>in the NRA</w:t>
      </w:r>
      <w:r w:rsidR="008C1919" w:rsidRPr="00AA51A6">
        <w:rPr>
          <w:rFonts w:ascii="Baskerville Old Face" w:hAnsi="Baskerville Old Face" w:cs="Times New Roman"/>
          <w:kern w:val="0"/>
          <w:sz w:val="23"/>
          <w:szCs w:val="23"/>
          <w14:ligatures w14:val="none"/>
        </w:rPr>
        <w:t xml:space="preserve"> in 2023</w:t>
      </w:r>
      <w:r w:rsidR="00D643EC" w:rsidRPr="00AA51A6">
        <w:rPr>
          <w:rFonts w:ascii="Baskerville Old Face" w:hAnsi="Baskerville Old Face" w:cs="Times New Roman"/>
          <w:kern w:val="0"/>
          <w:sz w:val="23"/>
          <w:szCs w:val="23"/>
          <w14:ligatures w14:val="none"/>
        </w:rPr>
        <w:t>, it describes</w:t>
      </w:r>
      <w:r w:rsidRPr="00AA51A6">
        <w:rPr>
          <w:rFonts w:ascii="Baskerville Old Face" w:hAnsi="Baskerville Old Face" w:cs="Times New Roman"/>
          <w:kern w:val="0"/>
          <w:sz w:val="23"/>
          <w:szCs w:val="23"/>
          <w14:ligatures w14:val="none"/>
        </w:rPr>
        <w:t xml:space="preserve"> the strategic initiatives </w:t>
      </w:r>
      <w:r w:rsidR="00D643EC" w:rsidRPr="00AA51A6">
        <w:rPr>
          <w:rFonts w:ascii="Baskerville Old Face" w:hAnsi="Baskerville Old Face" w:cs="Times New Roman"/>
          <w:kern w:val="0"/>
          <w:sz w:val="23"/>
          <w:szCs w:val="23"/>
          <w14:ligatures w14:val="none"/>
        </w:rPr>
        <w:t>undertaken</w:t>
      </w:r>
      <w:r w:rsidRPr="00AA51A6">
        <w:rPr>
          <w:rFonts w:ascii="Baskerville Old Face" w:hAnsi="Baskerville Old Face" w:cs="Times New Roman"/>
          <w:kern w:val="0"/>
          <w:sz w:val="23"/>
          <w:szCs w:val="23"/>
          <w14:ligatures w14:val="none"/>
        </w:rPr>
        <w:t>, revenue outcomes, challenges</w:t>
      </w:r>
      <w:r w:rsidR="0059648F" w:rsidRPr="00AA51A6">
        <w:rPr>
          <w:rFonts w:ascii="Baskerville Old Face" w:hAnsi="Baskerville Old Face" w:cs="Times New Roman"/>
          <w:kern w:val="0"/>
          <w:sz w:val="23"/>
          <w:szCs w:val="23"/>
          <w14:ligatures w14:val="none"/>
        </w:rPr>
        <w:t xml:space="preserve"> faced</w:t>
      </w:r>
      <w:r w:rsidRPr="00AA51A6">
        <w:rPr>
          <w:rFonts w:ascii="Baskerville Old Face" w:hAnsi="Baskerville Old Face" w:cs="Times New Roman"/>
          <w:kern w:val="0"/>
          <w:sz w:val="23"/>
          <w:szCs w:val="23"/>
          <w14:ligatures w14:val="none"/>
        </w:rPr>
        <w:t>, and the steps taken in response. The report reaffirms our commitment to transparency, accountability, and service delivery.</w:t>
      </w:r>
    </w:p>
    <w:p w14:paraId="7258E3B3" w14:textId="2AB5D83D" w:rsidR="00D643E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A key milestone in 2023 was the </w:t>
      </w:r>
      <w:r w:rsidR="00123036" w:rsidRPr="00AA51A6">
        <w:rPr>
          <w:rFonts w:ascii="Baskerville Old Face" w:hAnsi="Baskerville Old Face" w:cs="Times New Roman"/>
          <w:kern w:val="0"/>
          <w:sz w:val="23"/>
          <w:szCs w:val="23"/>
          <w14:ligatures w14:val="none"/>
        </w:rPr>
        <w:t xml:space="preserve">commencement </w:t>
      </w:r>
      <w:r w:rsidR="00753815" w:rsidRPr="00AA51A6">
        <w:rPr>
          <w:rFonts w:ascii="Baskerville Old Face" w:hAnsi="Baskerville Old Face" w:cs="Times New Roman"/>
          <w:kern w:val="0"/>
          <w:sz w:val="23"/>
          <w:szCs w:val="23"/>
          <w14:ligatures w14:val="none"/>
        </w:rPr>
        <w:t>of implementation</w:t>
      </w:r>
      <w:r w:rsidRPr="00AA51A6">
        <w:rPr>
          <w:rFonts w:ascii="Baskerville Old Face" w:hAnsi="Baskerville Old Face" w:cs="Times New Roman"/>
          <w:kern w:val="0"/>
          <w:sz w:val="23"/>
          <w:szCs w:val="23"/>
          <w14:ligatures w14:val="none"/>
        </w:rPr>
        <w:t xml:space="preserve"> of the NRA’s Strategic Plan for 2023–2027</w:t>
      </w:r>
      <w:r w:rsidR="00753815" w:rsidRPr="00AA51A6">
        <w:rPr>
          <w:rFonts w:ascii="Baskerville Old Face" w:hAnsi="Baskerville Old Face" w:cs="Times New Roman"/>
          <w:kern w:val="0"/>
          <w:sz w:val="23"/>
          <w:szCs w:val="23"/>
          <w14:ligatures w14:val="none"/>
        </w:rPr>
        <w:t xml:space="preserve"> and the </w:t>
      </w:r>
      <w:r w:rsidR="00BC5735" w:rsidRPr="00AA51A6">
        <w:rPr>
          <w:rFonts w:ascii="Baskerville Old Face" w:hAnsi="Baskerville Old Face" w:cs="Times New Roman"/>
          <w:kern w:val="0"/>
          <w:sz w:val="23"/>
          <w:szCs w:val="23"/>
          <w14:ligatures w14:val="none"/>
        </w:rPr>
        <w:t>Medium-Term</w:t>
      </w:r>
      <w:r w:rsidR="00753815" w:rsidRPr="00AA51A6">
        <w:rPr>
          <w:rFonts w:ascii="Baskerville Old Face" w:hAnsi="Baskerville Old Face" w:cs="Times New Roman"/>
          <w:kern w:val="0"/>
          <w:sz w:val="23"/>
          <w:szCs w:val="23"/>
          <w14:ligatures w14:val="none"/>
        </w:rPr>
        <w:t xml:space="preserve"> Revenue Strategy 2023-2027</w:t>
      </w:r>
      <w:r w:rsidRPr="00AA51A6">
        <w:rPr>
          <w:rFonts w:ascii="Baskerville Old Face" w:hAnsi="Baskerville Old Face" w:cs="Times New Roman"/>
          <w:kern w:val="0"/>
          <w:sz w:val="23"/>
          <w:szCs w:val="23"/>
          <w14:ligatures w14:val="none"/>
        </w:rPr>
        <w:t>. Thi</w:t>
      </w:r>
      <w:r w:rsidR="0032359B" w:rsidRPr="00AA51A6">
        <w:rPr>
          <w:rFonts w:ascii="Baskerville Old Face" w:hAnsi="Baskerville Old Face" w:cs="Times New Roman"/>
          <w:kern w:val="0"/>
          <w:sz w:val="23"/>
          <w:szCs w:val="23"/>
          <w14:ligatures w14:val="none"/>
        </w:rPr>
        <w:t xml:space="preserve">e </w:t>
      </w:r>
      <w:r w:rsidR="00753815" w:rsidRPr="00AA51A6">
        <w:rPr>
          <w:rFonts w:ascii="Baskerville Old Face" w:hAnsi="Baskerville Old Face" w:cs="Times New Roman"/>
          <w:kern w:val="0"/>
          <w:sz w:val="23"/>
          <w:szCs w:val="23"/>
          <w14:ligatures w14:val="none"/>
        </w:rPr>
        <w:t>S</w:t>
      </w:r>
      <w:r w:rsidR="0032359B" w:rsidRPr="00AA51A6">
        <w:rPr>
          <w:rFonts w:ascii="Baskerville Old Face" w:hAnsi="Baskerville Old Face" w:cs="Times New Roman"/>
          <w:kern w:val="0"/>
          <w:sz w:val="23"/>
          <w:szCs w:val="23"/>
          <w14:ligatures w14:val="none"/>
        </w:rPr>
        <w:t>trategic P</w:t>
      </w:r>
      <w:r w:rsidRPr="00AA51A6">
        <w:rPr>
          <w:rFonts w:ascii="Baskerville Old Face" w:hAnsi="Baskerville Old Face" w:cs="Times New Roman"/>
          <w:kern w:val="0"/>
          <w:sz w:val="23"/>
          <w:szCs w:val="23"/>
          <w14:ligatures w14:val="none"/>
        </w:rPr>
        <w:t xml:space="preserve">lan articulates the Authority’s vision, mission, values, and objectives for the next five years, notably, it details the NRA’s </w:t>
      </w:r>
      <w:r w:rsidR="00D643EC" w:rsidRPr="00AA51A6">
        <w:rPr>
          <w:rFonts w:ascii="Baskerville Old Face" w:hAnsi="Baskerville Old Face" w:cs="Times New Roman"/>
          <w:kern w:val="0"/>
          <w:sz w:val="23"/>
          <w:szCs w:val="23"/>
          <w14:ligatures w14:val="none"/>
        </w:rPr>
        <w:t xml:space="preserve">focus on </w:t>
      </w:r>
      <w:r w:rsidRPr="00AA51A6">
        <w:rPr>
          <w:rFonts w:ascii="Baskerville Old Face" w:hAnsi="Baskerville Old Face" w:cs="Times New Roman"/>
          <w:kern w:val="0"/>
          <w:sz w:val="23"/>
          <w:szCs w:val="23"/>
          <w14:ligatures w14:val="none"/>
        </w:rPr>
        <w:t xml:space="preserve">institutional reform and </w:t>
      </w:r>
      <w:r w:rsidR="00D643EC" w:rsidRPr="00AA51A6">
        <w:rPr>
          <w:rFonts w:ascii="Baskerville Old Face" w:hAnsi="Baskerville Old Face" w:cs="Times New Roman"/>
          <w:kern w:val="0"/>
          <w:sz w:val="23"/>
          <w:szCs w:val="23"/>
          <w14:ligatures w14:val="none"/>
        </w:rPr>
        <w:t xml:space="preserve">revenue </w:t>
      </w:r>
      <w:r w:rsidRPr="00AA51A6">
        <w:rPr>
          <w:rFonts w:ascii="Baskerville Old Face" w:hAnsi="Baskerville Old Face" w:cs="Times New Roman"/>
          <w:kern w:val="0"/>
          <w:sz w:val="23"/>
          <w:szCs w:val="23"/>
          <w14:ligatures w14:val="none"/>
        </w:rPr>
        <w:t>performance improvement.</w:t>
      </w:r>
      <w:r w:rsidR="00727DA2" w:rsidRPr="00AA51A6">
        <w:rPr>
          <w:rFonts w:ascii="Baskerville Old Face" w:hAnsi="Baskerville Old Face" w:cs="Times New Roman"/>
          <w:kern w:val="0"/>
          <w:sz w:val="23"/>
          <w:szCs w:val="23"/>
          <w14:ligatures w14:val="none"/>
        </w:rPr>
        <w:t xml:space="preserve"> </w:t>
      </w:r>
      <w:r w:rsidR="007826E3" w:rsidRPr="00AA51A6">
        <w:rPr>
          <w:rFonts w:ascii="Baskerville Old Face" w:hAnsi="Baskerville Old Face" w:cs="Times New Roman"/>
          <w:kern w:val="0"/>
          <w:sz w:val="23"/>
          <w:szCs w:val="23"/>
          <w14:ligatures w14:val="none"/>
        </w:rPr>
        <w:t xml:space="preserve">The MTRS on the other hand not only </w:t>
      </w:r>
      <w:r w:rsidR="00722EA8" w:rsidRPr="00AA51A6">
        <w:rPr>
          <w:rFonts w:ascii="Baskerville Old Face" w:hAnsi="Baskerville Old Face" w:cs="Times New Roman"/>
          <w:kern w:val="0"/>
          <w:sz w:val="23"/>
          <w:szCs w:val="23"/>
          <w14:ligatures w14:val="none"/>
        </w:rPr>
        <w:t>outlines the revenue administration reforms for the medium term but also articulates the tax polic</w:t>
      </w:r>
      <w:r w:rsidR="00105123" w:rsidRPr="00AA51A6">
        <w:rPr>
          <w:rFonts w:ascii="Baskerville Old Face" w:hAnsi="Baskerville Old Face" w:cs="Times New Roman"/>
          <w:kern w:val="0"/>
          <w:sz w:val="23"/>
          <w:szCs w:val="23"/>
          <w14:ligatures w14:val="none"/>
        </w:rPr>
        <w:t>y options slated for the same period, making tax policy more predictable.</w:t>
      </w:r>
    </w:p>
    <w:p w14:paraId="3A90C72A" w14:textId="5DD292DC" w:rsidR="003E6F68" w:rsidRPr="00AA51A6" w:rsidRDefault="002774A8"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D</w:t>
      </w:r>
      <w:r w:rsidR="00C711FC" w:rsidRPr="00AA51A6">
        <w:rPr>
          <w:rFonts w:ascii="Baskerville Old Face" w:hAnsi="Baskerville Old Face" w:cs="Times New Roman"/>
          <w:kern w:val="0"/>
          <w:sz w:val="23"/>
          <w:szCs w:val="23"/>
          <w14:ligatures w14:val="none"/>
        </w:rPr>
        <w:t xml:space="preserve">omestic revenue collection </w:t>
      </w:r>
      <w:r w:rsidRPr="00AA51A6">
        <w:rPr>
          <w:rFonts w:ascii="Baskerville Old Face" w:hAnsi="Baskerville Old Face" w:cs="Times New Roman"/>
          <w:kern w:val="0"/>
          <w:sz w:val="23"/>
          <w:szCs w:val="23"/>
          <w14:ligatures w14:val="none"/>
        </w:rPr>
        <w:t xml:space="preserve">in 2023 </w:t>
      </w:r>
      <w:r w:rsidR="00C711FC" w:rsidRPr="00AA51A6">
        <w:rPr>
          <w:rFonts w:ascii="Baskerville Old Face" w:hAnsi="Baskerville Old Face" w:cs="Times New Roman"/>
          <w:kern w:val="0"/>
          <w:sz w:val="23"/>
          <w:szCs w:val="23"/>
          <w14:ligatures w14:val="none"/>
        </w:rPr>
        <w:t>was NLe10.1 billion, with NLe 4.691 billion in the first half of the year (January - June) and NLe 5.409 billion, a 15% increase, in the second half of the year (July-December).</w:t>
      </w:r>
      <w:r w:rsidR="00A31B07" w:rsidRPr="00AA51A6">
        <w:rPr>
          <w:rFonts w:ascii="Baskerville Old Face" w:hAnsi="Baskerville Old Face" w:cs="Times New Roman"/>
          <w:kern w:val="0"/>
          <w:sz w:val="23"/>
          <w:szCs w:val="23"/>
          <w14:ligatures w14:val="none"/>
        </w:rPr>
        <w:t xml:space="preserve"> </w:t>
      </w:r>
      <w:r w:rsidR="00C711FC" w:rsidRPr="00AA51A6">
        <w:rPr>
          <w:rFonts w:ascii="Baskerville Old Face" w:hAnsi="Baskerville Old Face" w:cs="Times New Roman"/>
          <w:kern w:val="0"/>
          <w:sz w:val="23"/>
          <w:szCs w:val="23"/>
          <w14:ligatures w14:val="none"/>
        </w:rPr>
        <w:t>While this was marginally below the target of NLe10.562 billion, it shows resilience in a challenging year, host to disruption around national elections, high inflation rates, fiscal pressures and global economic instability such as the continued Russia-Ukraine conflict.</w:t>
      </w:r>
      <w:r w:rsidR="003E6F68" w:rsidRPr="00AA51A6">
        <w:rPr>
          <w:rFonts w:ascii="Baskerville Old Face" w:hAnsi="Baskerville Old Face" w:cs="Times New Roman"/>
          <w:kern w:val="0"/>
          <w:sz w:val="23"/>
          <w:szCs w:val="23"/>
          <w14:ligatures w14:val="none"/>
        </w:rPr>
        <w:t xml:space="preserve"> </w:t>
      </w:r>
    </w:p>
    <w:p w14:paraId="5D973018" w14:textId="2C8803C8"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Beyond revenue, there was significant </w:t>
      </w:r>
      <w:proofErr w:type="spellStart"/>
      <w:r w:rsidRPr="00AA51A6">
        <w:rPr>
          <w:rFonts w:ascii="Baskerville Old Face" w:hAnsi="Baskerville Old Face" w:cs="Times New Roman"/>
          <w:kern w:val="0"/>
          <w:sz w:val="23"/>
          <w:szCs w:val="23"/>
          <w14:ligatures w14:val="none"/>
        </w:rPr>
        <w:t>organisational</w:t>
      </w:r>
      <w:proofErr w:type="spellEnd"/>
      <w:r w:rsidRPr="00AA51A6">
        <w:rPr>
          <w:rFonts w:ascii="Baskerville Old Face" w:hAnsi="Baskerville Old Face" w:cs="Times New Roman"/>
          <w:kern w:val="0"/>
          <w:sz w:val="23"/>
          <w:szCs w:val="23"/>
          <w14:ligatures w14:val="none"/>
        </w:rPr>
        <w:t xml:space="preserve"> development in 2023. The completion and </w:t>
      </w:r>
      <w:proofErr w:type="spellStart"/>
      <w:r w:rsidRPr="00AA51A6">
        <w:rPr>
          <w:rFonts w:ascii="Baskerville Old Face" w:hAnsi="Baskerville Old Face" w:cs="Times New Roman"/>
          <w:kern w:val="0"/>
          <w:sz w:val="23"/>
          <w:szCs w:val="23"/>
          <w14:ligatures w14:val="none"/>
        </w:rPr>
        <w:t>operationalisation</w:t>
      </w:r>
      <w:proofErr w:type="spellEnd"/>
      <w:r w:rsidRPr="00AA51A6">
        <w:rPr>
          <w:rFonts w:ascii="Baskerville Old Face" w:hAnsi="Baskerville Old Face" w:cs="Times New Roman"/>
          <w:kern w:val="0"/>
          <w:sz w:val="23"/>
          <w:szCs w:val="23"/>
          <w14:ligatures w14:val="none"/>
        </w:rPr>
        <w:t xml:space="preserve"> of the Data Warehouse </w:t>
      </w:r>
      <w:proofErr w:type="gramStart"/>
      <w:r w:rsidRPr="00AA51A6">
        <w:rPr>
          <w:rFonts w:ascii="Baskerville Old Face" w:hAnsi="Baskerville Old Face" w:cs="Times New Roman"/>
          <w:kern w:val="0"/>
          <w:sz w:val="23"/>
          <w:szCs w:val="23"/>
          <w14:ligatures w14:val="none"/>
        </w:rPr>
        <w:t>System</w:t>
      </w:r>
      <w:proofErr w:type="gramEnd"/>
      <w:r w:rsidRPr="00AA51A6">
        <w:rPr>
          <w:rFonts w:ascii="Baskerville Old Face" w:hAnsi="Baskerville Old Face" w:cs="Times New Roman"/>
          <w:kern w:val="0"/>
          <w:sz w:val="23"/>
          <w:szCs w:val="23"/>
          <w14:ligatures w14:val="none"/>
        </w:rPr>
        <w:t xml:space="preserve"> which integrates data from our core revenue systems, boost</w:t>
      </w:r>
      <w:r w:rsidR="00BC56A8" w:rsidRPr="00AA51A6">
        <w:rPr>
          <w:rFonts w:ascii="Baskerville Old Face" w:hAnsi="Baskerville Old Face" w:cs="Times New Roman"/>
          <w:kern w:val="0"/>
          <w:sz w:val="23"/>
          <w:szCs w:val="23"/>
          <w14:ligatures w14:val="none"/>
        </w:rPr>
        <w:t>ed</w:t>
      </w:r>
      <w:r w:rsidRPr="00AA51A6">
        <w:rPr>
          <w:rFonts w:ascii="Baskerville Old Face" w:hAnsi="Baskerville Old Face" w:cs="Times New Roman"/>
          <w:kern w:val="0"/>
          <w:sz w:val="23"/>
          <w:szCs w:val="23"/>
          <w14:ligatures w14:val="none"/>
        </w:rPr>
        <w:t xml:space="preserve"> capacity in reporting and data analytics. We also expanded the NTR Mobile App to more government agencies and prepared for its rollout to SMEs and customs points. Furthermore, we increased our engagement with key stakeholders, pushing for improved collaboration and shared accountability. </w:t>
      </w:r>
    </w:p>
    <w:p w14:paraId="0C1CEEA0" w14:textId="7A53FD28"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Looking ahead, we will intensify our focus on enhancing compliance, </w:t>
      </w:r>
      <w:proofErr w:type="spellStart"/>
      <w:r w:rsidRPr="00AA51A6">
        <w:rPr>
          <w:rFonts w:ascii="Baskerville Old Face" w:hAnsi="Baskerville Old Face" w:cs="Times New Roman"/>
          <w:kern w:val="0"/>
          <w:sz w:val="23"/>
          <w:szCs w:val="23"/>
          <w14:ligatures w14:val="none"/>
        </w:rPr>
        <w:t>operationalising</w:t>
      </w:r>
      <w:proofErr w:type="spellEnd"/>
      <w:r w:rsidRPr="00AA51A6">
        <w:rPr>
          <w:rFonts w:ascii="Baskerville Old Face" w:hAnsi="Baskerville Old Face" w:cs="Times New Roman"/>
          <w:kern w:val="0"/>
          <w:sz w:val="23"/>
          <w:szCs w:val="23"/>
          <w14:ligatures w14:val="none"/>
        </w:rPr>
        <w:t xml:space="preserve"> provisions in the Finance Act 2024, expanding digital integration, and strengthening taxpayer services. These initiatives, aligned with our strategic plan, seek to increase revenue and grow the national economy.</w:t>
      </w:r>
    </w:p>
    <w:p w14:paraId="4CFB24CD" w14:textId="61E56861" w:rsidR="00C711FC" w:rsidRPr="00AA51A6" w:rsidRDefault="00C711FC" w:rsidP="00E01A49">
      <w:pPr>
        <w:spacing w:before="100" w:beforeAutospacing="1" w:after="100" w:afterAutospacing="1" w:line="276" w:lineRule="auto"/>
        <w:jc w:val="both"/>
        <w:rPr>
          <w:rFonts w:ascii="Baskerville Old Face" w:hAnsi="Baskerville Old Face" w:cs="Times New Roman"/>
          <w:kern w:val="0"/>
          <w:sz w:val="23"/>
          <w:szCs w:val="23"/>
          <w14:ligatures w14:val="none"/>
        </w:rPr>
      </w:pPr>
      <w:r w:rsidRPr="00AA51A6">
        <w:rPr>
          <w:rFonts w:ascii="Baskerville Old Face" w:hAnsi="Baskerville Old Face" w:cs="Times New Roman"/>
          <w:kern w:val="0"/>
          <w:sz w:val="23"/>
          <w:szCs w:val="23"/>
          <w14:ligatures w14:val="none"/>
        </w:rPr>
        <w:t xml:space="preserve">I wish to </w:t>
      </w:r>
      <w:r w:rsidR="00F4250A" w:rsidRPr="00AA51A6">
        <w:rPr>
          <w:rFonts w:ascii="Baskerville Old Face" w:hAnsi="Baskerville Old Face" w:cs="Times New Roman"/>
          <w:kern w:val="0"/>
          <w:sz w:val="23"/>
          <w:szCs w:val="23"/>
          <w14:ligatures w14:val="none"/>
        </w:rPr>
        <w:t xml:space="preserve">extend my gratitude </w:t>
      </w:r>
      <w:r w:rsidRPr="00AA51A6">
        <w:rPr>
          <w:rFonts w:ascii="Baskerville Old Face" w:hAnsi="Baskerville Old Face" w:cs="Times New Roman"/>
          <w:kern w:val="0"/>
          <w:sz w:val="23"/>
          <w:szCs w:val="23"/>
          <w14:ligatures w14:val="none"/>
        </w:rPr>
        <w:t xml:space="preserve">to the Ministry of Finance, the NRA Board of Directors, the Senior Management Team, </w:t>
      </w:r>
      <w:r w:rsidR="00C65C6F" w:rsidRPr="00AA51A6">
        <w:rPr>
          <w:rFonts w:ascii="Baskerville Old Face" w:hAnsi="Baskerville Old Face" w:cs="Times New Roman"/>
          <w:kern w:val="0"/>
          <w:sz w:val="23"/>
          <w:szCs w:val="23"/>
          <w14:ligatures w14:val="none"/>
        </w:rPr>
        <w:t>to all</w:t>
      </w:r>
      <w:r w:rsidR="00F4250A" w:rsidRPr="00AA51A6">
        <w:rPr>
          <w:rFonts w:ascii="Baskerville Old Face" w:hAnsi="Baskerville Old Face" w:cs="Times New Roman"/>
          <w:kern w:val="0"/>
          <w:sz w:val="23"/>
          <w:szCs w:val="23"/>
          <w14:ligatures w14:val="none"/>
        </w:rPr>
        <w:t xml:space="preserve"> </w:t>
      </w:r>
      <w:r w:rsidRPr="00AA51A6">
        <w:rPr>
          <w:rFonts w:ascii="Baskerville Old Face" w:hAnsi="Baskerville Old Face" w:cs="Times New Roman"/>
          <w:kern w:val="0"/>
          <w:sz w:val="23"/>
          <w:szCs w:val="23"/>
          <w14:ligatures w14:val="none"/>
        </w:rPr>
        <w:t>NRA staff, and development partners. Together, we will continue to strengthen revenue and customs administration and drive development in Sierra Leone.</w:t>
      </w:r>
    </w:p>
    <w:p w14:paraId="6BE68DE0" w14:textId="77777777" w:rsidR="0038520F" w:rsidRPr="00AA51A6" w:rsidRDefault="00C711FC" w:rsidP="0038520F">
      <w:pPr>
        <w:spacing w:after="0" w:line="240" w:lineRule="auto"/>
        <w:rPr>
          <w:rFonts w:ascii="Baskerville Old Face" w:hAnsi="Baskerville Old Face" w:cs="Times New Roman"/>
          <w:i/>
          <w:iCs/>
          <w:kern w:val="0"/>
          <w:sz w:val="23"/>
          <w:szCs w:val="23"/>
          <w14:ligatures w14:val="none"/>
        </w:rPr>
      </w:pPr>
      <w:r w:rsidRPr="00AA51A6">
        <w:rPr>
          <w:rFonts w:ascii="Baskerville Old Face" w:hAnsi="Baskerville Old Face" w:cs="Times New Roman"/>
          <w:b/>
          <w:bCs/>
          <w:kern w:val="0"/>
          <w:sz w:val="23"/>
          <w:szCs w:val="23"/>
          <w14:ligatures w14:val="none"/>
        </w:rPr>
        <w:t>Sincerely,</w:t>
      </w:r>
      <w:r w:rsidRPr="00AA51A6">
        <w:rPr>
          <w:rFonts w:ascii="Baskerville Old Face" w:hAnsi="Baskerville Old Face" w:cs="Times New Roman"/>
          <w:kern w:val="0"/>
          <w:sz w:val="23"/>
          <w:szCs w:val="23"/>
          <w14:ligatures w14:val="none"/>
        </w:rPr>
        <w:br/>
      </w:r>
      <w:r w:rsidRPr="00AA51A6">
        <w:rPr>
          <w:rFonts w:ascii="Baskerville Old Face" w:hAnsi="Baskerville Old Face" w:cs="Times New Roman"/>
          <w:i/>
          <w:iCs/>
          <w:kern w:val="0"/>
          <w:sz w:val="23"/>
          <w:szCs w:val="23"/>
          <w14:ligatures w14:val="none"/>
        </w:rPr>
        <w:t>Mrs. Jeneba J. Bangura</w:t>
      </w:r>
    </w:p>
    <w:p w14:paraId="1C92988D" w14:textId="47503AA4" w:rsidR="0038520F" w:rsidRPr="00AA51A6" w:rsidRDefault="00C711FC" w:rsidP="0038520F">
      <w:pPr>
        <w:spacing w:after="0" w:line="240" w:lineRule="auto"/>
        <w:rPr>
          <w:rFonts w:ascii="Baskerville Old Face" w:hAnsi="Baskerville Old Face" w:cs="Times New Roman"/>
          <w:i/>
          <w:iCs/>
          <w:kern w:val="0"/>
          <w:sz w:val="23"/>
          <w:szCs w:val="23"/>
          <w14:ligatures w14:val="none"/>
        </w:rPr>
      </w:pPr>
      <w:r w:rsidRPr="00AA51A6">
        <w:rPr>
          <w:rFonts w:ascii="Baskerville Old Face" w:hAnsi="Baskerville Old Face" w:cs="Times New Roman"/>
          <w:kern w:val="0"/>
          <w:sz w:val="23"/>
          <w:szCs w:val="23"/>
          <w14:ligatures w14:val="none"/>
        </w:rPr>
        <w:br/>
      </w:r>
      <w:r w:rsidR="0038520F" w:rsidRPr="00AA51A6">
        <w:rPr>
          <w:rFonts w:ascii="Baskerville Old Face" w:hAnsi="Baskerville Old Face" w:cs="Times New Roman"/>
          <w:i/>
          <w:iCs/>
          <w:kern w:val="0"/>
          <w:sz w:val="23"/>
          <w:szCs w:val="23"/>
          <w14:ligatures w14:val="none"/>
        </w:rPr>
        <w:t>C</w:t>
      </w:r>
      <w:r w:rsidRPr="00AA51A6">
        <w:rPr>
          <w:rFonts w:ascii="Baskerville Old Face" w:hAnsi="Baskerville Old Face" w:cs="Times New Roman"/>
          <w:i/>
          <w:iCs/>
          <w:kern w:val="0"/>
          <w:sz w:val="23"/>
          <w:szCs w:val="23"/>
          <w14:ligatures w14:val="none"/>
        </w:rPr>
        <w:t>ommissioner-General</w:t>
      </w:r>
    </w:p>
    <w:p w14:paraId="636C771A" w14:textId="0C510DFF" w:rsidR="000425D1" w:rsidRPr="00AA51A6" w:rsidRDefault="000425D1" w:rsidP="0038520F">
      <w:pPr>
        <w:spacing w:after="0" w:line="240" w:lineRule="auto"/>
        <w:rPr>
          <w:rFonts w:ascii="Baskerville Old Face" w:hAnsi="Baskerville Old Face" w:cs="Times New Roman"/>
          <w:i/>
          <w:iCs/>
          <w:kern w:val="0"/>
          <w:sz w:val="23"/>
          <w:szCs w:val="23"/>
          <w14:ligatures w14:val="none"/>
        </w:rPr>
      </w:pPr>
      <w:r w:rsidRPr="00AA51A6">
        <w:rPr>
          <w:rFonts w:ascii="Baskerville Old Face" w:hAnsi="Baskerville Old Face" w:cs="Times New Roman"/>
          <w:i/>
          <w:iCs/>
          <w:kern w:val="0"/>
          <w:sz w:val="23"/>
          <w:szCs w:val="23"/>
          <w14:ligatures w14:val="none"/>
        </w:rPr>
        <w:t>National Revenue Authority</w:t>
      </w:r>
    </w:p>
    <w:p w14:paraId="4F479AD8" w14:textId="3BAF1EDB" w:rsidR="00625BF5" w:rsidRPr="00220584" w:rsidRDefault="00625BF5" w:rsidP="00F300FD">
      <w:pPr>
        <w:pStyle w:val="Heading1"/>
        <w:rPr>
          <w:color w:val="002060"/>
        </w:rPr>
      </w:pPr>
      <w:bookmarkStart w:id="1" w:name="_Toc198205653"/>
      <w:r w:rsidRPr="00220584">
        <w:rPr>
          <w:color w:val="002060"/>
        </w:rPr>
        <w:lastRenderedPageBreak/>
        <w:t>CHAPTER ONE</w:t>
      </w:r>
      <w:r w:rsidR="00F300FD" w:rsidRPr="00220584">
        <w:rPr>
          <w:color w:val="002060"/>
        </w:rPr>
        <w:t xml:space="preserve">: </w:t>
      </w:r>
      <w:r w:rsidRPr="00220584">
        <w:rPr>
          <w:color w:val="002060"/>
        </w:rPr>
        <w:t>INTRODUCTION</w:t>
      </w:r>
      <w:bookmarkEnd w:id="1"/>
    </w:p>
    <w:p w14:paraId="69DE49BA" w14:textId="4B3894AB" w:rsidR="00625BF5" w:rsidRPr="00285F16" w:rsidRDefault="00625BF5" w:rsidP="00E01A49">
      <w:pPr>
        <w:spacing w:line="360" w:lineRule="auto"/>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The National Revenue Authority (NRA) was founded in 2002 under the National Revenue Act (</w:t>
      </w:r>
      <w:r w:rsidR="00EA2A56" w:rsidRPr="00285F16">
        <w:rPr>
          <w:rFonts w:ascii="Baskerville Old Face" w:hAnsi="Baskerville Old Face" w:cs="Times New Roman"/>
          <w:kern w:val="0"/>
          <w:sz w:val="24"/>
          <w:szCs w:val="24"/>
          <w14:ligatures w14:val="none"/>
        </w:rPr>
        <w:t xml:space="preserve">as </w:t>
      </w:r>
      <w:r w:rsidRPr="00285F16">
        <w:rPr>
          <w:rFonts w:ascii="Baskerville Old Face" w:hAnsi="Baskerville Old Face" w:cs="Times New Roman"/>
          <w:kern w:val="0"/>
          <w:sz w:val="24"/>
          <w:szCs w:val="24"/>
          <w14:ligatures w14:val="none"/>
        </w:rPr>
        <w:t xml:space="preserve">amended in 2022) as part of governmental reforms aimed at </w:t>
      </w:r>
      <w:r w:rsidR="00F75188" w:rsidRPr="00285F16">
        <w:rPr>
          <w:rFonts w:ascii="Baskerville Old Face" w:hAnsi="Baskerville Old Face" w:cs="Times New Roman"/>
          <w:kern w:val="0"/>
          <w:sz w:val="24"/>
          <w:szCs w:val="24"/>
          <w14:ligatures w14:val="none"/>
        </w:rPr>
        <w:t>enhancing</w:t>
      </w:r>
      <w:r w:rsidRPr="00285F16">
        <w:rPr>
          <w:rFonts w:ascii="Baskerville Old Face" w:hAnsi="Baskerville Old Face" w:cs="Times New Roman"/>
          <w:kern w:val="0"/>
          <w:sz w:val="24"/>
          <w:szCs w:val="24"/>
          <w14:ligatures w14:val="none"/>
        </w:rPr>
        <w:t xml:space="preserve"> revenue administration and collection. According to the NRA Act of 2002, its primary role is to assess and collect tax and non-tax revenues as mandated by law on behalf of the Government. Additionally, it is responsible for overseeing and enforcing revenue laws. The NRA's core mandates encompass the following:</w:t>
      </w:r>
    </w:p>
    <w:p w14:paraId="0FBF5604" w14:textId="1E26DFA3" w:rsidR="00625BF5" w:rsidRPr="00285F16" w:rsidRDefault="00625BF5" w:rsidP="00E01A49">
      <w:pPr>
        <w:numPr>
          <w:ilvl w:val="0"/>
          <w:numId w:val="1"/>
        </w:numPr>
        <w:spacing w:line="360" w:lineRule="auto"/>
        <w:contextualSpacing/>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Assessing and collecting revenues for the </w:t>
      </w:r>
      <w:r w:rsidR="003672B0">
        <w:rPr>
          <w:rFonts w:ascii="Baskerville Old Face" w:hAnsi="Baskerville Old Face" w:cs="Times New Roman"/>
          <w:kern w:val="0"/>
          <w:sz w:val="24"/>
          <w:szCs w:val="24"/>
          <w14:ligatures w14:val="none"/>
        </w:rPr>
        <w:t>g</w:t>
      </w:r>
      <w:r w:rsidRPr="00285F16">
        <w:rPr>
          <w:rFonts w:ascii="Baskerville Old Face" w:hAnsi="Baskerville Old Face" w:cs="Times New Roman"/>
          <w:kern w:val="0"/>
          <w:sz w:val="24"/>
          <w:szCs w:val="24"/>
          <w14:ligatures w14:val="none"/>
        </w:rPr>
        <w:t>overnment.</w:t>
      </w:r>
    </w:p>
    <w:p w14:paraId="3A538B14" w14:textId="77777777" w:rsidR="00625BF5" w:rsidRPr="00285F16" w:rsidRDefault="00625BF5" w:rsidP="00625BF5">
      <w:pPr>
        <w:numPr>
          <w:ilvl w:val="0"/>
          <w:numId w:val="1"/>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compliance by ensuring timely filing of returns and payments.</w:t>
      </w:r>
    </w:p>
    <w:p w14:paraId="320B5DE0" w14:textId="77777777" w:rsidR="00625BF5" w:rsidRPr="00285F16" w:rsidRDefault="00625BF5" w:rsidP="00625BF5">
      <w:pPr>
        <w:numPr>
          <w:ilvl w:val="0"/>
          <w:numId w:val="1"/>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Improving trade facilitation and border security.</w:t>
      </w:r>
    </w:p>
    <w:p w14:paraId="791D2B85" w14:textId="1875D7A0" w:rsidR="00625BF5" w:rsidRPr="00285F16" w:rsidRDefault="00625BF5" w:rsidP="00625BF5">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The year 2023 marks the inaugural year of the implementation of a five-year Strategic Plan. The Strategic Plan 2023 - 2027 is the third structured NRA Strategic Plan which focused on leveraging modern technology to guide the operations of the Authority through the next five </w:t>
      </w:r>
      <w:r w:rsidR="008A4B1B" w:rsidRPr="00285F16">
        <w:rPr>
          <w:rFonts w:ascii="Baskerville Old Face" w:hAnsi="Baskerville Old Face" w:cs="Times New Roman"/>
          <w:kern w:val="0"/>
          <w:sz w:val="24"/>
          <w:szCs w:val="24"/>
          <w14:ligatures w14:val="none"/>
        </w:rPr>
        <w:t>years and</w:t>
      </w:r>
      <w:r w:rsidRPr="00285F16">
        <w:rPr>
          <w:rFonts w:ascii="Baskerville Old Face" w:hAnsi="Baskerville Old Face" w:cs="Times New Roman"/>
          <w:kern w:val="0"/>
          <w:sz w:val="24"/>
          <w:szCs w:val="24"/>
          <w14:ligatures w14:val="none"/>
        </w:rPr>
        <w:t xml:space="preserve"> leveraging on the gains made in the last Strategic Plan. It draws from the Medium-term National Development Plan (MTNDP)</w:t>
      </w:r>
      <w:r w:rsidR="00D37921">
        <w:rPr>
          <w:rFonts w:ascii="Baskerville Old Face" w:hAnsi="Baskerville Old Face" w:cs="Times New Roman"/>
          <w:kern w:val="0"/>
          <w:sz w:val="24"/>
          <w:szCs w:val="24"/>
          <w14:ligatures w14:val="none"/>
        </w:rPr>
        <w:t>, SDGs and MTRS,</w:t>
      </w:r>
      <w:r w:rsidRPr="00285F16">
        <w:rPr>
          <w:rFonts w:ascii="Baskerville Old Face" w:hAnsi="Baskerville Old Face" w:cs="Times New Roman"/>
          <w:kern w:val="0"/>
          <w:sz w:val="24"/>
          <w:szCs w:val="24"/>
          <w14:ligatures w14:val="none"/>
        </w:rPr>
        <w:t xml:space="preserve"> and feeds into annual departmental focused work plans where </w:t>
      </w:r>
      <w:proofErr w:type="gramStart"/>
      <w:r w:rsidRPr="00285F16">
        <w:rPr>
          <w:rFonts w:ascii="Baskerville Old Face" w:hAnsi="Baskerville Old Face" w:cs="Times New Roman"/>
          <w:kern w:val="0"/>
          <w:sz w:val="24"/>
          <w:szCs w:val="24"/>
          <w14:ligatures w14:val="none"/>
        </w:rPr>
        <w:t>a more</w:t>
      </w:r>
      <w:proofErr w:type="gramEnd"/>
      <w:r w:rsidRPr="00285F16">
        <w:rPr>
          <w:rFonts w:ascii="Baskerville Old Face" w:hAnsi="Baskerville Old Face" w:cs="Times New Roman"/>
          <w:kern w:val="0"/>
          <w:sz w:val="24"/>
          <w:szCs w:val="24"/>
          <w14:ligatures w14:val="none"/>
        </w:rPr>
        <w:t xml:space="preserve"> detailed activities and performance measures are determined. </w:t>
      </w:r>
    </w:p>
    <w:p w14:paraId="6F1B82A7" w14:textId="77777777" w:rsidR="00625BF5" w:rsidRPr="00285F16" w:rsidRDefault="00625BF5" w:rsidP="00625BF5">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The previous Strategic Plan from 2018 to 2022 was notable for its intensified strategies targeting effective and efficient revenue collection. This included the implementation and integration of five key operational information systems nationwide—AYCUDA World, Customs Electronic Single Window (CESW), Integrated Tax Administration System (ITAS), Electronic Cash Register (ECR), and a Mobile Payment App for NTR payment. Additionally, efforts were made to bolster staff capabilities and expand the tax base by registering small and medium-sized taxpayers.</w:t>
      </w:r>
    </w:p>
    <w:p w14:paraId="0D702BE5" w14:textId="4C94ACC6" w:rsidR="00625BF5" w:rsidRPr="00285F16" w:rsidRDefault="00625BF5" w:rsidP="004C2032">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During the fiscal year 2023, the Authority continued to expand and enforce recently implemented reforms. This report serves as an update on the Authority's performance, as mandated by the NRA Act of 2002. It is structured into five chapters as follows: </w:t>
      </w:r>
    </w:p>
    <w:p w14:paraId="1331A4BC" w14:textId="77777777" w:rsidR="00625BF5" w:rsidRPr="00285F16" w:rsidRDefault="00625BF5" w:rsidP="004C2032">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Chapter 1 covers the Authority's background, including its corporate statement, strategic planning, and governance structure, while Chapters 2 and 3 offer analyses of revenue and non-revenue performance, respectively. Other relevant statistics are </w:t>
      </w:r>
      <w:proofErr w:type="spellStart"/>
      <w:r w:rsidRPr="00285F16">
        <w:rPr>
          <w:rFonts w:ascii="Baskerville Old Face" w:hAnsi="Baskerville Old Face" w:cs="Times New Roman"/>
          <w:kern w:val="0"/>
          <w:sz w:val="24"/>
          <w:szCs w:val="24"/>
          <w14:ligatures w14:val="none"/>
        </w:rPr>
        <w:t>analysed</w:t>
      </w:r>
      <w:proofErr w:type="spellEnd"/>
      <w:r w:rsidRPr="00285F16">
        <w:rPr>
          <w:rFonts w:ascii="Baskerville Old Face" w:hAnsi="Baskerville Old Face" w:cs="Times New Roman"/>
          <w:kern w:val="0"/>
          <w:sz w:val="24"/>
          <w:szCs w:val="24"/>
          <w14:ligatures w14:val="none"/>
        </w:rPr>
        <w:t xml:space="preserve"> in Chapter 4. Finally, Chapter 5 outlines forthcoming strategies and prospects for meeting revenue targets in 2024.</w:t>
      </w:r>
    </w:p>
    <w:p w14:paraId="6C938D18" w14:textId="681E78C6" w:rsidR="001B4D26" w:rsidRDefault="00A71AC3" w:rsidP="00A176F4">
      <w:pPr>
        <w:pStyle w:val="Heading2"/>
        <w:rPr>
          <w:lang w:val="en-GB"/>
        </w:rPr>
      </w:pPr>
      <w:bookmarkStart w:id="2" w:name="_Toc198205654"/>
      <w:r>
        <w:rPr>
          <w:lang w:val="en-GB"/>
        </w:rPr>
        <w:lastRenderedPageBreak/>
        <w:t xml:space="preserve">1.1: </w:t>
      </w:r>
      <w:r w:rsidR="001B4D26" w:rsidRPr="00285F16">
        <w:rPr>
          <w:lang w:val="en-GB"/>
        </w:rPr>
        <w:t>NRA CORPORATE STATEMENT</w:t>
      </w:r>
      <w:bookmarkEnd w:id="2"/>
    </w:p>
    <w:p w14:paraId="59EAF109" w14:textId="77777777" w:rsidR="00A176F4" w:rsidRPr="00A176F4" w:rsidRDefault="00A176F4" w:rsidP="00A176F4">
      <w:pPr>
        <w:rPr>
          <w:lang w:val="en-GB"/>
        </w:rPr>
      </w:pPr>
    </w:p>
    <w:p w14:paraId="7398B898" w14:textId="4152FADE" w:rsidR="001B4D26" w:rsidRDefault="001B4D26" w:rsidP="00AB5A20">
      <w:pPr>
        <w:spacing w:line="276"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The vision, mission and mandate of the </w:t>
      </w:r>
      <w:r w:rsidR="00632CB1">
        <w:rPr>
          <w:rFonts w:ascii="Baskerville Old Face" w:hAnsi="Baskerville Old Face" w:cs="Times New Roman"/>
          <w:kern w:val="0"/>
          <w:sz w:val="24"/>
          <w:szCs w:val="24"/>
          <w:lang w:val="en-GB"/>
          <w14:ligatures w14:val="none"/>
        </w:rPr>
        <w:t>NRA</w:t>
      </w:r>
      <w:r w:rsidRPr="00285F16">
        <w:rPr>
          <w:rFonts w:ascii="Baskerville Old Face" w:hAnsi="Baskerville Old Face" w:cs="Times New Roman"/>
          <w:kern w:val="0"/>
          <w:sz w:val="24"/>
          <w:szCs w:val="24"/>
          <w:lang w:val="en-GB"/>
          <w14:ligatures w14:val="none"/>
        </w:rPr>
        <w:t xml:space="preserve"> are expressed </w:t>
      </w:r>
      <w:r w:rsidR="00664639">
        <w:rPr>
          <w:rFonts w:ascii="Baskerville Old Face" w:hAnsi="Baskerville Old Face" w:cs="Times New Roman"/>
          <w:kern w:val="0"/>
          <w:sz w:val="24"/>
          <w:szCs w:val="24"/>
          <w:lang w:val="en-GB"/>
          <w14:ligatures w14:val="none"/>
        </w:rPr>
        <w:t xml:space="preserve">in Figure 1. </w:t>
      </w:r>
    </w:p>
    <w:p w14:paraId="22089A94" w14:textId="3FB7D6B1" w:rsidR="00664639" w:rsidRPr="00285F16" w:rsidRDefault="00664639" w:rsidP="00AB5A20">
      <w:pPr>
        <w:spacing w:line="276" w:lineRule="auto"/>
        <w:jc w:val="both"/>
        <w:rPr>
          <w:rFonts w:ascii="Baskerville Old Face" w:hAnsi="Baskerville Old Face" w:cs="Times New Roman"/>
          <w:kern w:val="0"/>
          <w:sz w:val="24"/>
          <w:szCs w:val="24"/>
          <w:lang w:val="en-GB"/>
          <w14:ligatures w14:val="none"/>
        </w:rPr>
      </w:pPr>
      <w:bookmarkStart w:id="3" w:name="Figure1"/>
      <w:r w:rsidRPr="00266D01">
        <w:rPr>
          <w:rFonts w:ascii="Baskerville Old Face" w:hAnsi="Baskerville Old Face" w:cs="Times New Roman"/>
          <w:b/>
          <w:bCs/>
          <w:i/>
          <w:iCs/>
          <w:kern w:val="0"/>
          <w:sz w:val="24"/>
          <w:szCs w:val="24"/>
          <w:lang w:val="en-GB"/>
          <w14:ligatures w14:val="none"/>
        </w:rPr>
        <w:t xml:space="preserve">Figure </w:t>
      </w:r>
      <w:r w:rsidR="00266D01">
        <w:rPr>
          <w:rFonts w:ascii="Baskerville Old Face" w:hAnsi="Baskerville Old Face" w:cs="Times New Roman"/>
          <w:b/>
          <w:bCs/>
          <w:i/>
          <w:iCs/>
          <w:kern w:val="0"/>
          <w:sz w:val="24"/>
          <w:szCs w:val="24"/>
          <w:lang w:val="en-GB"/>
          <w14:ligatures w14:val="none"/>
        </w:rPr>
        <w:t>1:</w:t>
      </w:r>
      <w:r>
        <w:rPr>
          <w:rFonts w:ascii="Baskerville Old Face" w:hAnsi="Baskerville Old Face" w:cs="Times New Roman"/>
          <w:kern w:val="0"/>
          <w:sz w:val="24"/>
          <w:szCs w:val="24"/>
          <w:lang w:val="en-GB"/>
          <w14:ligatures w14:val="none"/>
        </w:rPr>
        <w:t xml:space="preserve"> </w:t>
      </w:r>
      <w:bookmarkEnd w:id="3"/>
      <w:r w:rsidRPr="00664639">
        <w:rPr>
          <w:rFonts w:ascii="Baskerville Old Face" w:hAnsi="Baskerville Old Face" w:cs="Times New Roman"/>
          <w:b/>
          <w:bCs/>
          <w:i/>
          <w:iCs/>
          <w:kern w:val="0"/>
          <w:sz w:val="24"/>
          <w:szCs w:val="24"/>
          <w:lang w:val="en-GB"/>
          <w14:ligatures w14:val="none"/>
        </w:rPr>
        <w:t>The Vision, Mission, and Mandate of the NRA</w:t>
      </w:r>
    </w:p>
    <w:p w14:paraId="35F336EB" w14:textId="67410425" w:rsidR="00945AF8" w:rsidRPr="00285F16" w:rsidRDefault="00664639" w:rsidP="00AB5A20">
      <w:pPr>
        <w:spacing w:line="240" w:lineRule="auto"/>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61312" behindDoc="0" locked="0" layoutInCell="1" allowOverlap="1" wp14:anchorId="7B8E084E" wp14:editId="3D03662E">
                <wp:simplePos x="0" y="0"/>
                <wp:positionH relativeFrom="column">
                  <wp:posOffset>2103120</wp:posOffset>
                </wp:positionH>
                <wp:positionV relativeFrom="paragraph">
                  <wp:posOffset>78105</wp:posOffset>
                </wp:positionV>
                <wp:extent cx="2286000" cy="1630680"/>
                <wp:effectExtent l="0" t="0" r="19050" b="26670"/>
                <wp:wrapNone/>
                <wp:docPr id="1406486584"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4">
                            <a:lumMod val="20000"/>
                            <a:lumOff val="80000"/>
                          </a:schemeClr>
                        </a:solidFill>
                        <a:ln w="12700" cap="flat" cmpd="sng" algn="ctr">
                          <a:solidFill>
                            <a:srgbClr val="4472C4">
                              <a:shade val="15000"/>
                            </a:srgbClr>
                          </a:solidFill>
                          <a:prstDash val="solid"/>
                          <a:miter lim="800000"/>
                        </a:ln>
                        <a:effectLst/>
                      </wps:spPr>
                      <wps:txbx>
                        <w:txbxContent>
                          <w:p w14:paraId="0D7CD21E" w14:textId="77777777" w:rsidR="00C83BBE" w:rsidRDefault="00C83BBE" w:rsidP="00C83BBE">
                            <w:pPr>
                              <w:jc w:val="both"/>
                              <w:rPr>
                                <w:rFonts w:ascii="Times New Roman" w:hAnsi="Times New Roman" w:cs="Times New Roman"/>
                                <w:color w:val="FFFFFF" w:themeColor="background1"/>
                              </w:rPr>
                            </w:pPr>
                          </w:p>
                          <w:p w14:paraId="73C1D887" w14:textId="5F001E18" w:rsidR="00945AF8" w:rsidRPr="00A35C5F" w:rsidRDefault="00F7112C"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efficient and sustainable administration of revenue and trade facilitation to enhance Government fiscal space for national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E084E" id="Rectangle 9" o:spid="_x0000_s1026" style="position:absolute;margin-left:165.6pt;margin-top:6.15pt;width:180pt;height:1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" fillcolor="#fff2cc [663]" strokecolor="#172c51" strokeweight="1pt">
                <v:textbox>
                  <w:txbxContent>
                    <w:p w14:paraId="0D7CD21E" w14:textId="77777777" w:rsidR="00C83BBE" w:rsidRDefault="00C83BBE" w:rsidP="00C83BBE">
                      <w:pPr>
                        <w:jc w:val="both"/>
                        <w:rPr>
                          <w:rFonts w:ascii="Times New Roman" w:hAnsi="Times New Roman" w:cs="Times New Roman"/>
                          <w:color w:val="FFFFFF" w:themeColor="background1"/>
                        </w:rPr>
                      </w:pPr>
                    </w:p>
                    <w:p w14:paraId="73C1D887" w14:textId="5F001E18" w:rsidR="00945AF8" w:rsidRPr="00A35C5F" w:rsidRDefault="00F7112C"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efficient and sustainable administration of revenue and trade facilitation to enhance Government fiscal space for national development.</w:t>
                      </w:r>
                    </w:p>
                  </w:txbxContent>
                </v:textbox>
              </v:rect>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663360" behindDoc="0" locked="0" layoutInCell="1" allowOverlap="1" wp14:anchorId="5D6297CE" wp14:editId="4F6CE202">
                <wp:simplePos x="0" y="0"/>
                <wp:positionH relativeFrom="margin">
                  <wp:posOffset>4381500</wp:posOffset>
                </wp:positionH>
                <wp:positionV relativeFrom="paragraph">
                  <wp:posOffset>78105</wp:posOffset>
                </wp:positionV>
                <wp:extent cx="2286000" cy="1630680"/>
                <wp:effectExtent l="0" t="0" r="19050" b="26670"/>
                <wp:wrapNone/>
                <wp:docPr id="1869639"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accent5">
                            <a:lumMod val="20000"/>
                            <a:lumOff val="80000"/>
                          </a:schemeClr>
                        </a:solidFill>
                        <a:ln w="12700" cap="flat" cmpd="sng" algn="ctr">
                          <a:solidFill>
                            <a:srgbClr val="4472C4">
                              <a:shade val="15000"/>
                            </a:srgbClr>
                          </a:solidFill>
                          <a:prstDash val="solid"/>
                          <a:miter lim="800000"/>
                        </a:ln>
                        <a:effectLst/>
                      </wps:spPr>
                      <wps:txbx>
                        <w:txbxContent>
                          <w:p w14:paraId="04E44E92" w14:textId="77777777" w:rsidR="00A43334" w:rsidRDefault="00A43334" w:rsidP="00C83BBE">
                            <w:pPr>
                              <w:spacing w:line="240" w:lineRule="auto"/>
                              <w:jc w:val="both"/>
                              <w:rPr>
                                <w:rFonts w:ascii="Times New Roman" w:hAnsi="Times New Roman" w:cs="Times New Roman"/>
                                <w:b/>
                                <w:bCs/>
                                <w:color w:val="FFFFFF" w:themeColor="background1"/>
                              </w:rPr>
                            </w:pPr>
                          </w:p>
                          <w:p w14:paraId="6BA8AB56" w14:textId="77777777" w:rsidR="00C83BBE" w:rsidRDefault="00C83BBE" w:rsidP="00C83BBE">
                            <w:pPr>
                              <w:jc w:val="both"/>
                              <w:rPr>
                                <w:rFonts w:ascii="Times New Roman" w:hAnsi="Times New Roman" w:cs="Times New Roman"/>
                                <w:color w:val="FFFFFF" w:themeColor="background1"/>
                              </w:rPr>
                            </w:pPr>
                          </w:p>
                          <w:p w14:paraId="4BC25811" w14:textId="7F292865" w:rsidR="00945AF8" w:rsidRPr="00A35C5F" w:rsidRDefault="00300EBF" w:rsidP="00BF7514">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assessment and collection of national revenue, amendment and enforcement of specific laws relating to revenue, trade facilitation, and the moderni</w:t>
                            </w:r>
                            <w:r w:rsidR="00BF7514" w:rsidRPr="00A35C5F">
                              <w:rPr>
                                <w:rFonts w:ascii="Baskerville Old Face" w:hAnsi="Baskerville Old Face" w:cs="Times New Roman"/>
                                <w:color w:val="000000" w:themeColor="text1"/>
                              </w:rPr>
                              <w:t>s</w:t>
                            </w:r>
                            <w:r w:rsidRPr="00A35C5F">
                              <w:rPr>
                                <w:rFonts w:ascii="Baskerville Old Face" w:hAnsi="Baskerville Old Face" w:cs="Times New Roman"/>
                                <w:color w:val="000000" w:themeColor="text1"/>
                              </w:rPr>
                              <w:t>ation of the tax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97CE" id="_x0000_s1027" style="position:absolute;margin-left:345pt;margin-top:6.15pt;width:180pt;height:1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" fillcolor="#deeaf6 [664]" strokecolor="#172c51" strokeweight="1pt">
                <v:textbox>
                  <w:txbxContent>
                    <w:p w14:paraId="04E44E92" w14:textId="77777777" w:rsidR="00A43334" w:rsidRDefault="00A43334" w:rsidP="00C83BBE">
                      <w:pPr>
                        <w:spacing w:line="240" w:lineRule="auto"/>
                        <w:jc w:val="both"/>
                        <w:rPr>
                          <w:rFonts w:ascii="Times New Roman" w:hAnsi="Times New Roman" w:cs="Times New Roman"/>
                          <w:b/>
                          <w:bCs/>
                          <w:color w:val="FFFFFF" w:themeColor="background1"/>
                        </w:rPr>
                      </w:pPr>
                    </w:p>
                    <w:p w14:paraId="6BA8AB56" w14:textId="77777777" w:rsidR="00C83BBE" w:rsidRDefault="00C83BBE" w:rsidP="00C83BBE">
                      <w:pPr>
                        <w:jc w:val="both"/>
                        <w:rPr>
                          <w:rFonts w:ascii="Times New Roman" w:hAnsi="Times New Roman" w:cs="Times New Roman"/>
                          <w:color w:val="FFFFFF" w:themeColor="background1"/>
                        </w:rPr>
                      </w:pPr>
                    </w:p>
                    <w:p w14:paraId="4BC25811" w14:textId="7F292865" w:rsidR="00945AF8" w:rsidRPr="00A35C5F" w:rsidRDefault="00300EBF" w:rsidP="00BF7514">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The assessment and collection of national revenue, amendment and enforcement of specific laws relating to revenue, trade facilitation, and the moderni</w:t>
                      </w:r>
                      <w:r w:rsidR="00BF7514" w:rsidRPr="00A35C5F">
                        <w:rPr>
                          <w:rFonts w:ascii="Baskerville Old Face" w:hAnsi="Baskerville Old Face" w:cs="Times New Roman"/>
                          <w:color w:val="000000" w:themeColor="text1"/>
                        </w:rPr>
                        <w:t>s</w:t>
                      </w:r>
                      <w:r w:rsidRPr="00A35C5F">
                        <w:rPr>
                          <w:rFonts w:ascii="Baskerville Old Face" w:hAnsi="Baskerville Old Face" w:cs="Times New Roman"/>
                          <w:color w:val="000000" w:themeColor="text1"/>
                        </w:rPr>
                        <w:t>ation of the tax administration.</w:t>
                      </w:r>
                    </w:p>
                  </w:txbxContent>
                </v:textbox>
                <w10:wrap anchorx="margin"/>
              </v:rect>
            </w:pict>
          </mc:Fallback>
        </mc:AlternateContent>
      </w:r>
      <w:r w:rsidR="00E676B5" w:rsidRPr="00285F16">
        <w:rPr>
          <w:rFonts w:ascii="Baskerville Old Face" w:hAnsi="Baskerville Old Face" w:cs="Times New Roman"/>
          <w:noProof/>
          <w:sz w:val="24"/>
          <w:szCs w:val="24"/>
        </w:rPr>
        <mc:AlternateContent>
          <mc:Choice Requires="wps">
            <w:drawing>
              <wp:anchor distT="0" distB="0" distL="114300" distR="114300" simplePos="0" relativeHeight="251659264" behindDoc="0" locked="0" layoutInCell="1" allowOverlap="1" wp14:anchorId="336B65D6" wp14:editId="6D40AA27">
                <wp:simplePos x="0" y="0"/>
                <wp:positionH relativeFrom="column">
                  <wp:posOffset>-175260</wp:posOffset>
                </wp:positionH>
                <wp:positionV relativeFrom="paragraph">
                  <wp:posOffset>78105</wp:posOffset>
                </wp:positionV>
                <wp:extent cx="2286000" cy="1630680"/>
                <wp:effectExtent l="0" t="0" r="19050" b="26670"/>
                <wp:wrapNone/>
                <wp:docPr id="841952386" name="Rectangle 9"/>
                <wp:cNvGraphicFramePr/>
                <a:graphic xmlns:a="http://schemas.openxmlformats.org/drawingml/2006/main">
                  <a:graphicData uri="http://schemas.microsoft.com/office/word/2010/wordprocessingShape">
                    <wps:wsp>
                      <wps:cNvSpPr/>
                      <wps:spPr>
                        <a:xfrm>
                          <a:off x="0" y="0"/>
                          <a:ext cx="2286000" cy="1630680"/>
                        </a:xfrm>
                        <a:prstGeom prst="rect">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D106EB" w14:textId="77777777" w:rsidR="00945AF8" w:rsidRPr="00C83BBE" w:rsidRDefault="00945AF8" w:rsidP="00945AF8">
                            <w:pPr>
                              <w:jc w:val="center"/>
                              <w:rPr>
                                <w:rFonts w:ascii="Times New Roman" w:hAnsi="Times New Roman" w:cs="Times New Roman"/>
                              </w:rPr>
                            </w:pPr>
                          </w:p>
                          <w:p w14:paraId="6FB58BB8" w14:textId="24CD86F8" w:rsidR="00945AF8" w:rsidRPr="00A35C5F" w:rsidRDefault="00B569F4"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 xml:space="preserve">To be a modern </w:t>
                            </w:r>
                            <w:r w:rsidR="00BF7514" w:rsidRPr="00A35C5F">
                              <w:rPr>
                                <w:rFonts w:ascii="Baskerville Old Face" w:hAnsi="Baskerville Old Face" w:cs="Times New Roman"/>
                                <w:color w:val="000000" w:themeColor="text1"/>
                              </w:rPr>
                              <w:t>i</w:t>
                            </w:r>
                            <w:r w:rsidRPr="00A35C5F">
                              <w:rPr>
                                <w:rFonts w:ascii="Baskerville Old Face" w:hAnsi="Baskerville Old Face" w:cs="Times New Roman"/>
                                <w:color w:val="000000" w:themeColor="text1"/>
                              </w:rPr>
                              <w:t xml:space="preserve">nstitution of excellence and global reference in </w:t>
                            </w:r>
                            <w:r w:rsidR="00BF7514" w:rsidRPr="00A35C5F">
                              <w:rPr>
                                <w:rFonts w:ascii="Baskerville Old Face" w:hAnsi="Baskerville Old Face" w:cs="Times New Roman"/>
                                <w:color w:val="000000" w:themeColor="text1"/>
                              </w:rPr>
                              <w:t>p</w:t>
                            </w:r>
                            <w:r w:rsidRPr="00A35C5F">
                              <w:rPr>
                                <w:rFonts w:ascii="Baskerville Old Face" w:hAnsi="Baskerville Old Face" w:cs="Times New Roman"/>
                                <w:color w:val="000000" w:themeColor="text1"/>
                              </w:rPr>
                              <w:t xml:space="preserve">ublic and </w:t>
                            </w:r>
                            <w:r w:rsidR="00BF7514" w:rsidRPr="00A35C5F">
                              <w:rPr>
                                <w:rFonts w:ascii="Baskerville Old Face" w:hAnsi="Baskerville Old Face" w:cs="Times New Roman"/>
                                <w:color w:val="000000" w:themeColor="text1"/>
                              </w:rPr>
                              <w:t>r</w:t>
                            </w:r>
                            <w:r w:rsidRPr="00A35C5F">
                              <w:rPr>
                                <w:rFonts w:ascii="Baskerville Old Face" w:hAnsi="Baskerville Old Face" w:cs="Times New Roman"/>
                                <w:color w:val="000000" w:themeColor="text1"/>
                              </w:rPr>
                              <w:t>evenue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65D6" id="_x0000_s1028" style="position:absolute;margin-left:-13.8pt;margin-top:6.15pt;width:180pt;height:1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" fillcolor="#d5dce4 [671]" strokecolor="#09101d [484]" strokeweight="1pt">
                <v:textbox>
                  <w:txbxContent>
                    <w:p w14:paraId="7ED106EB" w14:textId="77777777" w:rsidR="00945AF8" w:rsidRPr="00C83BBE" w:rsidRDefault="00945AF8" w:rsidP="00945AF8">
                      <w:pPr>
                        <w:jc w:val="center"/>
                        <w:rPr>
                          <w:rFonts w:ascii="Times New Roman" w:hAnsi="Times New Roman" w:cs="Times New Roman"/>
                        </w:rPr>
                      </w:pPr>
                    </w:p>
                    <w:p w14:paraId="6FB58BB8" w14:textId="24CD86F8" w:rsidR="00945AF8" w:rsidRPr="00A35C5F" w:rsidRDefault="00B569F4" w:rsidP="00AB5A20">
                      <w:pPr>
                        <w:spacing w:line="240" w:lineRule="auto"/>
                        <w:jc w:val="both"/>
                        <w:rPr>
                          <w:rFonts w:ascii="Baskerville Old Face" w:hAnsi="Baskerville Old Face" w:cs="Times New Roman"/>
                          <w:color w:val="000000" w:themeColor="text1"/>
                        </w:rPr>
                      </w:pPr>
                      <w:r w:rsidRPr="00A35C5F">
                        <w:rPr>
                          <w:rFonts w:ascii="Baskerville Old Face" w:hAnsi="Baskerville Old Face" w:cs="Times New Roman"/>
                          <w:color w:val="000000" w:themeColor="text1"/>
                        </w:rPr>
                        <w:t xml:space="preserve">To be a modern </w:t>
                      </w:r>
                      <w:r w:rsidR="00BF7514" w:rsidRPr="00A35C5F">
                        <w:rPr>
                          <w:rFonts w:ascii="Baskerville Old Face" w:hAnsi="Baskerville Old Face" w:cs="Times New Roman"/>
                          <w:color w:val="000000" w:themeColor="text1"/>
                        </w:rPr>
                        <w:t>i</w:t>
                      </w:r>
                      <w:r w:rsidRPr="00A35C5F">
                        <w:rPr>
                          <w:rFonts w:ascii="Baskerville Old Face" w:hAnsi="Baskerville Old Face" w:cs="Times New Roman"/>
                          <w:color w:val="000000" w:themeColor="text1"/>
                        </w:rPr>
                        <w:t xml:space="preserve">nstitution of excellence and global reference in </w:t>
                      </w:r>
                      <w:r w:rsidR="00BF7514" w:rsidRPr="00A35C5F">
                        <w:rPr>
                          <w:rFonts w:ascii="Baskerville Old Face" w:hAnsi="Baskerville Old Face" w:cs="Times New Roman"/>
                          <w:color w:val="000000" w:themeColor="text1"/>
                        </w:rPr>
                        <w:t>p</w:t>
                      </w:r>
                      <w:r w:rsidRPr="00A35C5F">
                        <w:rPr>
                          <w:rFonts w:ascii="Baskerville Old Face" w:hAnsi="Baskerville Old Face" w:cs="Times New Roman"/>
                          <w:color w:val="000000" w:themeColor="text1"/>
                        </w:rPr>
                        <w:t xml:space="preserve">ublic and </w:t>
                      </w:r>
                      <w:r w:rsidR="00BF7514" w:rsidRPr="00A35C5F">
                        <w:rPr>
                          <w:rFonts w:ascii="Baskerville Old Face" w:hAnsi="Baskerville Old Face" w:cs="Times New Roman"/>
                          <w:color w:val="000000" w:themeColor="text1"/>
                        </w:rPr>
                        <w:t>r</w:t>
                      </w:r>
                      <w:r w:rsidRPr="00A35C5F">
                        <w:rPr>
                          <w:rFonts w:ascii="Baskerville Old Face" w:hAnsi="Baskerville Old Face" w:cs="Times New Roman"/>
                          <w:color w:val="000000" w:themeColor="text1"/>
                        </w:rPr>
                        <w:t>evenue Administration</w:t>
                      </w:r>
                    </w:p>
                  </w:txbxContent>
                </v:textbox>
              </v:rect>
            </w:pict>
          </mc:Fallback>
        </mc:AlternateContent>
      </w:r>
      <w:r w:rsidR="00625BF5" w:rsidRPr="00285F16">
        <w:rPr>
          <w:rFonts w:ascii="Baskerville Old Face" w:hAnsi="Baskerville Old Face" w:cs="Times New Roman"/>
          <w:noProof/>
          <w:sz w:val="24"/>
          <w:szCs w:val="24"/>
        </w:rPr>
        <mc:AlternateContent>
          <mc:Choice Requires="wps">
            <w:drawing>
              <wp:anchor distT="0" distB="0" distL="114300" distR="114300" simplePos="0" relativeHeight="251664384" behindDoc="0" locked="0" layoutInCell="1" allowOverlap="1" wp14:anchorId="133776E6" wp14:editId="524F8748">
                <wp:simplePos x="0" y="0"/>
                <wp:positionH relativeFrom="column">
                  <wp:posOffset>4419600</wp:posOffset>
                </wp:positionH>
                <wp:positionV relativeFrom="paragraph">
                  <wp:posOffset>274955</wp:posOffset>
                </wp:positionV>
                <wp:extent cx="2194560" cy="274320"/>
                <wp:effectExtent l="0" t="0" r="15240" b="11430"/>
                <wp:wrapNone/>
                <wp:docPr id="26641454" name="Rectangle 10"/>
                <wp:cNvGraphicFramePr/>
                <a:graphic xmlns:a="http://schemas.openxmlformats.org/drawingml/2006/main">
                  <a:graphicData uri="http://schemas.microsoft.com/office/word/2010/wordprocessingShape">
                    <wps:wsp>
                      <wps:cNvSpPr/>
                      <wps:spPr>
                        <a:xfrm>
                          <a:off x="0" y="0"/>
                          <a:ext cx="2194560" cy="27432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A89D3A"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MANDATE</w:t>
                            </w:r>
                          </w:p>
                          <w:p w14:paraId="0B72606C" w14:textId="77777777" w:rsidR="00A43334" w:rsidRDefault="00A43334" w:rsidP="00A4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76E6" id="Rectangle 10" o:spid="_x0000_s1029" style="position:absolute;margin-left:348pt;margin-top:21.65pt;width:172.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" fillcolor="#e7e6e6 [3214]" strokecolor="black [3213]" strokeweight="1pt">
                <v:textbox>
                  <w:txbxContent>
                    <w:p w14:paraId="4DA89D3A"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MANDATE</w:t>
                      </w:r>
                    </w:p>
                    <w:p w14:paraId="0B72606C" w14:textId="77777777" w:rsidR="00A43334" w:rsidRDefault="00A43334" w:rsidP="00A43334">
                      <w:pPr>
                        <w:jc w:val="center"/>
                      </w:pPr>
                    </w:p>
                  </w:txbxContent>
                </v:textbox>
              </v:rect>
            </w:pict>
          </mc:Fallback>
        </mc:AlternateContent>
      </w:r>
      <w:r w:rsidR="00625BF5" w:rsidRPr="00285F16">
        <w:rPr>
          <w:rFonts w:ascii="Baskerville Old Face" w:hAnsi="Baskerville Old Face" w:cs="Times New Roman"/>
          <w:noProof/>
          <w:sz w:val="24"/>
          <w:szCs w:val="24"/>
        </w:rPr>
        <mc:AlternateContent>
          <mc:Choice Requires="wps">
            <w:drawing>
              <wp:anchor distT="0" distB="0" distL="114300" distR="114300" simplePos="0" relativeHeight="251666432" behindDoc="0" locked="0" layoutInCell="1" allowOverlap="1" wp14:anchorId="1B46F6B8" wp14:editId="0664AF50">
                <wp:simplePos x="0" y="0"/>
                <wp:positionH relativeFrom="column">
                  <wp:posOffset>-134620</wp:posOffset>
                </wp:positionH>
                <wp:positionV relativeFrom="paragraph">
                  <wp:posOffset>325755</wp:posOffset>
                </wp:positionV>
                <wp:extent cx="2194560" cy="274320"/>
                <wp:effectExtent l="0" t="0" r="15240" b="11430"/>
                <wp:wrapNone/>
                <wp:docPr id="1106027861" name="Rectangle 12"/>
                <wp:cNvGraphicFramePr/>
                <a:graphic xmlns:a="http://schemas.openxmlformats.org/drawingml/2006/main">
                  <a:graphicData uri="http://schemas.microsoft.com/office/word/2010/wordprocessingShape">
                    <wps:wsp>
                      <wps:cNvSpPr/>
                      <wps:spPr>
                        <a:xfrm>
                          <a:off x="0" y="0"/>
                          <a:ext cx="2194560" cy="2743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49D6EB" w14:textId="77777777" w:rsidR="00A43334" w:rsidRPr="00A35C5F" w:rsidRDefault="00A43334" w:rsidP="00A43334">
                            <w:pPr>
                              <w:spacing w:line="240" w:lineRule="auto"/>
                              <w:jc w:val="center"/>
                              <w:rPr>
                                <w:rFonts w:ascii="Baskerville Old Face" w:hAnsi="Baskerville Old Face" w:cs="Times New Roman"/>
                                <w:b/>
                                <w:bCs/>
                                <w:color w:val="000000" w:themeColor="text1"/>
                                <w:kern w:val="0"/>
                                <w14:ligatures w14:val="none"/>
                              </w:rPr>
                            </w:pPr>
                            <w:r w:rsidRPr="00A35C5F">
                              <w:rPr>
                                <w:rFonts w:ascii="Baskerville Old Face" w:hAnsi="Baskerville Old Face" w:cs="Times New Roman"/>
                                <w:b/>
                                <w:bCs/>
                                <w:color w:val="000000" w:themeColor="text1"/>
                                <w:kern w:val="0"/>
                                <w14:ligatures w14:val="none"/>
                              </w:rPr>
                              <w:t>OUR VISION</w:t>
                            </w:r>
                          </w:p>
                          <w:p w14:paraId="05FC21C0" w14:textId="77777777" w:rsidR="00A43334" w:rsidRPr="00A35C5F" w:rsidRDefault="00A43334" w:rsidP="00A4333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F6B8" id="Rectangle 12" o:spid="_x0000_s1030" style="position:absolute;margin-left:-10.6pt;margin-top:25.65pt;width:17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" fillcolor="#e7e6e6 [3214]" strokecolor="#09101d [484]" strokeweight="1pt">
                <v:textbox>
                  <w:txbxContent>
                    <w:p w14:paraId="1849D6EB" w14:textId="77777777" w:rsidR="00A43334" w:rsidRPr="00A35C5F" w:rsidRDefault="00A43334" w:rsidP="00A43334">
                      <w:pPr>
                        <w:spacing w:line="240" w:lineRule="auto"/>
                        <w:jc w:val="center"/>
                        <w:rPr>
                          <w:rFonts w:ascii="Baskerville Old Face" w:hAnsi="Baskerville Old Face" w:cs="Times New Roman"/>
                          <w:b/>
                          <w:bCs/>
                          <w:color w:val="000000" w:themeColor="text1"/>
                          <w:kern w:val="0"/>
                          <w14:ligatures w14:val="none"/>
                        </w:rPr>
                      </w:pPr>
                      <w:r w:rsidRPr="00A35C5F">
                        <w:rPr>
                          <w:rFonts w:ascii="Baskerville Old Face" w:hAnsi="Baskerville Old Face" w:cs="Times New Roman"/>
                          <w:b/>
                          <w:bCs/>
                          <w:color w:val="000000" w:themeColor="text1"/>
                          <w:kern w:val="0"/>
                          <w14:ligatures w14:val="none"/>
                        </w:rPr>
                        <w:t>OUR VISION</w:t>
                      </w:r>
                    </w:p>
                    <w:p w14:paraId="05FC21C0" w14:textId="77777777" w:rsidR="00A43334" w:rsidRPr="00A35C5F" w:rsidRDefault="00A43334" w:rsidP="00A43334">
                      <w:pPr>
                        <w:jc w:val="center"/>
                        <w:rPr>
                          <w:color w:val="000000" w:themeColor="text1"/>
                        </w:rPr>
                      </w:pPr>
                    </w:p>
                  </w:txbxContent>
                </v:textbox>
              </v:rect>
            </w:pict>
          </mc:Fallback>
        </mc:AlternateContent>
      </w:r>
    </w:p>
    <w:p w14:paraId="77C67889" w14:textId="14D59DCE" w:rsidR="00945AF8" w:rsidRPr="00285F16" w:rsidRDefault="00625BF5" w:rsidP="00945AF8">
      <w:pPr>
        <w:tabs>
          <w:tab w:val="left" w:pos="1173"/>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65408" behindDoc="0" locked="0" layoutInCell="1" allowOverlap="1" wp14:anchorId="1691AC4B" wp14:editId="5005B7B0">
                <wp:simplePos x="0" y="0"/>
                <wp:positionH relativeFrom="column">
                  <wp:posOffset>2149475</wp:posOffset>
                </wp:positionH>
                <wp:positionV relativeFrom="paragraph">
                  <wp:posOffset>28344</wp:posOffset>
                </wp:positionV>
                <wp:extent cx="2194560" cy="270510"/>
                <wp:effectExtent l="0" t="0" r="15240" b="15240"/>
                <wp:wrapNone/>
                <wp:docPr id="295350573" name="Rectangle 11"/>
                <wp:cNvGraphicFramePr/>
                <a:graphic xmlns:a="http://schemas.openxmlformats.org/drawingml/2006/main">
                  <a:graphicData uri="http://schemas.microsoft.com/office/word/2010/wordprocessingShape">
                    <wps:wsp>
                      <wps:cNvSpPr/>
                      <wps:spPr>
                        <a:xfrm>
                          <a:off x="0" y="0"/>
                          <a:ext cx="2194560" cy="270510"/>
                        </a:xfrm>
                        <a:prstGeom prst="rect">
                          <a:avLst/>
                        </a:prstGeom>
                        <a:solidFill>
                          <a:schemeClr val="bg2"/>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7BFA7"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MISSION STATEMENT</w:t>
                            </w:r>
                          </w:p>
                          <w:p w14:paraId="499D1A18" w14:textId="77777777" w:rsidR="00A43334" w:rsidRDefault="00A43334" w:rsidP="00A43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91AC4B" id="Rectangle 11" o:spid="_x0000_s1031" style="position:absolute;margin-left:169.25pt;margin-top:2.25pt;width:172.8pt;height:2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" fillcolor="#e7e6e6 [3214]" strokecolor="black [3213]" strokeweight="1pt">
                <v:textbox>
                  <w:txbxContent>
                    <w:p w14:paraId="0E87BFA7" w14:textId="77777777" w:rsidR="00A43334" w:rsidRPr="00A35C5F" w:rsidRDefault="00A43334" w:rsidP="00A43334">
                      <w:pPr>
                        <w:spacing w:line="240" w:lineRule="auto"/>
                        <w:jc w:val="center"/>
                        <w:rPr>
                          <w:rFonts w:ascii="Baskerville Old Face" w:hAnsi="Baskerville Old Face" w:cs="Times New Roman"/>
                          <w:b/>
                          <w:bCs/>
                          <w:color w:val="000000" w:themeColor="text1"/>
                        </w:rPr>
                      </w:pPr>
                      <w:r w:rsidRPr="00A35C5F">
                        <w:rPr>
                          <w:rFonts w:ascii="Baskerville Old Face" w:hAnsi="Baskerville Old Face" w:cs="Times New Roman"/>
                          <w:b/>
                          <w:bCs/>
                          <w:color w:val="000000" w:themeColor="text1"/>
                        </w:rPr>
                        <w:t>OUR MISSION STATEMENT</w:t>
                      </w:r>
                    </w:p>
                    <w:p w14:paraId="499D1A18" w14:textId="77777777" w:rsidR="00A43334" w:rsidRDefault="00A43334" w:rsidP="00A43334">
                      <w:pPr>
                        <w:jc w:val="center"/>
                      </w:pPr>
                    </w:p>
                  </w:txbxContent>
                </v:textbox>
              </v:rect>
            </w:pict>
          </mc:Fallback>
        </mc:AlternateContent>
      </w:r>
      <w:r w:rsidR="00945AF8" w:rsidRPr="00285F16">
        <w:rPr>
          <w:rFonts w:ascii="Baskerville Old Face" w:hAnsi="Baskerville Old Face" w:cs="Times New Roman"/>
          <w:sz w:val="24"/>
          <w:szCs w:val="24"/>
        </w:rPr>
        <w:tab/>
      </w:r>
    </w:p>
    <w:p w14:paraId="377676DC" w14:textId="129B560A" w:rsidR="00945AF8" w:rsidRPr="00285F16" w:rsidRDefault="00945AF8" w:rsidP="00945AF8">
      <w:pPr>
        <w:rPr>
          <w:rFonts w:ascii="Baskerville Old Face" w:hAnsi="Baskerville Old Face" w:cs="Times New Roman"/>
          <w:sz w:val="24"/>
          <w:szCs w:val="24"/>
        </w:rPr>
      </w:pPr>
    </w:p>
    <w:p w14:paraId="4FF3402C" w14:textId="301C031A" w:rsidR="00945AF8" w:rsidRPr="00285F16" w:rsidRDefault="00945AF8" w:rsidP="00945AF8">
      <w:pPr>
        <w:rPr>
          <w:rFonts w:ascii="Baskerville Old Face" w:hAnsi="Baskerville Old Face" w:cs="Times New Roman"/>
          <w:sz w:val="24"/>
          <w:szCs w:val="24"/>
        </w:rPr>
      </w:pPr>
    </w:p>
    <w:p w14:paraId="6EF80C11" w14:textId="77777777" w:rsidR="00945AF8" w:rsidRPr="00285F16" w:rsidRDefault="00945AF8" w:rsidP="00945AF8">
      <w:pPr>
        <w:rPr>
          <w:rFonts w:ascii="Baskerville Old Face" w:hAnsi="Baskerville Old Face" w:cs="Times New Roman"/>
          <w:sz w:val="24"/>
          <w:szCs w:val="24"/>
        </w:rPr>
      </w:pPr>
    </w:p>
    <w:p w14:paraId="6FBFD5AE" w14:textId="77777777" w:rsidR="00945AF8" w:rsidRPr="00285F16" w:rsidRDefault="00945AF8" w:rsidP="00945AF8">
      <w:pPr>
        <w:rPr>
          <w:rFonts w:ascii="Baskerville Old Face" w:hAnsi="Baskerville Old Face" w:cs="Times New Roman"/>
          <w:sz w:val="24"/>
          <w:szCs w:val="24"/>
        </w:rPr>
      </w:pPr>
    </w:p>
    <w:p w14:paraId="09DB280E" w14:textId="6CAB7D01" w:rsidR="00945AF8" w:rsidRPr="00285F16" w:rsidRDefault="00945AF8" w:rsidP="00945AF8">
      <w:pPr>
        <w:rPr>
          <w:rFonts w:ascii="Baskerville Old Face" w:hAnsi="Baskerville Old Face" w:cs="Times New Roman"/>
          <w:sz w:val="24"/>
          <w:szCs w:val="24"/>
        </w:rPr>
      </w:pPr>
    </w:p>
    <w:p w14:paraId="0084B215" w14:textId="29F06C0D" w:rsidR="00AB5A20" w:rsidRDefault="00AB5A20" w:rsidP="00664639">
      <w:pPr>
        <w:tabs>
          <w:tab w:val="left" w:pos="3093"/>
        </w:tabs>
        <w:spacing w:line="240" w:lineRule="auto"/>
        <w:rPr>
          <w:rFonts w:ascii="Baskerville Old Face" w:hAnsi="Baskerville Old Face" w:cs="Times New Roman"/>
          <w:sz w:val="24"/>
          <w:szCs w:val="24"/>
        </w:rPr>
      </w:pPr>
      <w:r w:rsidRPr="00285F16">
        <w:rPr>
          <w:rFonts w:ascii="Baskerville Old Face" w:hAnsi="Baskerville Old Face" w:cs="Times New Roman"/>
          <w:sz w:val="24"/>
          <w:szCs w:val="24"/>
        </w:rPr>
        <w:t>The activities of the NRA are guided by the following core values</w:t>
      </w:r>
      <w:r w:rsidR="00664639">
        <w:rPr>
          <w:rFonts w:ascii="Baskerville Old Face" w:hAnsi="Baskerville Old Face" w:cs="Times New Roman"/>
          <w:sz w:val="24"/>
          <w:szCs w:val="24"/>
        </w:rPr>
        <w:t xml:space="preserve"> highlighted in Figure 2.</w:t>
      </w:r>
    </w:p>
    <w:p w14:paraId="38CDF217" w14:textId="572D495C" w:rsidR="00AB5A20" w:rsidRPr="00664639" w:rsidRDefault="00664639" w:rsidP="00664639">
      <w:pPr>
        <w:tabs>
          <w:tab w:val="left" w:pos="3093"/>
        </w:tabs>
        <w:spacing w:line="240" w:lineRule="auto"/>
        <w:rPr>
          <w:rFonts w:ascii="Baskerville Old Face" w:hAnsi="Baskerville Old Face" w:cs="Times New Roman"/>
          <w:b/>
          <w:bCs/>
          <w:i/>
          <w:iCs/>
          <w:sz w:val="24"/>
          <w:szCs w:val="24"/>
        </w:rPr>
      </w:pPr>
      <w:bookmarkStart w:id="4" w:name="Figure2"/>
      <w:r w:rsidRPr="00266D01">
        <w:rPr>
          <w:rFonts w:ascii="Baskerville Old Face" w:hAnsi="Baskerville Old Face" w:cs="Times New Roman"/>
          <w:b/>
          <w:bCs/>
          <w:i/>
          <w:iCs/>
          <w:sz w:val="24"/>
          <w:szCs w:val="24"/>
        </w:rPr>
        <w:t xml:space="preserve">Figure </w:t>
      </w:r>
      <w:r w:rsidR="00266D01">
        <w:rPr>
          <w:rFonts w:ascii="Baskerville Old Face" w:hAnsi="Baskerville Old Face" w:cs="Times New Roman"/>
          <w:b/>
          <w:bCs/>
          <w:i/>
          <w:iCs/>
          <w:sz w:val="24"/>
          <w:szCs w:val="24"/>
        </w:rPr>
        <w:t>2</w:t>
      </w:r>
      <w:r w:rsidRPr="00664639">
        <w:rPr>
          <w:rFonts w:ascii="Baskerville Old Face" w:hAnsi="Baskerville Old Face" w:cs="Times New Roman"/>
          <w:b/>
          <w:bCs/>
          <w:i/>
          <w:iCs/>
          <w:sz w:val="24"/>
          <w:szCs w:val="24"/>
        </w:rPr>
        <w:t xml:space="preserve">: </w:t>
      </w:r>
      <w:bookmarkEnd w:id="4"/>
      <w:r w:rsidRPr="00664639">
        <w:rPr>
          <w:rFonts w:ascii="Baskerville Old Face" w:hAnsi="Baskerville Old Face" w:cs="Times New Roman"/>
          <w:b/>
          <w:bCs/>
          <w:i/>
          <w:iCs/>
          <w:sz w:val="24"/>
          <w:szCs w:val="24"/>
        </w:rPr>
        <w:t>NRA’s Core Values</w:t>
      </w:r>
      <w:r w:rsidRPr="00664639">
        <w:rPr>
          <w:rFonts w:ascii="Baskerville Old Face" w:hAnsi="Baskerville Old Face" w:cs="Times New Roman"/>
          <w:b/>
          <w:bCs/>
          <w:i/>
          <w:iCs/>
          <w:noProof/>
          <w:sz w:val="24"/>
          <w:szCs w:val="24"/>
        </w:rPr>
        <w:t xml:space="preserve"> </w:t>
      </w:r>
      <w:r w:rsidR="00AB5A20" w:rsidRPr="00664639">
        <w:rPr>
          <w:rFonts w:ascii="Baskerville Old Face" w:hAnsi="Baskerville Old Face" w:cs="Times New Roman"/>
          <w:b/>
          <w:bCs/>
          <w:i/>
          <w:iCs/>
          <w:noProof/>
          <w:sz w:val="24"/>
          <w:szCs w:val="24"/>
        </w:rPr>
        <mc:AlternateContent>
          <mc:Choice Requires="wps">
            <w:drawing>
              <wp:anchor distT="0" distB="0" distL="114300" distR="114300" simplePos="0" relativeHeight="251698176" behindDoc="0" locked="0" layoutInCell="1" allowOverlap="1" wp14:anchorId="3DC379A0" wp14:editId="220B8177">
                <wp:simplePos x="0" y="0"/>
                <wp:positionH relativeFrom="margin">
                  <wp:posOffset>109855</wp:posOffset>
                </wp:positionH>
                <wp:positionV relativeFrom="paragraph">
                  <wp:posOffset>236220</wp:posOffset>
                </wp:positionV>
                <wp:extent cx="6324600" cy="5130800"/>
                <wp:effectExtent l="0" t="0" r="19050" b="12700"/>
                <wp:wrapNone/>
                <wp:docPr id="1479938269" name="Oval 19"/>
                <wp:cNvGraphicFramePr/>
                <a:graphic xmlns:a="http://schemas.openxmlformats.org/drawingml/2006/main">
                  <a:graphicData uri="http://schemas.microsoft.com/office/word/2010/wordprocessingShape">
                    <wps:wsp>
                      <wps:cNvSpPr/>
                      <wps:spPr>
                        <a:xfrm>
                          <a:off x="0" y="0"/>
                          <a:ext cx="6324600" cy="5130800"/>
                        </a:xfrm>
                        <a:prstGeom prst="ellipse">
                          <a:avLst/>
                        </a:prstGeom>
                        <a:solidFill>
                          <a:srgbClr val="4472C4"/>
                        </a:solidFill>
                        <a:ln w="12700" cap="flat" cmpd="sng" algn="ctr">
                          <a:solidFill>
                            <a:srgbClr val="4472C4">
                              <a:shade val="15000"/>
                            </a:srgbClr>
                          </a:solidFill>
                          <a:prstDash val="solid"/>
                          <a:miter lim="800000"/>
                        </a:ln>
                        <a:effectLst/>
                      </wps:spPr>
                      <wps:txbx>
                        <w:txbxContent>
                          <w:p w14:paraId="06DBA84F" w14:textId="77777777" w:rsidR="00AB5A20" w:rsidRPr="003B2395" w:rsidRDefault="00AB5A20" w:rsidP="00AB5A20">
                            <w:pPr>
                              <w:jc w:val="center"/>
                              <w:rPr>
                                <w:rFonts w:ascii="Baskerville Old Face" w:hAnsi="Baskerville Old Face" w:cs="Times New Roman"/>
                                <w:b/>
                                <w:bCs/>
                                <w:sz w:val="28"/>
                                <w:szCs w:val="28"/>
                              </w:rPr>
                            </w:pPr>
                            <w:r w:rsidRPr="003B2395">
                              <w:rPr>
                                <w:rFonts w:ascii="Baskerville Old Face" w:hAnsi="Baskerville Old Face" w:cs="Times New Roman"/>
                                <w:b/>
                                <w:bCs/>
                                <w:sz w:val="28"/>
                                <w:szCs w:val="28"/>
                              </w:rPr>
                              <w:t>OUR CORE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379A0" id="Oval 19" o:spid="_x0000_s1032" style="position:absolute;margin-left:8.65pt;margin-top:18.6pt;width:498pt;height:4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" fillcolor="#4472c4" strokecolor="#172c51" strokeweight="1pt">
                <v:stroke joinstyle="miter"/>
                <v:textbox>
                  <w:txbxContent>
                    <w:p w14:paraId="06DBA84F" w14:textId="77777777" w:rsidR="00AB5A20" w:rsidRPr="003B2395" w:rsidRDefault="00AB5A20" w:rsidP="00AB5A20">
                      <w:pPr>
                        <w:jc w:val="center"/>
                        <w:rPr>
                          <w:rFonts w:ascii="Baskerville Old Face" w:hAnsi="Baskerville Old Face" w:cs="Times New Roman"/>
                          <w:b/>
                          <w:bCs/>
                          <w:sz w:val="28"/>
                          <w:szCs w:val="28"/>
                        </w:rPr>
                      </w:pPr>
                      <w:r w:rsidRPr="003B2395">
                        <w:rPr>
                          <w:rFonts w:ascii="Baskerville Old Face" w:hAnsi="Baskerville Old Face" w:cs="Times New Roman"/>
                          <w:b/>
                          <w:bCs/>
                          <w:sz w:val="28"/>
                          <w:szCs w:val="28"/>
                        </w:rPr>
                        <w:t>OUR CORE VALUES</w:t>
                      </w:r>
                    </w:p>
                  </w:txbxContent>
                </v:textbox>
                <w10:wrap anchorx="margin"/>
              </v:oval>
            </w:pict>
          </mc:Fallback>
        </mc:AlternateContent>
      </w:r>
    </w:p>
    <w:p w14:paraId="4FCD2CFA" w14:textId="77777777" w:rsidR="00AB5A20" w:rsidRPr="00285F16" w:rsidRDefault="00AB5A20" w:rsidP="00AB5A20">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699200" behindDoc="0" locked="0" layoutInCell="1" allowOverlap="1" wp14:anchorId="0212DBAB" wp14:editId="2881E765">
                <wp:simplePos x="0" y="0"/>
                <wp:positionH relativeFrom="margin">
                  <wp:posOffset>2091055</wp:posOffset>
                </wp:positionH>
                <wp:positionV relativeFrom="paragraph">
                  <wp:posOffset>3810</wp:posOffset>
                </wp:positionV>
                <wp:extent cx="2011680" cy="2194560"/>
                <wp:effectExtent l="0" t="0" r="26670" b="15240"/>
                <wp:wrapNone/>
                <wp:docPr id="632116035"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92D050"/>
                        </a:solidFill>
                        <a:ln w="12700" cap="flat" cmpd="sng" algn="ctr">
                          <a:solidFill>
                            <a:srgbClr val="4472C4">
                              <a:shade val="15000"/>
                            </a:srgbClr>
                          </a:solidFill>
                          <a:prstDash val="solid"/>
                          <a:miter lim="800000"/>
                        </a:ln>
                        <a:effectLst/>
                      </wps:spPr>
                      <wps:txbx>
                        <w:txbxContent>
                          <w:p w14:paraId="33D49DDD" w14:textId="77777777" w:rsidR="00AB5A20" w:rsidRPr="00E80F13" w:rsidRDefault="00AB5A20" w:rsidP="00AB5A20">
                            <w:pPr>
                              <w:jc w:val="center"/>
                              <w:rPr>
                                <w:rFonts w:ascii="Baskerville Old Face" w:hAnsi="Baskerville Old Face" w:cs="Times New Roman"/>
                                <w:b/>
                                <w:bCs/>
                                <w:color w:val="0D0D0D" w:themeColor="text1" w:themeTint="F2"/>
                              </w:rPr>
                            </w:pPr>
                            <w:r w:rsidRPr="00E80F13">
                              <w:rPr>
                                <w:rFonts w:ascii="Baskerville Old Face" w:hAnsi="Baskerville Old Face" w:cs="Times New Roman"/>
                                <w:b/>
                                <w:bCs/>
                                <w:color w:val="0D0D0D" w:themeColor="text1" w:themeTint="F2"/>
                              </w:rPr>
                              <w:t>Accountability</w:t>
                            </w:r>
                          </w:p>
                          <w:p w14:paraId="7EB905D7" w14:textId="77777777" w:rsidR="00AB5A20" w:rsidRPr="00E80F13" w:rsidRDefault="00AB5A20" w:rsidP="00AB5A20">
                            <w:pPr>
                              <w:jc w:val="center"/>
                              <w:rPr>
                                <w:rFonts w:ascii="Baskerville Old Face" w:hAnsi="Baskerville Old Face" w:cs="Times New Roman"/>
                                <w:color w:val="0D0D0D" w:themeColor="text1" w:themeTint="F2"/>
                                <w:sz w:val="20"/>
                                <w:szCs w:val="20"/>
                              </w:rPr>
                            </w:pPr>
                            <w:r w:rsidRPr="00E80F13">
                              <w:rPr>
                                <w:rFonts w:ascii="Baskerville Old Face" w:hAnsi="Baskerville Old Face" w:cs="Times New Roman"/>
                                <w:color w:val="0D0D0D" w:themeColor="text1" w:themeTint="F2"/>
                                <w:sz w:val="20"/>
                                <w:szCs w:val="20"/>
                              </w:rPr>
                              <w:t>We will ensure that appropriate mechanisms exist for staff, taxpayers, and NRA to be held for their decisions and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2DBAB" id="Oval 21" o:spid="_x0000_s1033" style="position:absolute;margin-left:164.65pt;margin-top:.3pt;width:158.4pt;height:172.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" fillcolor="#92d050" strokecolor="#172c51" strokeweight="1pt">
                <v:stroke joinstyle="miter"/>
                <v:textbox>
                  <w:txbxContent>
                    <w:p w14:paraId="33D49DDD" w14:textId="77777777" w:rsidR="00AB5A20" w:rsidRPr="00E80F13" w:rsidRDefault="00AB5A20" w:rsidP="00AB5A20">
                      <w:pPr>
                        <w:jc w:val="center"/>
                        <w:rPr>
                          <w:rFonts w:ascii="Baskerville Old Face" w:hAnsi="Baskerville Old Face" w:cs="Times New Roman"/>
                          <w:b/>
                          <w:bCs/>
                          <w:color w:val="0D0D0D" w:themeColor="text1" w:themeTint="F2"/>
                        </w:rPr>
                      </w:pPr>
                      <w:r w:rsidRPr="00E80F13">
                        <w:rPr>
                          <w:rFonts w:ascii="Baskerville Old Face" w:hAnsi="Baskerville Old Face" w:cs="Times New Roman"/>
                          <w:b/>
                          <w:bCs/>
                          <w:color w:val="0D0D0D" w:themeColor="text1" w:themeTint="F2"/>
                        </w:rPr>
                        <w:t>Accountability</w:t>
                      </w:r>
                    </w:p>
                    <w:p w14:paraId="7EB905D7" w14:textId="77777777" w:rsidR="00AB5A20" w:rsidRPr="00E80F13" w:rsidRDefault="00AB5A20" w:rsidP="00AB5A20">
                      <w:pPr>
                        <w:jc w:val="center"/>
                        <w:rPr>
                          <w:rFonts w:ascii="Baskerville Old Face" w:hAnsi="Baskerville Old Face" w:cs="Times New Roman"/>
                          <w:color w:val="0D0D0D" w:themeColor="text1" w:themeTint="F2"/>
                          <w:sz w:val="20"/>
                          <w:szCs w:val="20"/>
                        </w:rPr>
                      </w:pPr>
                      <w:r w:rsidRPr="00E80F13">
                        <w:rPr>
                          <w:rFonts w:ascii="Baskerville Old Face" w:hAnsi="Baskerville Old Face" w:cs="Times New Roman"/>
                          <w:color w:val="0D0D0D" w:themeColor="text1" w:themeTint="F2"/>
                          <w:sz w:val="20"/>
                          <w:szCs w:val="20"/>
                        </w:rPr>
                        <w:t>We will ensure that appropriate mechanisms exist for staff, taxpayers, and NRA to be held for their decisions and actions.</w:t>
                      </w:r>
                    </w:p>
                  </w:txbxContent>
                </v:textbox>
                <w10:wrap anchorx="margin"/>
              </v:oval>
            </w:pict>
          </mc:Fallback>
        </mc:AlternateContent>
      </w:r>
    </w:p>
    <w:p w14:paraId="0D435DBF"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1248" behindDoc="0" locked="0" layoutInCell="1" allowOverlap="1" wp14:anchorId="1A96D0FB" wp14:editId="26DBFC03">
                <wp:simplePos x="0" y="0"/>
                <wp:positionH relativeFrom="column">
                  <wp:posOffset>3775710</wp:posOffset>
                </wp:positionH>
                <wp:positionV relativeFrom="paragraph">
                  <wp:posOffset>192828</wp:posOffset>
                </wp:positionV>
                <wp:extent cx="2011680" cy="2194560"/>
                <wp:effectExtent l="0" t="0" r="26670" b="15240"/>
                <wp:wrapNone/>
                <wp:docPr id="2114622121"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ED7D31">
                            <a:lumMod val="50000"/>
                          </a:srgbClr>
                        </a:solidFill>
                        <a:ln w="12700" cap="flat" cmpd="sng" algn="ctr">
                          <a:solidFill>
                            <a:srgbClr val="4472C4">
                              <a:shade val="15000"/>
                            </a:srgbClr>
                          </a:solidFill>
                          <a:prstDash val="solid"/>
                          <a:miter lim="800000"/>
                        </a:ln>
                        <a:effectLst/>
                      </wps:spPr>
                      <wps:txbx>
                        <w:txbxContent>
                          <w:p w14:paraId="1B22122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Equity</w:t>
                            </w:r>
                          </w:p>
                          <w:p w14:paraId="051F1E31"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value individual differences and treat customers with fairness.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6D0FB" id="_x0000_s1034" style="position:absolute;margin-left:297.3pt;margin-top:15.2pt;width:158.4pt;height:17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" fillcolor="#843c0c" strokecolor="#172c51" strokeweight="1pt">
                <v:stroke joinstyle="miter"/>
                <v:textbox>
                  <w:txbxContent>
                    <w:p w14:paraId="1B22122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Equity</w:t>
                      </w:r>
                    </w:p>
                    <w:p w14:paraId="051F1E31"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value individual differences and treat customers with fairness.</w:t>
                      </w:r>
                    </w:p>
                  </w:txbxContent>
                </v:textbox>
              </v:oval>
            </w:pict>
          </mc:Fallback>
        </mc:AlternateContent>
      </w:r>
    </w:p>
    <w:p w14:paraId="6C702394"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3296" behindDoc="0" locked="0" layoutInCell="1" allowOverlap="1" wp14:anchorId="605FB5DC" wp14:editId="52D0B0A8">
                <wp:simplePos x="0" y="0"/>
                <wp:positionH relativeFrom="column">
                  <wp:posOffset>498898</wp:posOffset>
                </wp:positionH>
                <wp:positionV relativeFrom="paragraph">
                  <wp:posOffset>118533</wp:posOffset>
                </wp:positionV>
                <wp:extent cx="2011680" cy="2194560"/>
                <wp:effectExtent l="0" t="0" r="26670" b="15240"/>
                <wp:wrapNone/>
                <wp:docPr id="490393414"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00B0F0"/>
                        </a:solidFill>
                        <a:ln w="12700" cap="flat" cmpd="sng" algn="ctr">
                          <a:solidFill>
                            <a:srgbClr val="4472C4">
                              <a:shade val="15000"/>
                            </a:srgbClr>
                          </a:solidFill>
                          <a:prstDash val="solid"/>
                          <a:miter lim="800000"/>
                        </a:ln>
                        <a:effectLst/>
                      </wps:spPr>
                      <wps:txbx>
                        <w:txbxContent>
                          <w:p w14:paraId="15D5DDD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Transparency</w:t>
                            </w:r>
                          </w:p>
                          <w:p w14:paraId="48AD83F6" w14:textId="09793FE0"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 xml:space="preserve">We will ensure full disclosure of information as required by </w:t>
                            </w:r>
                            <w:r w:rsidR="00D464AE" w:rsidRPr="00E80F13">
                              <w:rPr>
                                <w:rFonts w:ascii="Baskerville Old Face" w:hAnsi="Baskerville Old Face" w:cs="Times New Roman"/>
                                <w:sz w:val="20"/>
                                <w:szCs w:val="20"/>
                              </w:rPr>
                              <w:t>law.</w:t>
                            </w:r>
                          </w:p>
                          <w:p w14:paraId="43AC46F0" w14:textId="77777777" w:rsidR="00AB5A20" w:rsidRPr="00C939E7" w:rsidRDefault="00AB5A20" w:rsidP="00AB5A2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FB5DC" id="_x0000_s1035" style="position:absolute;margin-left:39.3pt;margin-top:9.35pt;width:158.4pt;height:17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" fillcolor="#00b0f0" strokecolor="#172c51" strokeweight="1pt">
                <v:stroke joinstyle="miter"/>
                <v:textbox>
                  <w:txbxContent>
                    <w:p w14:paraId="15D5DDD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Transparency</w:t>
                      </w:r>
                    </w:p>
                    <w:p w14:paraId="48AD83F6" w14:textId="09793FE0"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 xml:space="preserve">We will ensure full disclosure of information as required by </w:t>
                      </w:r>
                      <w:r w:rsidR="00D464AE" w:rsidRPr="00E80F13">
                        <w:rPr>
                          <w:rFonts w:ascii="Baskerville Old Face" w:hAnsi="Baskerville Old Face" w:cs="Times New Roman"/>
                          <w:sz w:val="20"/>
                          <w:szCs w:val="20"/>
                        </w:rPr>
                        <w:t>law.</w:t>
                      </w:r>
                    </w:p>
                    <w:p w14:paraId="43AC46F0" w14:textId="77777777" w:rsidR="00AB5A20" w:rsidRPr="00C939E7" w:rsidRDefault="00AB5A20" w:rsidP="00AB5A20">
                      <w:pPr>
                        <w:jc w:val="center"/>
                        <w:rPr>
                          <w:sz w:val="20"/>
                          <w:szCs w:val="20"/>
                        </w:rPr>
                      </w:pPr>
                    </w:p>
                  </w:txbxContent>
                </v:textbox>
              </v:oval>
            </w:pict>
          </mc:Fallback>
        </mc:AlternateContent>
      </w:r>
    </w:p>
    <w:p w14:paraId="2511D1A3" w14:textId="77777777" w:rsidR="00AB5A20" w:rsidRPr="00285F16" w:rsidRDefault="00AB5A20" w:rsidP="00AB5A20">
      <w:pPr>
        <w:tabs>
          <w:tab w:val="left" w:pos="7467"/>
        </w:tabs>
        <w:rPr>
          <w:rFonts w:ascii="Baskerville Old Face" w:hAnsi="Baskerville Old Face" w:cs="Times New Roman"/>
          <w:sz w:val="24"/>
          <w:szCs w:val="24"/>
        </w:rPr>
      </w:pPr>
    </w:p>
    <w:p w14:paraId="37A43135" w14:textId="77777777" w:rsidR="00AB5A20" w:rsidRPr="00285F16" w:rsidRDefault="00AB5A20" w:rsidP="00AB5A20">
      <w:pPr>
        <w:tabs>
          <w:tab w:val="left" w:pos="7467"/>
        </w:tabs>
        <w:rPr>
          <w:rFonts w:ascii="Baskerville Old Face" w:hAnsi="Baskerville Old Face" w:cs="Times New Roman"/>
          <w:sz w:val="24"/>
          <w:szCs w:val="24"/>
        </w:rPr>
      </w:pPr>
    </w:p>
    <w:p w14:paraId="310093AC" w14:textId="77777777" w:rsidR="00AB5A20" w:rsidRPr="00285F16" w:rsidRDefault="00AB5A20" w:rsidP="00AB5A20">
      <w:pPr>
        <w:tabs>
          <w:tab w:val="left" w:pos="7467"/>
        </w:tabs>
        <w:rPr>
          <w:rFonts w:ascii="Baskerville Old Face" w:hAnsi="Baskerville Old Face" w:cs="Times New Roman"/>
          <w:sz w:val="24"/>
          <w:szCs w:val="24"/>
        </w:rPr>
      </w:pPr>
    </w:p>
    <w:p w14:paraId="7E2E0A04" w14:textId="77777777" w:rsidR="00AB5A20" w:rsidRPr="00285F16" w:rsidRDefault="00AB5A20" w:rsidP="00AB5A20">
      <w:pPr>
        <w:tabs>
          <w:tab w:val="left" w:pos="7467"/>
        </w:tabs>
        <w:rPr>
          <w:rFonts w:ascii="Baskerville Old Face" w:hAnsi="Baskerville Old Face" w:cs="Times New Roman"/>
          <w:sz w:val="24"/>
          <w:szCs w:val="24"/>
        </w:rPr>
      </w:pPr>
    </w:p>
    <w:p w14:paraId="4743482B"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2272" behindDoc="0" locked="0" layoutInCell="1" allowOverlap="1" wp14:anchorId="2B1600EA" wp14:editId="062DC95C">
                <wp:simplePos x="0" y="0"/>
                <wp:positionH relativeFrom="margin">
                  <wp:align>right</wp:align>
                </wp:positionH>
                <wp:positionV relativeFrom="paragraph">
                  <wp:posOffset>199601</wp:posOffset>
                </wp:positionV>
                <wp:extent cx="2099733" cy="2226733"/>
                <wp:effectExtent l="0" t="0" r="15240" b="21590"/>
                <wp:wrapNone/>
                <wp:docPr id="388461447" name="Oval 21"/>
                <wp:cNvGraphicFramePr/>
                <a:graphic xmlns:a="http://schemas.openxmlformats.org/drawingml/2006/main">
                  <a:graphicData uri="http://schemas.microsoft.com/office/word/2010/wordprocessingShape">
                    <wps:wsp>
                      <wps:cNvSpPr/>
                      <wps:spPr>
                        <a:xfrm>
                          <a:off x="0" y="0"/>
                          <a:ext cx="2099733" cy="2226733"/>
                        </a:xfrm>
                        <a:prstGeom prst="ellipse">
                          <a:avLst/>
                        </a:prstGeom>
                        <a:solidFill>
                          <a:srgbClr val="FFC000">
                            <a:lumMod val="50000"/>
                          </a:srgbClr>
                        </a:solidFill>
                        <a:ln w="12700" cap="flat" cmpd="sng" algn="ctr">
                          <a:solidFill>
                            <a:srgbClr val="4472C4">
                              <a:shade val="15000"/>
                            </a:srgbClr>
                          </a:solidFill>
                          <a:prstDash val="solid"/>
                          <a:miter lim="800000"/>
                        </a:ln>
                        <a:effectLst/>
                      </wps:spPr>
                      <wps:txbx>
                        <w:txbxContent>
                          <w:p w14:paraId="432A4578"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Service Excellence</w:t>
                            </w:r>
                          </w:p>
                          <w:p w14:paraId="47B7F618"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will provide innovative and exceptional service to our customers. We will ensure high levels of professionalism in the delivery of our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00EA" id="_x0000_s1036" style="position:absolute;margin-left:114.15pt;margin-top:15.7pt;width:165.35pt;height:175.3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" fillcolor="#7f6000" strokecolor="#172c51" strokeweight="1pt">
                <v:stroke joinstyle="miter"/>
                <v:textbox>
                  <w:txbxContent>
                    <w:p w14:paraId="432A4578"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Service Excellence</w:t>
                      </w:r>
                    </w:p>
                    <w:p w14:paraId="47B7F618"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will provide innovative and exceptional service to our customers. We will ensure high levels of professionalism in the delivery of our services.</w:t>
                      </w:r>
                    </w:p>
                  </w:txbxContent>
                </v:textbox>
                <w10:wrap anchorx="margin"/>
              </v:oval>
            </w:pict>
          </mc:Fallback>
        </mc:AlternateContent>
      </w:r>
    </w:p>
    <w:p w14:paraId="7B347841" w14:textId="77777777" w:rsidR="00AB5A20" w:rsidRPr="00285F16" w:rsidRDefault="00AB5A20" w:rsidP="00AB5A20">
      <w:pPr>
        <w:tabs>
          <w:tab w:val="left" w:pos="7467"/>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0224" behindDoc="0" locked="0" layoutInCell="1" allowOverlap="1" wp14:anchorId="25927251" wp14:editId="7E38411F">
                <wp:simplePos x="0" y="0"/>
                <wp:positionH relativeFrom="column">
                  <wp:posOffset>2310765</wp:posOffset>
                </wp:positionH>
                <wp:positionV relativeFrom="paragraph">
                  <wp:posOffset>520700</wp:posOffset>
                </wp:positionV>
                <wp:extent cx="2011680" cy="2194560"/>
                <wp:effectExtent l="0" t="0" r="26670" b="15240"/>
                <wp:wrapNone/>
                <wp:docPr id="1979528765"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ysClr val="window" lastClr="FFFFFF">
                            <a:lumMod val="50000"/>
                          </a:sysClr>
                        </a:solidFill>
                        <a:ln w="12700" cap="flat" cmpd="sng" algn="ctr">
                          <a:solidFill>
                            <a:srgbClr val="4472C4">
                              <a:shade val="15000"/>
                            </a:srgbClr>
                          </a:solidFill>
                          <a:prstDash val="solid"/>
                          <a:miter lim="800000"/>
                        </a:ln>
                        <a:effectLst/>
                      </wps:spPr>
                      <wps:txbx>
                        <w:txbxContent>
                          <w:p w14:paraId="7768C6F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Teamwork and Collaboration</w:t>
                            </w:r>
                          </w:p>
                          <w:p w14:paraId="09A5E02E" w14:textId="18E09092" w:rsidR="00AB5A20" w:rsidRPr="00E80F13" w:rsidRDefault="00E676B5"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w:t>
                            </w:r>
                            <w:r w:rsidR="00AB5A20" w:rsidRPr="00E80F13">
                              <w:rPr>
                                <w:rFonts w:ascii="Baskerville Old Face" w:hAnsi="Baskerville Old Face" w:cs="Times New Roman"/>
                                <w:sz w:val="20"/>
                                <w:szCs w:val="20"/>
                              </w:rPr>
                              <w:t>e have but also collaborate with other relevant stakeholders to achieve our mandate.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27251" id="_x0000_s1037" style="position:absolute;margin-left:181.95pt;margin-top:41pt;width:158.4pt;height:17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" fillcolor="#7f7f7f" strokecolor="#172c51" strokeweight="1pt">
                <v:stroke joinstyle="miter"/>
                <v:textbox>
                  <w:txbxContent>
                    <w:p w14:paraId="7768C6F7"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Teamwork and Collaboration</w:t>
                      </w:r>
                    </w:p>
                    <w:p w14:paraId="09A5E02E" w14:textId="18E09092" w:rsidR="00AB5A20" w:rsidRPr="00E80F13" w:rsidRDefault="00E676B5"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w:t>
                      </w:r>
                      <w:r w:rsidR="00AB5A20" w:rsidRPr="00E80F13">
                        <w:rPr>
                          <w:rFonts w:ascii="Baskerville Old Face" w:hAnsi="Baskerville Old Face" w:cs="Times New Roman"/>
                          <w:sz w:val="20"/>
                          <w:szCs w:val="20"/>
                        </w:rPr>
                        <w:t>e have but also collaborate with other relevant stakeholders to achieve our mandate.</w:t>
                      </w:r>
                    </w:p>
                  </w:txbxContent>
                </v:textbox>
              </v:oval>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04320" behindDoc="0" locked="0" layoutInCell="1" allowOverlap="1" wp14:anchorId="4F274F34" wp14:editId="32164AFE">
                <wp:simplePos x="0" y="0"/>
                <wp:positionH relativeFrom="margin">
                  <wp:posOffset>727710</wp:posOffset>
                </wp:positionH>
                <wp:positionV relativeFrom="paragraph">
                  <wp:posOffset>81280</wp:posOffset>
                </wp:positionV>
                <wp:extent cx="2011680" cy="2194560"/>
                <wp:effectExtent l="0" t="0" r="26670" b="15240"/>
                <wp:wrapNone/>
                <wp:docPr id="442702720" name="Oval 21"/>
                <wp:cNvGraphicFramePr/>
                <a:graphic xmlns:a="http://schemas.openxmlformats.org/drawingml/2006/main">
                  <a:graphicData uri="http://schemas.microsoft.com/office/word/2010/wordprocessingShape">
                    <wps:wsp>
                      <wps:cNvSpPr/>
                      <wps:spPr>
                        <a:xfrm>
                          <a:off x="0" y="0"/>
                          <a:ext cx="2011680" cy="2194560"/>
                        </a:xfrm>
                        <a:prstGeom prst="ellipse">
                          <a:avLst/>
                        </a:prstGeom>
                        <a:solidFill>
                          <a:srgbClr val="FFC000"/>
                        </a:solidFill>
                        <a:ln w="12700" cap="flat" cmpd="sng" algn="ctr">
                          <a:solidFill>
                            <a:srgbClr val="4472C4">
                              <a:shade val="15000"/>
                            </a:srgbClr>
                          </a:solidFill>
                          <a:prstDash val="solid"/>
                          <a:miter lim="800000"/>
                        </a:ln>
                        <a:effectLst/>
                      </wps:spPr>
                      <wps:txbx>
                        <w:txbxContent>
                          <w:p w14:paraId="01E3AC2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Integrity</w:t>
                            </w:r>
                          </w:p>
                          <w:p w14:paraId="165140FF"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are committed to the highest standards of trust and honesty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74F34" id="_x0000_s1038" style="position:absolute;margin-left:57.3pt;margin-top:6.4pt;width:158.4pt;height:172.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" fillcolor="#ffc000" strokecolor="#172c51" strokeweight="1pt">
                <v:stroke joinstyle="miter"/>
                <v:textbox>
                  <w:txbxContent>
                    <w:p w14:paraId="01E3AC2F" w14:textId="77777777" w:rsidR="00AB5A20" w:rsidRPr="00E80F13" w:rsidRDefault="00AB5A20" w:rsidP="00AB5A20">
                      <w:pPr>
                        <w:jc w:val="center"/>
                        <w:rPr>
                          <w:rFonts w:ascii="Baskerville Old Face" w:hAnsi="Baskerville Old Face" w:cs="Times New Roman"/>
                          <w:b/>
                          <w:bCs/>
                        </w:rPr>
                      </w:pPr>
                      <w:r w:rsidRPr="00E80F13">
                        <w:rPr>
                          <w:rFonts w:ascii="Baskerville Old Face" w:hAnsi="Baskerville Old Face" w:cs="Times New Roman"/>
                          <w:b/>
                          <w:bCs/>
                        </w:rPr>
                        <w:t>Integrity</w:t>
                      </w:r>
                    </w:p>
                    <w:p w14:paraId="165140FF" w14:textId="77777777" w:rsidR="00AB5A20" w:rsidRPr="00E80F13" w:rsidRDefault="00AB5A20" w:rsidP="00AB5A20">
                      <w:pPr>
                        <w:jc w:val="center"/>
                        <w:rPr>
                          <w:rFonts w:ascii="Baskerville Old Face" w:hAnsi="Baskerville Old Face" w:cs="Times New Roman"/>
                          <w:sz w:val="20"/>
                          <w:szCs w:val="20"/>
                        </w:rPr>
                      </w:pPr>
                      <w:r w:rsidRPr="00E80F13">
                        <w:rPr>
                          <w:rFonts w:ascii="Baskerville Old Face" w:hAnsi="Baskerville Old Face" w:cs="Times New Roman"/>
                          <w:sz w:val="20"/>
                          <w:szCs w:val="20"/>
                        </w:rPr>
                        <w:t>We are committed to the highest standards of trust and honesty services.</w:t>
                      </w:r>
                    </w:p>
                  </w:txbxContent>
                </v:textbox>
                <w10:wrap anchorx="margin"/>
              </v:oval>
            </w:pict>
          </mc:Fallback>
        </mc:AlternateContent>
      </w:r>
    </w:p>
    <w:p w14:paraId="6FEBD03E" w14:textId="77777777" w:rsidR="008D2DA5" w:rsidRPr="00285F16" w:rsidRDefault="008D2DA5" w:rsidP="000E4D6C">
      <w:pPr>
        <w:rPr>
          <w:rFonts w:ascii="Baskerville Old Face" w:hAnsi="Baskerville Old Face" w:cs="Times New Roman"/>
          <w:sz w:val="24"/>
          <w:szCs w:val="24"/>
        </w:rPr>
      </w:pPr>
    </w:p>
    <w:p w14:paraId="66DD66CE" w14:textId="038925C6" w:rsidR="008D2DA5" w:rsidRPr="00285F16" w:rsidRDefault="008D2DA5" w:rsidP="000E4D6C">
      <w:pPr>
        <w:rPr>
          <w:rFonts w:ascii="Baskerville Old Face" w:hAnsi="Baskerville Old Face" w:cs="Times New Roman"/>
          <w:sz w:val="24"/>
          <w:szCs w:val="24"/>
        </w:rPr>
      </w:pPr>
    </w:p>
    <w:p w14:paraId="4C86A979" w14:textId="77777777" w:rsidR="008D2DA5" w:rsidRPr="00285F16" w:rsidRDefault="008D2DA5" w:rsidP="000E4D6C">
      <w:pPr>
        <w:rPr>
          <w:rFonts w:ascii="Baskerville Old Face" w:hAnsi="Baskerville Old Face" w:cs="Times New Roman"/>
          <w:sz w:val="24"/>
          <w:szCs w:val="24"/>
        </w:rPr>
      </w:pPr>
    </w:p>
    <w:p w14:paraId="25792BEE" w14:textId="77777777" w:rsidR="008D2DA5" w:rsidRPr="00285F16" w:rsidRDefault="008D2DA5" w:rsidP="000E4D6C">
      <w:pPr>
        <w:rPr>
          <w:rFonts w:ascii="Baskerville Old Face" w:hAnsi="Baskerville Old Face" w:cs="Times New Roman"/>
          <w:sz w:val="24"/>
          <w:szCs w:val="24"/>
        </w:rPr>
      </w:pPr>
    </w:p>
    <w:p w14:paraId="23CAC2D0" w14:textId="77777777" w:rsidR="008D2DA5" w:rsidRPr="00285F16" w:rsidRDefault="008D2DA5" w:rsidP="000E4D6C">
      <w:pPr>
        <w:rPr>
          <w:rFonts w:ascii="Baskerville Old Face" w:hAnsi="Baskerville Old Face" w:cs="Times New Roman"/>
          <w:sz w:val="24"/>
          <w:szCs w:val="24"/>
        </w:rPr>
      </w:pPr>
    </w:p>
    <w:p w14:paraId="08E8EAC3" w14:textId="77777777" w:rsidR="008D2DA5" w:rsidRPr="00285F16" w:rsidRDefault="008D2DA5" w:rsidP="000E4D6C">
      <w:pPr>
        <w:rPr>
          <w:rFonts w:ascii="Baskerville Old Face" w:hAnsi="Baskerville Old Face" w:cs="Times New Roman"/>
          <w:sz w:val="24"/>
          <w:szCs w:val="24"/>
        </w:rPr>
      </w:pPr>
    </w:p>
    <w:p w14:paraId="3C9B83FC" w14:textId="77777777" w:rsidR="008D2DA5" w:rsidRPr="00285F16" w:rsidRDefault="008D2DA5" w:rsidP="000E4D6C">
      <w:pPr>
        <w:rPr>
          <w:rFonts w:ascii="Baskerville Old Face" w:hAnsi="Baskerville Old Face" w:cs="Times New Roman"/>
          <w:sz w:val="24"/>
          <w:szCs w:val="24"/>
        </w:rPr>
      </w:pPr>
    </w:p>
    <w:p w14:paraId="23136656" w14:textId="19C21624" w:rsidR="008D2DA5" w:rsidRDefault="00A71AC3" w:rsidP="00A176F4">
      <w:pPr>
        <w:pStyle w:val="Heading2"/>
      </w:pPr>
      <w:bookmarkStart w:id="5" w:name="_Toc198205655"/>
      <w:r>
        <w:lastRenderedPageBreak/>
        <w:t xml:space="preserve">1.2: </w:t>
      </w:r>
      <w:r w:rsidR="00DE1932" w:rsidRPr="00285F16">
        <w:t>GOVERNANCE ARRANGEMENT</w:t>
      </w:r>
      <w:bookmarkEnd w:id="5"/>
    </w:p>
    <w:p w14:paraId="379B7787" w14:textId="77777777" w:rsidR="006B1CBF" w:rsidRPr="006B1CBF" w:rsidRDefault="006B1CBF" w:rsidP="006B1CBF"/>
    <w:p w14:paraId="038ADBE5" w14:textId="2C5D20AA" w:rsidR="0001617B" w:rsidRPr="00285F16" w:rsidRDefault="0001617B" w:rsidP="0001617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The National Revenue Authority's activities fall under the direct supervision of the Ministry of Finance, while the Board of Directors oversees the management of the NRA. This Board, led by a chairperson, holds the pivotal role of providing strategic guidance to the Authority's management. It shapes and formulates policies aimed at </w:t>
      </w:r>
      <w:r w:rsidR="0084386B">
        <w:rPr>
          <w:rFonts w:ascii="Baskerville Old Face" w:hAnsi="Baskerville Old Face" w:cs="Times New Roman"/>
          <w:sz w:val="24"/>
          <w:szCs w:val="24"/>
        </w:rPr>
        <w:t>strengthening</w:t>
      </w:r>
      <w:r w:rsidRPr="00285F16">
        <w:rPr>
          <w:rFonts w:ascii="Baskerville Old Face" w:hAnsi="Baskerville Old Face" w:cs="Times New Roman"/>
          <w:sz w:val="24"/>
          <w:szCs w:val="24"/>
        </w:rPr>
        <w:t xml:space="preserve"> the corporate governance framework of the institution.</w:t>
      </w:r>
    </w:p>
    <w:p w14:paraId="01229745" w14:textId="77777777" w:rsidR="0001617B" w:rsidRPr="00285F16" w:rsidRDefault="0001617B" w:rsidP="0001617B">
      <w:pPr>
        <w:jc w:val="both"/>
        <w:rPr>
          <w:rFonts w:ascii="Baskerville Old Face" w:hAnsi="Baskerville Old Face" w:cs="Times New Roman"/>
          <w:sz w:val="24"/>
          <w:szCs w:val="24"/>
        </w:rPr>
      </w:pPr>
      <w:r w:rsidRPr="00285F16">
        <w:rPr>
          <w:rFonts w:ascii="Baskerville Old Face" w:hAnsi="Baskerville Old Face" w:cs="Times New Roman"/>
          <w:sz w:val="24"/>
          <w:szCs w:val="24"/>
        </w:rPr>
        <w:t>As per the NRA Act of 2002 (as amended in 2022), the Board of Directors comprises:</w:t>
      </w:r>
    </w:p>
    <w:p w14:paraId="2711D296" w14:textId="68064059"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 chairperson</w:t>
      </w:r>
    </w:p>
    <w:p w14:paraId="71C897E3" w14:textId="651DA8C5"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Financial Secretary</w:t>
      </w:r>
    </w:p>
    <w:p w14:paraId="3777CB2D" w14:textId="671F391A"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Governor of the Bank of Sierra Leone</w:t>
      </w:r>
    </w:p>
    <w:p w14:paraId="09BA4834" w14:textId="7D7DE85F"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Commissioner-General</w:t>
      </w:r>
    </w:p>
    <w:p w14:paraId="4A70B7F9" w14:textId="11074A07"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Permanent Secretary of the Ministry of Trade and Industry</w:t>
      </w:r>
    </w:p>
    <w:p w14:paraId="614EB76D" w14:textId="6F888FC1"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 tax specialist</w:t>
      </w:r>
    </w:p>
    <w:p w14:paraId="23DFC6FD" w14:textId="4477F702"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An economist</w:t>
      </w:r>
    </w:p>
    <w:p w14:paraId="5AE18B16" w14:textId="7D27FFB8" w:rsidR="0001617B" w:rsidRPr="00285F16" w:rsidRDefault="0001617B" w:rsidP="0001617B">
      <w:pPr>
        <w:pStyle w:val="ListParagraph"/>
        <w:numPr>
          <w:ilvl w:val="0"/>
          <w:numId w:val="4"/>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A legal practitioner</w:t>
      </w:r>
    </w:p>
    <w:p w14:paraId="19A1A728" w14:textId="11A2A0A3" w:rsidR="0001617B" w:rsidRPr="00285F16" w:rsidRDefault="0001617B" w:rsidP="0001617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The Bank Governor, the Financial Secretary and the Permanent Secretary of the Ministry </w:t>
      </w:r>
      <w:r w:rsidR="00496BF6">
        <w:rPr>
          <w:rFonts w:ascii="Baskerville Old Face" w:hAnsi="Baskerville Old Face" w:cs="Times New Roman"/>
          <w:sz w:val="24"/>
          <w:szCs w:val="24"/>
        </w:rPr>
        <w:t xml:space="preserve">of trade </w:t>
      </w:r>
      <w:r w:rsidRPr="00285F16">
        <w:rPr>
          <w:rFonts w:ascii="Baskerville Old Face" w:hAnsi="Baskerville Old Face" w:cs="Times New Roman"/>
          <w:sz w:val="24"/>
          <w:szCs w:val="24"/>
        </w:rPr>
        <w:t xml:space="preserve">and Industry automatically become members of the Board, while the rest of the Board members are appointed by the President of Sierra Leone. Except for the Governor, the Financial Secretary, the Commissioner-General, and the Permanent Secretary of the Ministry </w:t>
      </w:r>
      <w:r w:rsidR="0080305C" w:rsidRPr="00285F16">
        <w:rPr>
          <w:rFonts w:ascii="Baskerville Old Face" w:hAnsi="Baskerville Old Face" w:cs="Times New Roman"/>
          <w:sz w:val="24"/>
          <w:szCs w:val="24"/>
        </w:rPr>
        <w:t xml:space="preserve">of Trade </w:t>
      </w:r>
      <w:r w:rsidRPr="00285F16">
        <w:rPr>
          <w:rFonts w:ascii="Baskerville Old Face" w:hAnsi="Baskerville Old Face" w:cs="Times New Roman"/>
          <w:sz w:val="24"/>
          <w:szCs w:val="24"/>
        </w:rPr>
        <w:t>and Industry, the Chairperson and the other members of the Board can serve for a period of three years and may be re-appointed by the President for not more than one term for a period of 3 years.</w:t>
      </w:r>
    </w:p>
    <w:p w14:paraId="27EC2AD7" w14:textId="55A859D9" w:rsidR="00DE1932" w:rsidRDefault="0001617B" w:rsidP="0001617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day-to-day operations of the Authority are overseen by the Commissioner-General, who heads the Senior Management Team (SMT). This team includes two Deputy Commissioner-Generals, Commissioners/Directors, and Deputy Commissioners/Directors. The Board appoints the Deputy Commissioner-Generals to serve as principal assistants to the Commissioner-General. Commissioners/Directors, their Deputies, and Assistants are appointed by the Commissioner-General, subject to the Board's approval, as outlined in the NRA Act of 20</w:t>
      </w:r>
      <w:r w:rsidR="0084386B">
        <w:rPr>
          <w:rFonts w:ascii="Baskerville Old Face" w:hAnsi="Baskerville Old Face" w:cs="Times New Roman"/>
          <w:sz w:val="24"/>
          <w:szCs w:val="24"/>
        </w:rPr>
        <w:t>2</w:t>
      </w:r>
      <w:r w:rsidRPr="00285F16">
        <w:rPr>
          <w:rFonts w:ascii="Baskerville Old Face" w:hAnsi="Baskerville Old Face" w:cs="Times New Roman"/>
          <w:sz w:val="24"/>
          <w:szCs w:val="24"/>
        </w:rPr>
        <w:t>2.</w:t>
      </w:r>
    </w:p>
    <w:p w14:paraId="39F536A8" w14:textId="77777777" w:rsidR="00285F16" w:rsidRDefault="00285F16" w:rsidP="0001617B">
      <w:pPr>
        <w:spacing w:line="360" w:lineRule="auto"/>
        <w:jc w:val="both"/>
        <w:rPr>
          <w:rFonts w:ascii="Baskerville Old Face" w:hAnsi="Baskerville Old Face" w:cs="Times New Roman"/>
          <w:sz w:val="24"/>
          <w:szCs w:val="24"/>
        </w:rPr>
      </w:pPr>
    </w:p>
    <w:p w14:paraId="5BAC096E" w14:textId="2531E043" w:rsidR="009E1378" w:rsidRPr="00285F16" w:rsidRDefault="007F69C3" w:rsidP="006D734B">
      <w:pPr>
        <w:spacing w:line="276" w:lineRule="auto"/>
        <w:rPr>
          <w:rFonts w:ascii="Baskerville Old Face" w:hAnsi="Baskerville Old Face" w:cs="Times New Roman"/>
          <w:b/>
          <w:bCs/>
          <w:i/>
          <w:iCs/>
          <w:kern w:val="0"/>
          <w:sz w:val="24"/>
          <w:szCs w:val="24"/>
          <w:lang w:val="en-GB"/>
          <w14:ligatures w14:val="none"/>
        </w:rPr>
      </w:pPr>
      <w:bookmarkStart w:id="6" w:name="Figure3"/>
      <w:r w:rsidRPr="00285F16">
        <w:rPr>
          <w:rFonts w:ascii="Baskerville Old Face" w:hAnsi="Baskerville Old Face" w:cs="Times New Roman"/>
          <w:b/>
          <w:bCs/>
          <w:i/>
          <w:iCs/>
          <w:kern w:val="0"/>
          <w:sz w:val="24"/>
          <w:szCs w:val="24"/>
          <w:lang w:val="en-GB"/>
          <w14:ligatures w14:val="none"/>
        </w:rPr>
        <w:lastRenderedPageBreak/>
        <w:t xml:space="preserve">Figure </w:t>
      </w:r>
      <w:r w:rsidR="0089214A">
        <w:rPr>
          <w:rFonts w:ascii="Baskerville Old Face" w:hAnsi="Baskerville Old Face" w:cs="Times New Roman"/>
          <w:b/>
          <w:bCs/>
          <w:i/>
          <w:iCs/>
          <w:kern w:val="0"/>
          <w:sz w:val="24"/>
          <w:szCs w:val="24"/>
          <w:lang w:val="en-GB"/>
          <w14:ligatures w14:val="none"/>
        </w:rPr>
        <w:t>3</w:t>
      </w:r>
      <w:r w:rsidR="00CD772B" w:rsidRPr="00285F16">
        <w:rPr>
          <w:rFonts w:ascii="Baskerville Old Face" w:hAnsi="Baskerville Old Face" w:cs="Times New Roman"/>
          <w:b/>
          <w:bCs/>
          <w:i/>
          <w:iCs/>
          <w:kern w:val="0"/>
          <w:sz w:val="24"/>
          <w:szCs w:val="24"/>
          <w:lang w:val="en-GB"/>
          <w14:ligatures w14:val="none"/>
        </w:rPr>
        <w:t>:</w:t>
      </w:r>
      <w:r w:rsidRPr="00285F16">
        <w:rPr>
          <w:rFonts w:ascii="Baskerville Old Face" w:hAnsi="Baskerville Old Face" w:cs="Times New Roman"/>
          <w:b/>
          <w:bCs/>
          <w:i/>
          <w:iCs/>
          <w:kern w:val="0"/>
          <w:sz w:val="24"/>
          <w:szCs w:val="24"/>
          <w:lang w:val="en-GB"/>
          <w14:ligatures w14:val="none"/>
        </w:rPr>
        <w:t xml:space="preserve"> </w:t>
      </w:r>
      <w:bookmarkEnd w:id="6"/>
      <w:r w:rsidRPr="00285F16">
        <w:rPr>
          <w:rFonts w:ascii="Baskerville Old Face" w:hAnsi="Baskerville Old Face" w:cs="Times New Roman"/>
          <w:b/>
          <w:bCs/>
          <w:i/>
          <w:iCs/>
          <w:kern w:val="0"/>
          <w:sz w:val="24"/>
          <w:szCs w:val="24"/>
          <w:lang w:val="en-GB"/>
          <w14:ligatures w14:val="none"/>
        </w:rPr>
        <w:t>NRA Organogram</w:t>
      </w:r>
    </w:p>
    <w:bookmarkStart w:id="7" w:name="_Hlk127271187"/>
    <w:bookmarkStart w:id="8" w:name="_Hlk127271267"/>
    <w:p w14:paraId="07B9EE9A" w14:textId="6EC1728D"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7392" behindDoc="0" locked="0" layoutInCell="1" allowOverlap="1" wp14:anchorId="2A830A6C" wp14:editId="00339234">
                <wp:simplePos x="0" y="0"/>
                <wp:positionH relativeFrom="column">
                  <wp:posOffset>1468076</wp:posOffset>
                </wp:positionH>
                <wp:positionV relativeFrom="paragraph">
                  <wp:posOffset>148442</wp:posOffset>
                </wp:positionV>
                <wp:extent cx="3167926" cy="404037"/>
                <wp:effectExtent l="0" t="0" r="13970" b="15240"/>
                <wp:wrapNone/>
                <wp:docPr id="2" name="Flowchart: Terminator 2"/>
                <wp:cNvGraphicFramePr/>
                <a:graphic xmlns:a="http://schemas.openxmlformats.org/drawingml/2006/main">
                  <a:graphicData uri="http://schemas.microsoft.com/office/word/2010/wordprocessingShape">
                    <wps:wsp>
                      <wps:cNvSpPr/>
                      <wps:spPr>
                        <a:xfrm>
                          <a:off x="0" y="0"/>
                          <a:ext cx="3167926" cy="404037"/>
                        </a:xfrm>
                        <a:prstGeom prst="flowChartTerminator">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E899F2" w14:textId="77777777" w:rsidR="009E1378" w:rsidRPr="00D92F88" w:rsidRDefault="009E1378" w:rsidP="009E1378">
                            <w:pPr>
                              <w:jc w:val="center"/>
                              <w:rPr>
                                <w:rFonts w:ascii="Times New Roman" w:hAnsi="Times New Roman" w:cs="Times New Roman"/>
                                <w:b/>
                                <w:bCs/>
                                <w:sz w:val="24"/>
                                <w:szCs w:val="24"/>
                              </w:rPr>
                            </w:pPr>
                            <w:r w:rsidRPr="00D92F88">
                              <w:rPr>
                                <w:rFonts w:ascii="Times New Roman" w:hAnsi="Times New Roman" w:cs="Times New Roman"/>
                                <w:b/>
                                <w:bCs/>
                                <w:sz w:val="24"/>
                                <w:szCs w:val="24"/>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0A6C" id="_x0000_t116" coordsize="21600,21600" o:spt="116" path="m3475,qx,10800,3475,21600l18125,21600qx21600,10800,18125,xe">
                <v:stroke joinstyle="miter"/>
                <v:path gradientshapeok="t" o:connecttype="rect" textboxrect="1018,3163,20582,18437"/>
              </v:shapetype>
              <v:shape id="Flowchart: Terminator 2" o:spid="_x0000_s1039" type="#_x0000_t116" style="position:absolute;margin-left:115.6pt;margin-top:11.7pt;width:249.45pt;height:3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" fillcolor="#002060" strokecolor="#1f3763 [1604]" strokeweight="1pt">
                <v:textbox>
                  <w:txbxContent>
                    <w:p w14:paraId="1EE899F2" w14:textId="77777777" w:rsidR="009E1378" w:rsidRPr="00D92F88" w:rsidRDefault="009E1378" w:rsidP="009E1378">
                      <w:pPr>
                        <w:jc w:val="center"/>
                        <w:rPr>
                          <w:rFonts w:ascii="Times New Roman" w:hAnsi="Times New Roman" w:cs="Times New Roman"/>
                          <w:b/>
                          <w:bCs/>
                          <w:sz w:val="24"/>
                          <w:szCs w:val="24"/>
                        </w:rPr>
                      </w:pPr>
                      <w:r w:rsidRPr="00D92F88">
                        <w:rPr>
                          <w:rFonts w:ascii="Times New Roman" w:hAnsi="Times New Roman" w:cs="Times New Roman"/>
                          <w:b/>
                          <w:bCs/>
                          <w:sz w:val="24"/>
                          <w:szCs w:val="24"/>
                        </w:rPr>
                        <w:t>Board of Directors</w:t>
                      </w:r>
                    </w:p>
                  </w:txbxContent>
                </v:textbox>
              </v:shape>
            </w:pict>
          </mc:Fallback>
        </mc:AlternateContent>
      </w:r>
    </w:p>
    <w:p w14:paraId="03034D3C" w14:textId="2170CA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5280" behindDoc="0" locked="0" layoutInCell="1" allowOverlap="1" wp14:anchorId="5287760A" wp14:editId="7ACD4CCF">
                <wp:simplePos x="0" y="0"/>
                <wp:positionH relativeFrom="column">
                  <wp:posOffset>1365250</wp:posOffset>
                </wp:positionH>
                <wp:positionV relativeFrom="paragraph">
                  <wp:posOffset>53340</wp:posOffset>
                </wp:positionV>
                <wp:extent cx="9144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91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37F0A" id="Straight Connector 26"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4.2pt" to="11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" strokecolor="black [3200]" strokeweight="1.5pt">
                <v:stroke joinstyle="miter"/>
              </v:lin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4256" behindDoc="0" locked="0" layoutInCell="1" allowOverlap="1" wp14:anchorId="557C7482" wp14:editId="7F13EA8E">
                <wp:simplePos x="0" y="0"/>
                <wp:positionH relativeFrom="column">
                  <wp:posOffset>1369060</wp:posOffset>
                </wp:positionH>
                <wp:positionV relativeFrom="paragraph">
                  <wp:posOffset>56515</wp:posOffset>
                </wp:positionV>
                <wp:extent cx="0" cy="1280160"/>
                <wp:effectExtent l="76200" t="0" r="95250" b="53340"/>
                <wp:wrapNone/>
                <wp:docPr id="25" name="Straight Arrow Connector 25"/>
                <wp:cNvGraphicFramePr/>
                <a:graphic xmlns:a="http://schemas.openxmlformats.org/drawingml/2006/main">
                  <a:graphicData uri="http://schemas.microsoft.com/office/word/2010/wordprocessingShape">
                    <wps:wsp>
                      <wps:cNvCnPr/>
                      <wps:spPr>
                        <a:xfrm>
                          <a:off x="0" y="0"/>
                          <a:ext cx="0" cy="12801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E8BFC4" id="_x0000_t32" coordsize="21600,21600" o:spt="32" o:oned="t" path="m,l21600,21600e" filled="f">
                <v:path arrowok="t" fillok="f" o:connecttype="none"/>
                <o:lock v:ext="edit" shapetype="t"/>
              </v:shapetype>
              <v:shape id="Straight Arrow Connector 25" o:spid="_x0000_s1026" type="#_x0000_t32" style="position:absolute;margin-left:107.8pt;margin-top:4.45pt;width:0;height:10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" strokecolor="black [3200]" strokeweight="1.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1184" behindDoc="0" locked="0" layoutInCell="1" allowOverlap="1" wp14:anchorId="68EDEFA9" wp14:editId="0B1020C2">
                <wp:simplePos x="0" y="0"/>
                <wp:positionH relativeFrom="margin">
                  <wp:posOffset>6079357</wp:posOffset>
                </wp:positionH>
                <wp:positionV relativeFrom="paragraph">
                  <wp:posOffset>210837</wp:posOffset>
                </wp:positionV>
                <wp:extent cx="924989" cy="260379"/>
                <wp:effectExtent l="8255" t="0" r="17145" b="17145"/>
                <wp:wrapNone/>
                <wp:docPr id="55" name="Text Box 55"/>
                <wp:cNvGraphicFramePr/>
                <a:graphic xmlns:a="http://schemas.openxmlformats.org/drawingml/2006/main">
                  <a:graphicData uri="http://schemas.microsoft.com/office/word/2010/wordprocessingShape">
                    <wps:wsp>
                      <wps:cNvSpPr txBox="1"/>
                      <wps:spPr>
                        <a:xfrm rot="16200000">
                          <a:off x="0" y="0"/>
                          <a:ext cx="924989" cy="260379"/>
                        </a:xfrm>
                        <a:prstGeom prst="rect">
                          <a:avLst/>
                        </a:prstGeom>
                        <a:solidFill>
                          <a:sysClr val="window" lastClr="FFFFFF"/>
                        </a:solidFill>
                        <a:ln w="6350">
                          <a:solidFill>
                            <a:prstClr val="black"/>
                          </a:solidFill>
                        </a:ln>
                      </wps:spPr>
                      <wps:txbx>
                        <w:txbxContent>
                          <w:p w14:paraId="5C66A125"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EFA9" id="_x0000_t202" coordsize="21600,21600" o:spt="202" path="m,l,21600r21600,l21600,xe">
                <v:stroke joinstyle="miter"/>
                <v:path gradientshapeok="t" o:connecttype="rect"/>
              </v:shapetype>
              <v:shape id="Text Box 55" o:spid="_x0000_s1040" type="#_x0000_t202" style="position:absolute;margin-left:478.7pt;margin-top:16.6pt;width:72.85pt;height:20.5pt;rotation:-90;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" fillcolor="window" strokeweight=".5pt">
                <v:textbox>
                  <w:txbxContent>
                    <w:p w14:paraId="5C66A125"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Board</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08416" behindDoc="0" locked="0" layoutInCell="1" allowOverlap="1" wp14:anchorId="04C55758" wp14:editId="21B48C88">
                <wp:simplePos x="0" y="0"/>
                <wp:positionH relativeFrom="column">
                  <wp:posOffset>4843335</wp:posOffset>
                </wp:positionH>
                <wp:positionV relativeFrom="paragraph">
                  <wp:posOffset>141605</wp:posOffset>
                </wp:positionV>
                <wp:extent cx="1413066" cy="361315"/>
                <wp:effectExtent l="0" t="0" r="15875" b="19685"/>
                <wp:wrapNone/>
                <wp:docPr id="3" name="Flowchart: Terminator 3"/>
                <wp:cNvGraphicFramePr/>
                <a:graphic xmlns:a="http://schemas.openxmlformats.org/drawingml/2006/main">
                  <a:graphicData uri="http://schemas.microsoft.com/office/word/2010/wordprocessingShape">
                    <wps:wsp>
                      <wps:cNvSpPr/>
                      <wps:spPr>
                        <a:xfrm>
                          <a:off x="0" y="0"/>
                          <a:ext cx="1413066" cy="361315"/>
                        </a:xfrm>
                        <a:prstGeom prst="flowChartTerminator">
                          <a:avLst/>
                        </a:prstGeom>
                        <a:solidFill>
                          <a:schemeClr val="bg2">
                            <a:lumMod val="50000"/>
                          </a:schemeClr>
                        </a:solidFill>
                        <a:ln w="12700" cap="flat" cmpd="sng" algn="ctr">
                          <a:solidFill>
                            <a:srgbClr val="4472C4">
                              <a:shade val="50000"/>
                            </a:srgbClr>
                          </a:solidFill>
                          <a:prstDash val="solid"/>
                          <a:miter lim="800000"/>
                        </a:ln>
                        <a:effectLst/>
                      </wps:spPr>
                      <wps:txbx>
                        <w:txbxContent>
                          <w:p w14:paraId="6840E62D"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Board Secretariat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5758" id="Flowchart: Terminator 3" o:spid="_x0000_s1041" type="#_x0000_t116" style="position:absolute;margin-left:381.35pt;margin-top:11.15pt;width:111.25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" fillcolor="#747070 [1614]" strokecolor="#2f528f" strokeweight="1pt">
                <v:textbox>
                  <w:txbxContent>
                    <w:p w14:paraId="6840E62D"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Board Secretariat</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32992" behindDoc="0" locked="0" layoutInCell="1" allowOverlap="1" wp14:anchorId="268014C6" wp14:editId="1AA9C1D4">
                <wp:simplePos x="0" y="0"/>
                <wp:positionH relativeFrom="column">
                  <wp:posOffset>4643252</wp:posOffset>
                </wp:positionH>
                <wp:positionV relativeFrom="paragraph">
                  <wp:posOffset>34884</wp:posOffset>
                </wp:positionV>
                <wp:extent cx="190005" cy="319405"/>
                <wp:effectExtent l="0" t="0" r="38735" b="99695"/>
                <wp:wrapNone/>
                <wp:docPr id="38" name="Connector: Elbow 38"/>
                <wp:cNvGraphicFramePr/>
                <a:graphic xmlns:a="http://schemas.openxmlformats.org/drawingml/2006/main">
                  <a:graphicData uri="http://schemas.microsoft.com/office/word/2010/wordprocessingShape">
                    <wps:wsp>
                      <wps:cNvCnPr/>
                      <wps:spPr>
                        <a:xfrm>
                          <a:off x="0" y="0"/>
                          <a:ext cx="190005" cy="319405"/>
                        </a:xfrm>
                        <a:prstGeom prst="bentConnector3">
                          <a:avLst>
                            <a:gd name="adj1" fmla="val 3185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909D9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8" o:spid="_x0000_s1026" type="#_x0000_t34" style="position:absolute;margin-left:365.6pt;margin-top:2.75pt;width:14.95pt;height:2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" adj="6881" strokecolor="#4472c4 [3204]" strokeweight=".5pt">
                <v:stroke endarrow="block"/>
              </v:shape>
            </w:pict>
          </mc:Fallback>
        </mc:AlternateContent>
      </w:r>
    </w:p>
    <w:p w14:paraId="30B6AE9F" w14:textId="77777777" w:rsidR="009E1378" w:rsidRPr="00285F16" w:rsidRDefault="009E1378" w:rsidP="009E1378">
      <w:pPr>
        <w:rPr>
          <w:rFonts w:ascii="Baskerville Old Face" w:hAnsi="Baskerville Old Face" w:cs="Times New Roman"/>
          <w:sz w:val="24"/>
          <w:szCs w:val="24"/>
        </w:rPr>
      </w:pPr>
    </w:p>
    <w:bookmarkEnd w:id="7"/>
    <w:p w14:paraId="6B55C99A"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09440" behindDoc="0" locked="0" layoutInCell="1" allowOverlap="1" wp14:anchorId="7D7DA9F2" wp14:editId="614318F8">
                <wp:simplePos x="0" y="0"/>
                <wp:positionH relativeFrom="column">
                  <wp:posOffset>1650365</wp:posOffset>
                </wp:positionH>
                <wp:positionV relativeFrom="paragraph">
                  <wp:posOffset>93345</wp:posOffset>
                </wp:positionV>
                <wp:extent cx="2926080" cy="457200"/>
                <wp:effectExtent l="0" t="0" r="26670" b="19050"/>
                <wp:wrapNone/>
                <wp:docPr id="4" name="Flowchart: Terminator 4"/>
                <wp:cNvGraphicFramePr/>
                <a:graphic xmlns:a="http://schemas.openxmlformats.org/drawingml/2006/main">
                  <a:graphicData uri="http://schemas.microsoft.com/office/word/2010/wordprocessingShape">
                    <wps:wsp>
                      <wps:cNvSpPr/>
                      <wps:spPr>
                        <a:xfrm>
                          <a:off x="0" y="0"/>
                          <a:ext cx="2926080" cy="457200"/>
                        </a:xfrm>
                        <a:prstGeom prst="flowChartTerminator">
                          <a:avLst/>
                        </a:prstGeom>
                        <a:solidFill>
                          <a:srgbClr val="4472C4">
                            <a:lumMod val="75000"/>
                          </a:srgbClr>
                        </a:solidFill>
                        <a:ln w="12700" cap="flat" cmpd="sng" algn="ctr">
                          <a:solidFill>
                            <a:srgbClr val="4472C4">
                              <a:shade val="50000"/>
                            </a:srgbClr>
                          </a:solidFill>
                          <a:prstDash val="solid"/>
                          <a:miter lim="800000"/>
                        </a:ln>
                        <a:effectLst/>
                      </wps:spPr>
                      <wps:txbx>
                        <w:txbxContent>
                          <w:p w14:paraId="1CCB2F1B" w14:textId="77777777" w:rsidR="009E1378" w:rsidRPr="00D92F88" w:rsidRDefault="009E1378" w:rsidP="009E1378">
                            <w:pPr>
                              <w:jc w:val="center"/>
                              <w:rPr>
                                <w:rFonts w:ascii="Times New Roman" w:hAnsi="Times New Roman" w:cs="Times New Roman"/>
                                <w:b/>
                                <w:bCs/>
                                <w:color w:val="FFFFFF" w:themeColor="background1"/>
                                <w:sz w:val="24"/>
                                <w:szCs w:val="24"/>
                              </w:rPr>
                            </w:pPr>
                            <w:r w:rsidRPr="00D92F88">
                              <w:rPr>
                                <w:rFonts w:ascii="Times New Roman" w:hAnsi="Times New Roman" w:cs="Times New Roman"/>
                                <w:b/>
                                <w:bCs/>
                                <w:color w:val="FFFFFF" w:themeColor="background1"/>
                                <w:sz w:val="24"/>
                                <w:szCs w:val="24"/>
                              </w:rPr>
                              <w:t>Commission-General (CG)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A9F2" id="Flowchart: Terminator 4" o:spid="_x0000_s1042" type="#_x0000_t116" style="position:absolute;margin-left:129.95pt;margin-top:7.35pt;width:230.4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" fillcolor="#2f5597" strokecolor="#2f528f" strokeweight="1pt">
                <v:textbox>
                  <w:txbxContent>
                    <w:p w14:paraId="1CCB2F1B" w14:textId="77777777" w:rsidR="009E1378" w:rsidRPr="00D92F88" w:rsidRDefault="009E1378" w:rsidP="009E1378">
                      <w:pPr>
                        <w:jc w:val="center"/>
                        <w:rPr>
                          <w:rFonts w:ascii="Times New Roman" w:hAnsi="Times New Roman" w:cs="Times New Roman"/>
                          <w:b/>
                          <w:bCs/>
                          <w:color w:val="FFFFFF" w:themeColor="background1"/>
                          <w:sz w:val="24"/>
                          <w:szCs w:val="24"/>
                        </w:rPr>
                      </w:pPr>
                      <w:r w:rsidRPr="00D92F88">
                        <w:rPr>
                          <w:rFonts w:ascii="Times New Roman" w:hAnsi="Times New Roman" w:cs="Times New Roman"/>
                          <w:b/>
                          <w:bCs/>
                          <w:color w:val="FFFFFF" w:themeColor="background1"/>
                          <w:sz w:val="24"/>
                          <w:szCs w:val="24"/>
                        </w:rPr>
                        <w:t>Commission-General (CG)</w:t>
                      </w:r>
                    </w:p>
                  </w:txbxContent>
                </v:textbox>
              </v:shape>
            </w:pict>
          </mc:Fallback>
        </mc:AlternateContent>
      </w:r>
    </w:p>
    <w:p w14:paraId="5524007F" w14:textId="2AF3B4B5"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9920" behindDoc="0" locked="0" layoutInCell="1" allowOverlap="1" wp14:anchorId="2CE5DF08" wp14:editId="43EA17E6">
                <wp:simplePos x="0" y="0"/>
                <wp:positionH relativeFrom="margin">
                  <wp:posOffset>1242060</wp:posOffset>
                </wp:positionH>
                <wp:positionV relativeFrom="paragraph">
                  <wp:posOffset>31115</wp:posOffset>
                </wp:positionV>
                <wp:extent cx="381000" cy="922020"/>
                <wp:effectExtent l="38100" t="0" r="19050" b="87630"/>
                <wp:wrapNone/>
                <wp:docPr id="35" name="Connector: Elbow 35"/>
                <wp:cNvGraphicFramePr/>
                <a:graphic xmlns:a="http://schemas.openxmlformats.org/drawingml/2006/main">
                  <a:graphicData uri="http://schemas.microsoft.com/office/word/2010/wordprocessingShape">
                    <wps:wsp>
                      <wps:cNvCnPr/>
                      <wps:spPr>
                        <a:xfrm flipH="1">
                          <a:off x="0" y="0"/>
                          <a:ext cx="381000" cy="922020"/>
                        </a:xfrm>
                        <a:prstGeom prst="bentConnector3">
                          <a:avLst>
                            <a:gd name="adj1" fmla="val 2747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813108" id="Connector: Elbow 35" o:spid="_x0000_s1026" type="#_x0000_t34" style="position:absolute;margin-left:97.8pt;margin-top:2.45pt;width:30pt;height:72.6pt;flip:x;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" adj="5934" strokecolor="#4472c4" strokeweight=".5pt">
                <v:stroke endarrow="block"/>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8896" behindDoc="0" locked="0" layoutInCell="1" allowOverlap="1" wp14:anchorId="598D2231" wp14:editId="62684FBB">
                <wp:simplePos x="0" y="0"/>
                <wp:positionH relativeFrom="column">
                  <wp:posOffset>4531360</wp:posOffset>
                </wp:positionH>
                <wp:positionV relativeFrom="paragraph">
                  <wp:posOffset>30480</wp:posOffset>
                </wp:positionV>
                <wp:extent cx="274320" cy="891540"/>
                <wp:effectExtent l="0" t="0" r="30480" b="99060"/>
                <wp:wrapNone/>
                <wp:docPr id="33" name="Connector: Elbow 33"/>
                <wp:cNvGraphicFramePr/>
                <a:graphic xmlns:a="http://schemas.openxmlformats.org/drawingml/2006/main">
                  <a:graphicData uri="http://schemas.microsoft.com/office/word/2010/wordprocessingShape">
                    <wps:wsp>
                      <wps:cNvCnPr/>
                      <wps:spPr>
                        <a:xfrm>
                          <a:off x="0" y="0"/>
                          <a:ext cx="274320" cy="8915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291A5" id="Connector: Elbow 33" o:spid="_x0000_s1026" type="#_x0000_t34" style="position:absolute;margin-left:356.8pt;margin-top:2.4pt;width:21.6pt;height:7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" strokecolor="#4472c4 [3204]" strokeweight=".5pt">
                <v:stroke endarrow="block"/>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7632" behindDoc="0" locked="0" layoutInCell="1" allowOverlap="1" wp14:anchorId="50C4C316" wp14:editId="277CFDA8">
                <wp:simplePos x="0" y="0"/>
                <wp:positionH relativeFrom="margin">
                  <wp:posOffset>-172085</wp:posOffset>
                </wp:positionH>
                <wp:positionV relativeFrom="paragraph">
                  <wp:posOffset>335280</wp:posOffset>
                </wp:positionV>
                <wp:extent cx="1391920" cy="361315"/>
                <wp:effectExtent l="0" t="0" r="17780" b="19685"/>
                <wp:wrapNone/>
                <wp:docPr id="12" name="Flowchart: Terminator 12"/>
                <wp:cNvGraphicFramePr/>
                <a:graphic xmlns:a="http://schemas.openxmlformats.org/drawingml/2006/main">
                  <a:graphicData uri="http://schemas.microsoft.com/office/word/2010/wordprocessingShape">
                    <wps:wsp>
                      <wps:cNvSpPr/>
                      <wps:spPr>
                        <a:xfrm>
                          <a:off x="0" y="0"/>
                          <a:ext cx="1391920"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39DAE1B8"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Internal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C316" id="Flowchart: Terminator 12" o:spid="_x0000_s1043" type="#_x0000_t116" style="position:absolute;margin-left:-13.55pt;margin-top:26.4pt;width:109.6pt;height:28.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" fillcolor="#823b0b [1605]" strokecolor="#2f528f" strokeweight="1pt">
                <v:textbox>
                  <w:txbxContent>
                    <w:p w14:paraId="39DAE1B8"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Internal Audit </w:t>
                      </w:r>
                    </w:p>
                  </w:txbxContent>
                </v:textbox>
                <w10:wrap anchorx="margin"/>
              </v:shape>
            </w:pict>
          </mc:Fallback>
        </mc:AlternateContent>
      </w:r>
    </w:p>
    <w:p w14:paraId="6133E32C" w14:textId="662842BE" w:rsidR="009E1378" w:rsidRPr="00285F16" w:rsidRDefault="009E1378" w:rsidP="009E1378">
      <w:pPr>
        <w:tabs>
          <w:tab w:val="left" w:pos="1982"/>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0944" behindDoc="0" locked="0" layoutInCell="1" allowOverlap="1" wp14:anchorId="44FB05FE" wp14:editId="3A8B2D20">
                <wp:simplePos x="0" y="0"/>
                <wp:positionH relativeFrom="column">
                  <wp:posOffset>1203960</wp:posOffset>
                </wp:positionH>
                <wp:positionV relativeFrom="paragraph">
                  <wp:posOffset>187325</wp:posOffset>
                </wp:positionV>
                <wp:extent cx="304800"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1E4236" id="Straight Arrow Connector 36" o:spid="_x0000_s1026" type="#_x0000_t32" style="position:absolute;margin-left:94.8pt;margin-top:14.75pt;width:24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" strokecolor="#4472c4 [3204]" strokeweight=".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31968" behindDoc="0" locked="0" layoutInCell="1" allowOverlap="1" wp14:anchorId="011BE7A2" wp14:editId="319560F2">
                <wp:simplePos x="0" y="0"/>
                <wp:positionH relativeFrom="column">
                  <wp:posOffset>4677410</wp:posOffset>
                </wp:positionH>
                <wp:positionV relativeFrom="paragraph">
                  <wp:posOffset>155575</wp:posOffset>
                </wp:positionV>
                <wp:extent cx="140335" cy="0"/>
                <wp:effectExtent l="0" t="76200" r="12065" b="95250"/>
                <wp:wrapNone/>
                <wp:docPr id="37" name="Straight Arrow Connector 37"/>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1AC8E2" id="Straight Arrow Connector 37" o:spid="_x0000_s1026" type="#_x0000_t32" style="position:absolute;margin-left:368.3pt;margin-top:12.25pt;width:11.05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" strokecolor="#4472c4 [3204]" strokeweight=".5pt">
                <v:stroke endarrow="block" joinstyle="miter"/>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40160" behindDoc="0" locked="0" layoutInCell="1" allowOverlap="1" wp14:anchorId="41A28E47" wp14:editId="14391908">
                <wp:simplePos x="0" y="0"/>
                <wp:positionH relativeFrom="margin">
                  <wp:posOffset>6069273</wp:posOffset>
                </wp:positionH>
                <wp:positionV relativeFrom="paragraph">
                  <wp:posOffset>199386</wp:posOffset>
                </wp:positionV>
                <wp:extent cx="946479" cy="294640"/>
                <wp:effectExtent l="1905" t="0" r="27305" b="27305"/>
                <wp:wrapNone/>
                <wp:docPr id="54" name="Text Box 54"/>
                <wp:cNvGraphicFramePr/>
                <a:graphic xmlns:a="http://schemas.openxmlformats.org/drawingml/2006/main">
                  <a:graphicData uri="http://schemas.microsoft.com/office/word/2010/wordprocessingShape">
                    <wps:wsp>
                      <wps:cNvSpPr txBox="1"/>
                      <wps:spPr>
                        <a:xfrm rot="16200000">
                          <a:off x="0" y="0"/>
                          <a:ext cx="946479" cy="294640"/>
                        </a:xfrm>
                        <a:prstGeom prst="rect">
                          <a:avLst/>
                        </a:prstGeom>
                        <a:solidFill>
                          <a:sysClr val="window" lastClr="FFFFFF"/>
                        </a:solidFill>
                        <a:ln w="6350">
                          <a:solidFill>
                            <a:prstClr val="black"/>
                          </a:solidFill>
                        </a:ln>
                      </wps:spPr>
                      <wps:txbx>
                        <w:txbxContent>
                          <w:p w14:paraId="1D12318D"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CGs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8E47" id="Text Box 54" o:spid="_x0000_s1044" type="#_x0000_t202" style="position:absolute;margin-left:477.9pt;margin-top:15.7pt;width:74.55pt;height:23.2pt;rotation:-90;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" fillcolor="window" strokeweight=".5pt">
                <v:textbox>
                  <w:txbxContent>
                    <w:p w14:paraId="1D12318D"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CGs Office</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6608" behindDoc="0" locked="0" layoutInCell="1" allowOverlap="1" wp14:anchorId="6D81F636" wp14:editId="2DCF5933">
                <wp:simplePos x="0" y="0"/>
                <wp:positionH relativeFrom="margin">
                  <wp:posOffset>4797631</wp:posOffset>
                </wp:positionH>
                <wp:positionV relativeFrom="paragraph">
                  <wp:posOffset>8799</wp:posOffset>
                </wp:positionV>
                <wp:extent cx="1436914" cy="361315"/>
                <wp:effectExtent l="0" t="0" r="11430" b="19685"/>
                <wp:wrapNone/>
                <wp:docPr id="11" name="Flowchart: Terminator 11"/>
                <wp:cNvGraphicFramePr/>
                <a:graphic xmlns:a="http://schemas.openxmlformats.org/drawingml/2006/main">
                  <a:graphicData uri="http://schemas.microsoft.com/office/word/2010/wordprocessingShape">
                    <wps:wsp>
                      <wps:cNvSpPr/>
                      <wps:spPr>
                        <a:xfrm>
                          <a:off x="0" y="0"/>
                          <a:ext cx="1436914"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E03C2AA"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Anti-Smuggling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F636" id="Flowchart: Terminator 11" o:spid="_x0000_s1045" type="#_x0000_t116" style="position:absolute;margin-left:377.75pt;margin-top:.7pt;width:113.15pt;height:28.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" fillcolor="#823b0b [1605]" strokecolor="#2f528f" strokeweight="1pt">
                <v:textbox>
                  <w:txbxContent>
                    <w:p w14:paraId="5E03C2AA"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Anti-Smuggling </w:t>
                      </w:r>
                    </w:p>
                  </w:txbxContent>
                </v:textbox>
                <w10:wrap anchorx="margin"/>
              </v:shape>
            </w:pict>
          </mc:Fallback>
        </mc:AlternateContent>
      </w:r>
      <w:r w:rsidRPr="00285F16">
        <w:rPr>
          <w:rFonts w:ascii="Baskerville Old Face" w:hAnsi="Baskerville Old Face" w:cs="Times New Roman"/>
          <w:sz w:val="24"/>
          <w:szCs w:val="24"/>
        </w:rPr>
        <w:tab/>
      </w:r>
    </w:p>
    <w:p w14:paraId="1E9F036D" w14:textId="050485D2"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11488" behindDoc="0" locked="0" layoutInCell="1" allowOverlap="1" wp14:anchorId="05BA2167" wp14:editId="198E86BC">
                <wp:simplePos x="0" y="0"/>
                <wp:positionH relativeFrom="column">
                  <wp:posOffset>1584960</wp:posOffset>
                </wp:positionH>
                <wp:positionV relativeFrom="paragraph">
                  <wp:posOffset>8255</wp:posOffset>
                </wp:positionV>
                <wp:extent cx="3017520" cy="457200"/>
                <wp:effectExtent l="0" t="0" r="11430" b="19050"/>
                <wp:wrapNone/>
                <wp:docPr id="6" name="Flowchart: Terminator 6"/>
                <wp:cNvGraphicFramePr/>
                <a:graphic xmlns:a="http://schemas.openxmlformats.org/drawingml/2006/main">
                  <a:graphicData uri="http://schemas.microsoft.com/office/word/2010/wordprocessingShape">
                    <wps:wsp>
                      <wps:cNvSpPr/>
                      <wps:spPr>
                        <a:xfrm>
                          <a:off x="0" y="0"/>
                          <a:ext cx="3017520" cy="457200"/>
                        </a:xfrm>
                        <a:prstGeom prst="flowChartTerminator">
                          <a:avLst/>
                        </a:prstGeom>
                        <a:solidFill>
                          <a:srgbClr val="4472C4">
                            <a:lumMod val="75000"/>
                          </a:srgbClr>
                        </a:solidFill>
                        <a:ln w="12700" cap="flat" cmpd="sng" algn="ctr">
                          <a:solidFill>
                            <a:srgbClr val="4472C4">
                              <a:shade val="50000"/>
                            </a:srgbClr>
                          </a:solidFill>
                          <a:prstDash val="solid"/>
                          <a:miter lim="800000"/>
                        </a:ln>
                        <a:effectLst/>
                      </wps:spPr>
                      <wps:txbx>
                        <w:txbxContent>
                          <w:p w14:paraId="5BE52604" w14:textId="6F066BE8" w:rsidR="009E1378" w:rsidRPr="009E1378" w:rsidRDefault="009E1378" w:rsidP="009E1378">
                            <w:pPr>
                              <w:jc w:val="center"/>
                              <w:rPr>
                                <w:rFonts w:ascii="Times New Roman" w:hAnsi="Times New Roman" w:cs="Times New Roman"/>
                                <w:b/>
                                <w:bCs/>
                                <w:color w:val="FFFFFF" w:themeColor="background1"/>
                              </w:rPr>
                            </w:pPr>
                            <w:r w:rsidRPr="009E1378">
                              <w:rPr>
                                <w:rFonts w:ascii="Times New Roman" w:hAnsi="Times New Roman" w:cs="Times New Roman"/>
                                <w:b/>
                                <w:bCs/>
                                <w:color w:val="FFFFFF" w:themeColor="background1"/>
                              </w:rPr>
                              <w:t xml:space="preserve">Deputy Commission-General (DCG) 1&amp;2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A2167" id="Flowchart: Terminator 6" o:spid="_x0000_s1046" type="#_x0000_t116" style="position:absolute;margin-left:124.8pt;margin-top:.65pt;width:237.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" fillcolor="#2f5597" strokecolor="#2f528f" strokeweight="1pt">
                <v:textbox>
                  <w:txbxContent>
                    <w:p w14:paraId="5BE52604" w14:textId="6F066BE8" w:rsidR="009E1378" w:rsidRPr="009E1378" w:rsidRDefault="009E1378" w:rsidP="009E1378">
                      <w:pPr>
                        <w:jc w:val="center"/>
                        <w:rPr>
                          <w:rFonts w:ascii="Times New Roman" w:hAnsi="Times New Roman" w:cs="Times New Roman"/>
                          <w:b/>
                          <w:bCs/>
                          <w:color w:val="FFFFFF" w:themeColor="background1"/>
                        </w:rPr>
                      </w:pPr>
                      <w:r w:rsidRPr="009E1378">
                        <w:rPr>
                          <w:rFonts w:ascii="Times New Roman" w:hAnsi="Times New Roman" w:cs="Times New Roman"/>
                          <w:b/>
                          <w:bCs/>
                          <w:color w:val="FFFFFF" w:themeColor="background1"/>
                        </w:rPr>
                        <w:t xml:space="preserve">Deputy Commission-General (DCG) 1&amp;2 </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5584" behindDoc="0" locked="0" layoutInCell="1" allowOverlap="1" wp14:anchorId="069DBC71" wp14:editId="6C52F664">
                <wp:simplePos x="0" y="0"/>
                <wp:positionH relativeFrom="margin">
                  <wp:posOffset>-130629</wp:posOffset>
                </wp:positionH>
                <wp:positionV relativeFrom="paragraph">
                  <wp:posOffset>221813</wp:posOffset>
                </wp:positionV>
                <wp:extent cx="1370768" cy="350520"/>
                <wp:effectExtent l="0" t="0" r="20320" b="11430"/>
                <wp:wrapNone/>
                <wp:docPr id="10" name="Flowchart: Terminator 10"/>
                <wp:cNvGraphicFramePr/>
                <a:graphic xmlns:a="http://schemas.openxmlformats.org/drawingml/2006/main">
                  <a:graphicData uri="http://schemas.microsoft.com/office/word/2010/wordprocessingShape">
                    <wps:wsp>
                      <wps:cNvSpPr/>
                      <wps:spPr>
                        <a:xfrm>
                          <a:off x="0" y="0"/>
                          <a:ext cx="1370768" cy="350520"/>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14FE8CC"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Internal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BC71" id="Flowchart: Terminator 10" o:spid="_x0000_s1047" type="#_x0000_t116" style="position:absolute;margin-left:-10.3pt;margin-top:17.45pt;width:107.95pt;height:27.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" fillcolor="#823b0b [1605]" strokecolor="#2f528f" strokeweight="1pt">
                <v:textbox>
                  <w:txbxContent>
                    <w:p w14:paraId="514FE8CC"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Internal Affairs</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4560" behindDoc="0" locked="0" layoutInCell="1" allowOverlap="1" wp14:anchorId="45C35523" wp14:editId="54C93FA7">
                <wp:simplePos x="0" y="0"/>
                <wp:positionH relativeFrom="column">
                  <wp:posOffset>4799941</wp:posOffset>
                </wp:positionH>
                <wp:positionV relativeFrom="paragraph">
                  <wp:posOffset>170633</wp:posOffset>
                </wp:positionV>
                <wp:extent cx="1467293" cy="361315"/>
                <wp:effectExtent l="0" t="0" r="19050" b="19685"/>
                <wp:wrapNone/>
                <wp:docPr id="9" name="Flowchart: Terminator 9"/>
                <wp:cNvGraphicFramePr/>
                <a:graphic xmlns:a="http://schemas.openxmlformats.org/drawingml/2006/main">
                  <a:graphicData uri="http://schemas.microsoft.com/office/word/2010/wordprocessingShape">
                    <wps:wsp>
                      <wps:cNvSpPr/>
                      <wps:spPr>
                        <a:xfrm>
                          <a:off x="0" y="0"/>
                          <a:ext cx="1467293" cy="361315"/>
                        </a:xfrm>
                        <a:prstGeom prst="flowChartTerminator">
                          <a:avLst/>
                        </a:prstGeom>
                        <a:solidFill>
                          <a:schemeClr val="accent2">
                            <a:lumMod val="50000"/>
                          </a:schemeClr>
                        </a:solidFill>
                        <a:ln w="12700" cap="flat" cmpd="sng" algn="ctr">
                          <a:solidFill>
                            <a:srgbClr val="4472C4">
                              <a:shade val="50000"/>
                            </a:srgbClr>
                          </a:solidFill>
                          <a:prstDash val="solid"/>
                          <a:miter lim="800000"/>
                        </a:ln>
                        <a:effectLst/>
                      </wps:spPr>
                      <wps:txbx>
                        <w:txbxContent>
                          <w:p w14:paraId="58461550"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Procurement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5523" id="Flowchart: Terminator 9" o:spid="_x0000_s1048" type="#_x0000_t116" style="position:absolute;margin-left:377.95pt;margin-top:13.45pt;width:115.55pt;height:2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" fillcolor="#823b0b [1605]" strokecolor="#2f528f" strokeweight="1pt">
                <v:textbox>
                  <w:txbxContent>
                    <w:p w14:paraId="58461550"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Procurement </w:t>
                      </w:r>
                    </w:p>
                  </w:txbxContent>
                </v:textbox>
              </v:shape>
            </w:pict>
          </mc:Fallback>
        </mc:AlternateContent>
      </w:r>
    </w:p>
    <w:p w14:paraId="55532A6A"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5040" behindDoc="0" locked="0" layoutInCell="1" allowOverlap="1" wp14:anchorId="29536D1B" wp14:editId="008D7ECD">
                <wp:simplePos x="0" y="0"/>
                <wp:positionH relativeFrom="column">
                  <wp:posOffset>2992987</wp:posOffset>
                </wp:positionH>
                <wp:positionV relativeFrom="paragraph">
                  <wp:posOffset>78105</wp:posOffset>
                </wp:positionV>
                <wp:extent cx="4641" cy="355987"/>
                <wp:effectExtent l="57150" t="0" r="71755" b="63500"/>
                <wp:wrapNone/>
                <wp:docPr id="44" name="Straight Arrow Connector 44"/>
                <wp:cNvGraphicFramePr/>
                <a:graphic xmlns:a="http://schemas.openxmlformats.org/drawingml/2006/main">
                  <a:graphicData uri="http://schemas.microsoft.com/office/word/2010/wordprocessingShape">
                    <wps:wsp>
                      <wps:cNvCnPr/>
                      <wps:spPr>
                        <a:xfrm flipH="1">
                          <a:off x="0" y="0"/>
                          <a:ext cx="4641" cy="3559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461B0" id="Straight Arrow Connector 44" o:spid="_x0000_s1026" type="#_x0000_t32" style="position:absolute;margin-left:235.65pt;margin-top:6.15pt;width:.35pt;height:28.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" strokecolor="#4472c4 [3204]" strokeweight=".5pt">
                <v:stroke endarrow="block" joinstyle="miter"/>
              </v:shape>
            </w:pict>
          </mc:Fallback>
        </mc:AlternateContent>
      </w:r>
    </w:p>
    <w:p w14:paraId="728EF8B9" w14:textId="7F94D1D8" w:rsidR="009E1378" w:rsidRPr="00285F16" w:rsidRDefault="00E27BF5" w:rsidP="009E1378">
      <w:pPr>
        <w:tabs>
          <w:tab w:val="right" w:pos="9360"/>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6064" behindDoc="0" locked="0" layoutInCell="1" allowOverlap="1" wp14:anchorId="7D11EBC4" wp14:editId="793264C2">
                <wp:simplePos x="0" y="0"/>
                <wp:positionH relativeFrom="column">
                  <wp:posOffset>815340</wp:posOffset>
                </wp:positionH>
                <wp:positionV relativeFrom="paragraph">
                  <wp:posOffset>125095</wp:posOffset>
                </wp:positionV>
                <wp:extent cx="1270" cy="236855"/>
                <wp:effectExtent l="76200" t="0" r="74930" b="48895"/>
                <wp:wrapNone/>
                <wp:docPr id="45" name="Straight Arrow Connector 45"/>
                <wp:cNvGraphicFramePr/>
                <a:graphic xmlns:a="http://schemas.openxmlformats.org/drawingml/2006/main">
                  <a:graphicData uri="http://schemas.microsoft.com/office/word/2010/wordprocessingShape">
                    <wps:wsp>
                      <wps:cNvCnPr/>
                      <wps:spPr>
                        <a:xfrm>
                          <a:off x="0" y="0"/>
                          <a:ext cx="1270" cy="236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8E2C2" id="Straight Arrow Connector 45" o:spid="_x0000_s1026" type="#_x0000_t32" style="position:absolute;margin-left:64.2pt;margin-top:9.85pt;width:.1pt;height:1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" strokecolor="#4472c4 [320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8112" behindDoc="0" locked="0" layoutInCell="1" allowOverlap="1" wp14:anchorId="4F4637B8" wp14:editId="53D45EFE">
                <wp:simplePos x="0" y="0"/>
                <wp:positionH relativeFrom="column">
                  <wp:posOffset>5274310</wp:posOffset>
                </wp:positionH>
                <wp:positionV relativeFrom="paragraph">
                  <wp:posOffset>125095</wp:posOffset>
                </wp:positionV>
                <wp:extent cx="5615" cy="237506"/>
                <wp:effectExtent l="76200" t="0" r="71120" b="48260"/>
                <wp:wrapNone/>
                <wp:docPr id="48" name="Straight Arrow Connector 48"/>
                <wp:cNvGraphicFramePr/>
                <a:graphic xmlns:a="http://schemas.openxmlformats.org/drawingml/2006/main">
                  <a:graphicData uri="http://schemas.microsoft.com/office/word/2010/wordprocessingShape">
                    <wps:wsp>
                      <wps:cNvCnPr/>
                      <wps:spPr>
                        <a:xfrm flipH="1">
                          <a:off x="0" y="0"/>
                          <a:ext cx="5615" cy="23750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1A8F3" id="Straight Arrow Connector 48" o:spid="_x0000_s1026" type="#_x0000_t32" style="position:absolute;margin-left:415.3pt;margin-top:9.85pt;width:.45pt;height:18.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" strokecolor="#4472c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7088" behindDoc="0" locked="0" layoutInCell="1" allowOverlap="1" wp14:anchorId="154D10B7" wp14:editId="0B43386B">
                <wp:simplePos x="0" y="0"/>
                <wp:positionH relativeFrom="column">
                  <wp:posOffset>3003105</wp:posOffset>
                </wp:positionH>
                <wp:positionV relativeFrom="paragraph">
                  <wp:posOffset>152400</wp:posOffset>
                </wp:positionV>
                <wp:extent cx="1478" cy="237366"/>
                <wp:effectExtent l="76200" t="0" r="74930" b="48895"/>
                <wp:wrapNone/>
                <wp:docPr id="47" name="Straight Arrow Connector 47"/>
                <wp:cNvGraphicFramePr/>
                <a:graphic xmlns:a="http://schemas.openxmlformats.org/drawingml/2006/main">
                  <a:graphicData uri="http://schemas.microsoft.com/office/word/2010/wordprocessingShape">
                    <wps:wsp>
                      <wps:cNvCnPr/>
                      <wps:spPr>
                        <a:xfrm>
                          <a:off x="0" y="0"/>
                          <a:ext cx="1478" cy="23736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2EB48D" id="Straight Arrow Connector 47" o:spid="_x0000_s1026" type="#_x0000_t32" style="position:absolute;margin-left:236.45pt;margin-top:12pt;width:.1pt;height:1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" strokecolor="#4472c4" strokeweight=".5pt">
                <v:stroke endarrow="block" joinstyle="miter"/>
              </v:shape>
            </w:pict>
          </mc:Fallback>
        </mc:AlternateContent>
      </w:r>
      <w:r w:rsidR="009E1378" w:rsidRPr="00285F16">
        <w:rPr>
          <w:rFonts w:ascii="Baskerville Old Face" w:hAnsi="Baskerville Old Face" w:cs="Times New Roman"/>
          <w:noProof/>
          <w:sz w:val="24"/>
          <w:szCs w:val="24"/>
        </w:rPr>
        <mc:AlternateContent>
          <mc:Choice Requires="wps">
            <w:drawing>
              <wp:anchor distT="0" distB="0" distL="114300" distR="114300" simplePos="0" relativeHeight="251734016" behindDoc="0" locked="0" layoutInCell="1" allowOverlap="1" wp14:anchorId="04E0DC54" wp14:editId="4171431B">
                <wp:simplePos x="0" y="0"/>
                <wp:positionH relativeFrom="column">
                  <wp:posOffset>819397</wp:posOffset>
                </wp:positionH>
                <wp:positionV relativeFrom="paragraph">
                  <wp:posOffset>125326</wp:posOffset>
                </wp:positionV>
                <wp:extent cx="4452901" cy="0"/>
                <wp:effectExtent l="0" t="0" r="0" b="0"/>
                <wp:wrapNone/>
                <wp:docPr id="43" name="Straight Connector 43"/>
                <wp:cNvGraphicFramePr/>
                <a:graphic xmlns:a="http://schemas.openxmlformats.org/drawingml/2006/main">
                  <a:graphicData uri="http://schemas.microsoft.com/office/word/2010/wordprocessingShape">
                    <wps:wsp>
                      <wps:cNvCnPr/>
                      <wps:spPr>
                        <a:xfrm flipV="1">
                          <a:off x="0" y="0"/>
                          <a:ext cx="4452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96099" id="Straight Connector 43"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9.85pt" to="415.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" strokecolor="#4472c4 [3204]" strokeweight=".5pt">
                <v:stroke joinstyle="miter"/>
              </v:line>
            </w:pict>
          </mc:Fallback>
        </mc:AlternateContent>
      </w:r>
      <w:r w:rsidR="009E1378" w:rsidRPr="00285F16">
        <w:rPr>
          <w:rFonts w:ascii="Baskerville Old Face" w:hAnsi="Baskerville Old Face" w:cs="Times New Roman"/>
          <w:sz w:val="24"/>
          <w:szCs w:val="24"/>
        </w:rPr>
        <w:tab/>
      </w:r>
    </w:p>
    <w:p w14:paraId="71E8D7B3" w14:textId="77777777" w:rsidR="009E1378" w:rsidRPr="00285F16" w:rsidRDefault="009E1378" w:rsidP="009E1378">
      <w:pPr>
        <w:tabs>
          <w:tab w:val="left" w:pos="3248"/>
        </w:tabs>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2208" behindDoc="0" locked="0" layoutInCell="1" allowOverlap="1" wp14:anchorId="31282C51" wp14:editId="6D38DA2B">
                <wp:simplePos x="0" y="0"/>
                <wp:positionH relativeFrom="margin">
                  <wp:posOffset>6055994</wp:posOffset>
                </wp:positionH>
                <wp:positionV relativeFrom="paragraph">
                  <wp:posOffset>212099</wp:posOffset>
                </wp:positionV>
                <wp:extent cx="946479" cy="294640"/>
                <wp:effectExtent l="1905" t="0" r="27305" b="27305"/>
                <wp:wrapNone/>
                <wp:docPr id="56" name="Text Box 56"/>
                <wp:cNvGraphicFramePr/>
                <a:graphic xmlns:a="http://schemas.openxmlformats.org/drawingml/2006/main">
                  <a:graphicData uri="http://schemas.microsoft.com/office/word/2010/wordprocessingShape">
                    <wps:wsp>
                      <wps:cNvSpPr txBox="1"/>
                      <wps:spPr>
                        <a:xfrm rot="16200000">
                          <a:off x="0" y="0"/>
                          <a:ext cx="946479" cy="294640"/>
                        </a:xfrm>
                        <a:prstGeom prst="rect">
                          <a:avLst/>
                        </a:prstGeom>
                        <a:solidFill>
                          <a:sysClr val="window" lastClr="FFFFFF"/>
                        </a:solidFill>
                        <a:ln w="6350">
                          <a:solidFill>
                            <a:prstClr val="black"/>
                          </a:solidFill>
                        </a:ln>
                      </wps:spPr>
                      <wps:txbx>
                        <w:txbxContent>
                          <w:p w14:paraId="1EA92D87"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82C51" id="Text Box 56" o:spid="_x0000_s1049" type="#_x0000_t202" style="position:absolute;margin-left:476.85pt;margin-top:16.7pt;width:74.55pt;height:23.2pt;rotation:-9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" fillcolor="window" strokeweight=".5pt">
                <v:textbox>
                  <w:txbxContent>
                    <w:p w14:paraId="1EA92D87"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Operations</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3536" behindDoc="0" locked="0" layoutInCell="1" allowOverlap="1" wp14:anchorId="39168D0C" wp14:editId="312DCEB7">
                <wp:simplePos x="0" y="0"/>
                <wp:positionH relativeFrom="column">
                  <wp:posOffset>4512623</wp:posOffset>
                </wp:positionH>
                <wp:positionV relativeFrom="paragraph">
                  <wp:posOffset>77065</wp:posOffset>
                </wp:positionV>
                <wp:extent cx="1786255" cy="598689"/>
                <wp:effectExtent l="0" t="0" r="23495" b="11430"/>
                <wp:wrapNone/>
                <wp:docPr id="8" name="Flowchart: Terminator 8"/>
                <wp:cNvGraphicFramePr/>
                <a:graphic xmlns:a="http://schemas.openxmlformats.org/drawingml/2006/main">
                  <a:graphicData uri="http://schemas.microsoft.com/office/word/2010/wordprocessingShape">
                    <wps:wsp>
                      <wps:cNvSpPr/>
                      <wps:spPr>
                        <a:xfrm>
                          <a:off x="0" y="0"/>
                          <a:ext cx="1786255" cy="598689"/>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69BFC537" w14:textId="52B56A63"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Non-Tax Revenue </w:t>
                            </w:r>
                            <w:r w:rsidR="008E782C" w:rsidRPr="00BE097E">
                              <w:rPr>
                                <w:rFonts w:ascii="Times New Roman" w:hAnsi="Times New Roman" w:cs="Times New Roman"/>
                                <w:b/>
                                <w:bCs/>
                                <w:color w:val="FFFFFF" w:themeColor="background1"/>
                              </w:rPr>
                              <w:t xml:space="preserve">Department </w:t>
                            </w:r>
                            <w:r w:rsidRPr="00BE097E">
                              <w:rPr>
                                <w:rFonts w:ascii="Times New Roman" w:hAnsi="Times New Roman" w:cs="Times New Roman"/>
                                <w:b/>
                                <w:bCs/>
                                <w:color w:val="FFFFFF" w:themeColor="background1"/>
                              </w:rPr>
                              <w:t>(NTR</w:t>
                            </w:r>
                            <w:r w:rsidR="008E782C">
                              <w:rPr>
                                <w:rFonts w:ascii="Times New Roman" w:hAnsi="Times New Roman" w:cs="Times New Roman"/>
                                <w:b/>
                                <w:bCs/>
                                <w:color w:val="FFFFFF" w:themeColor="background1"/>
                              </w:rPr>
                              <w:t>D</w:t>
                            </w:r>
                            <w:r w:rsidRPr="00BE097E">
                              <w:rPr>
                                <w:rFonts w:ascii="Times New Roman" w:hAnsi="Times New Roman" w:cs="Times New Roman"/>
                                <w:b/>
                                <w:bC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8D0C" id="Flowchart: Terminator 8" o:spid="_x0000_s1050" type="#_x0000_t116" style="position:absolute;margin-left:355.3pt;margin-top:6.05pt;width:140.65pt;height:4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" fillcolor="#538135 [2409]" strokecolor="#2f528f" strokeweight="1pt">
                <v:textbox>
                  <w:txbxContent>
                    <w:p w14:paraId="69BFC537" w14:textId="52B56A63"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Non-Tax Revenue </w:t>
                      </w:r>
                      <w:r w:rsidR="008E782C" w:rsidRPr="00BE097E">
                        <w:rPr>
                          <w:rFonts w:ascii="Times New Roman" w:hAnsi="Times New Roman" w:cs="Times New Roman"/>
                          <w:b/>
                          <w:bCs/>
                          <w:color w:val="FFFFFF" w:themeColor="background1"/>
                        </w:rPr>
                        <w:t xml:space="preserve">Department </w:t>
                      </w:r>
                      <w:r w:rsidRPr="00BE097E">
                        <w:rPr>
                          <w:rFonts w:ascii="Times New Roman" w:hAnsi="Times New Roman" w:cs="Times New Roman"/>
                          <w:b/>
                          <w:bCs/>
                          <w:color w:val="FFFFFF" w:themeColor="background1"/>
                        </w:rPr>
                        <w:t>(NTR</w:t>
                      </w:r>
                      <w:r w:rsidR="008E782C">
                        <w:rPr>
                          <w:rFonts w:ascii="Times New Roman" w:hAnsi="Times New Roman" w:cs="Times New Roman"/>
                          <w:b/>
                          <w:bCs/>
                          <w:color w:val="FFFFFF" w:themeColor="background1"/>
                        </w:rPr>
                        <w:t>D</w:t>
                      </w:r>
                      <w:r w:rsidRPr="00BE097E">
                        <w:rPr>
                          <w:rFonts w:ascii="Times New Roman" w:hAnsi="Times New Roman" w:cs="Times New Roman"/>
                          <w:b/>
                          <w:bCs/>
                          <w:color w:val="FFFFFF" w:themeColor="background1"/>
                        </w:rPr>
                        <w:t>)</w:t>
                      </w:r>
                    </w:p>
                  </w:txbxContent>
                </v:textbox>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0464" behindDoc="0" locked="0" layoutInCell="1" allowOverlap="1" wp14:anchorId="456015A7" wp14:editId="122B72F9">
                <wp:simplePos x="0" y="0"/>
                <wp:positionH relativeFrom="margin">
                  <wp:posOffset>0</wp:posOffset>
                </wp:positionH>
                <wp:positionV relativeFrom="paragraph">
                  <wp:posOffset>75565</wp:posOffset>
                </wp:positionV>
                <wp:extent cx="1955800" cy="636905"/>
                <wp:effectExtent l="0" t="0" r="25400" b="10795"/>
                <wp:wrapNone/>
                <wp:docPr id="5" name="Flowchart: Terminator 5"/>
                <wp:cNvGraphicFramePr/>
                <a:graphic xmlns:a="http://schemas.openxmlformats.org/drawingml/2006/main">
                  <a:graphicData uri="http://schemas.microsoft.com/office/word/2010/wordprocessingShape">
                    <wps:wsp>
                      <wps:cNvSpPr/>
                      <wps:spPr>
                        <a:xfrm>
                          <a:off x="0" y="0"/>
                          <a:ext cx="1955800" cy="636905"/>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2CCED49B"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Domestic Tax Department (DTD)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15A7" id="Flowchart: Terminator 5" o:spid="_x0000_s1051" type="#_x0000_t116" style="position:absolute;margin-left:0;margin-top:5.95pt;width:154pt;height:50.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" fillcolor="#538135 [2409]" strokecolor="#2f528f" strokeweight="1pt">
                <v:textbox>
                  <w:txbxContent>
                    <w:p w14:paraId="2CCED49B"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Domestic Tax Department (DTD)</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2512" behindDoc="0" locked="0" layoutInCell="1" allowOverlap="1" wp14:anchorId="27E682FD" wp14:editId="513BF728">
                <wp:simplePos x="0" y="0"/>
                <wp:positionH relativeFrom="column">
                  <wp:posOffset>2189480</wp:posOffset>
                </wp:positionH>
                <wp:positionV relativeFrom="paragraph">
                  <wp:posOffset>75565</wp:posOffset>
                </wp:positionV>
                <wp:extent cx="1945640" cy="605790"/>
                <wp:effectExtent l="0" t="0" r="16510" b="22860"/>
                <wp:wrapNone/>
                <wp:docPr id="7" name="Flowchart: Terminator 7"/>
                <wp:cNvGraphicFramePr/>
                <a:graphic xmlns:a="http://schemas.openxmlformats.org/drawingml/2006/main">
                  <a:graphicData uri="http://schemas.microsoft.com/office/word/2010/wordprocessingShape">
                    <wps:wsp>
                      <wps:cNvSpPr/>
                      <wps:spPr>
                        <a:xfrm>
                          <a:off x="0" y="0"/>
                          <a:ext cx="1945640" cy="605790"/>
                        </a:xfrm>
                        <a:prstGeom prst="flowChartTerminator">
                          <a:avLst/>
                        </a:prstGeom>
                        <a:solidFill>
                          <a:schemeClr val="accent6">
                            <a:lumMod val="75000"/>
                          </a:schemeClr>
                        </a:solidFill>
                        <a:ln w="12700" cap="flat" cmpd="sng" algn="ctr">
                          <a:solidFill>
                            <a:srgbClr val="4472C4">
                              <a:shade val="50000"/>
                            </a:srgbClr>
                          </a:solidFill>
                          <a:prstDash val="solid"/>
                          <a:miter lim="800000"/>
                        </a:ln>
                        <a:effectLst/>
                      </wps:spPr>
                      <wps:txbx>
                        <w:txbxContent>
                          <w:p w14:paraId="5CC99599"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Customs Services Department (CSD)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682FD" id="Flowchart: Terminator 7" o:spid="_x0000_s1052" type="#_x0000_t116" style="position:absolute;margin-left:172.4pt;margin-top:5.95pt;width:153.2pt;height:4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" fillcolor="#538135 [2409]" strokecolor="#2f528f" strokeweight="1pt">
                <v:textbox>
                  <w:txbxContent>
                    <w:p w14:paraId="5CC99599" w14:textId="77777777" w:rsidR="009E1378" w:rsidRPr="00BE097E" w:rsidRDefault="009E1378" w:rsidP="009E1378">
                      <w:pPr>
                        <w:jc w:val="center"/>
                        <w:rPr>
                          <w:rFonts w:ascii="Times New Roman" w:hAnsi="Times New Roman" w:cs="Times New Roman"/>
                          <w:b/>
                          <w:bCs/>
                          <w:color w:val="FFFFFF" w:themeColor="background1"/>
                        </w:rPr>
                      </w:pPr>
                      <w:r w:rsidRPr="00BE097E">
                        <w:rPr>
                          <w:rFonts w:ascii="Times New Roman" w:hAnsi="Times New Roman" w:cs="Times New Roman"/>
                          <w:b/>
                          <w:bCs/>
                          <w:color w:val="FFFFFF" w:themeColor="background1"/>
                        </w:rPr>
                        <w:t xml:space="preserve">Customs Services Department (CSD) </w:t>
                      </w:r>
                    </w:p>
                  </w:txbxContent>
                </v:textbox>
              </v:shape>
            </w:pict>
          </mc:Fallback>
        </mc:AlternateContent>
      </w:r>
      <w:r w:rsidRPr="00285F16">
        <w:rPr>
          <w:rFonts w:ascii="Baskerville Old Face" w:hAnsi="Baskerville Old Face" w:cs="Times New Roman"/>
          <w:sz w:val="24"/>
          <w:szCs w:val="24"/>
        </w:rPr>
        <w:tab/>
      </w:r>
    </w:p>
    <w:p w14:paraId="0CA7F008" w14:textId="77777777" w:rsidR="009E1378" w:rsidRPr="00285F16" w:rsidRDefault="009E1378" w:rsidP="009E1378">
      <w:pPr>
        <w:rPr>
          <w:rFonts w:ascii="Baskerville Old Face" w:hAnsi="Baskerville Old Face" w:cs="Times New Roman"/>
          <w:sz w:val="24"/>
          <w:szCs w:val="24"/>
        </w:rPr>
      </w:pPr>
    </w:p>
    <w:p w14:paraId="21B01C14" w14:textId="77777777" w:rsidR="009E1378" w:rsidRPr="00285F16" w:rsidRDefault="009E1378" w:rsidP="009E1378">
      <w:pPr>
        <w:rPr>
          <w:rFonts w:ascii="Baskerville Old Face" w:hAnsi="Baskerville Old Face" w:cs="Times New Roman"/>
          <w:sz w:val="24"/>
          <w:szCs w:val="24"/>
        </w:rPr>
      </w:pPr>
    </w:p>
    <w:p w14:paraId="7C31F571"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39136" behindDoc="0" locked="0" layoutInCell="1" allowOverlap="1" wp14:anchorId="04858BCE" wp14:editId="12512240">
                <wp:simplePos x="0" y="0"/>
                <wp:positionH relativeFrom="column">
                  <wp:posOffset>-368135</wp:posOffset>
                </wp:positionH>
                <wp:positionV relativeFrom="paragraph">
                  <wp:posOffset>182369</wp:posOffset>
                </wp:positionV>
                <wp:extent cx="6804561" cy="2268187"/>
                <wp:effectExtent l="0" t="0" r="15875" b="18415"/>
                <wp:wrapNone/>
                <wp:docPr id="49" name="Rectangle: Rounded Corners 49"/>
                <wp:cNvGraphicFramePr/>
                <a:graphic xmlns:a="http://schemas.openxmlformats.org/drawingml/2006/main">
                  <a:graphicData uri="http://schemas.microsoft.com/office/word/2010/wordprocessingShape">
                    <wps:wsp>
                      <wps:cNvSpPr/>
                      <wps:spPr>
                        <a:xfrm>
                          <a:off x="0" y="0"/>
                          <a:ext cx="6804561" cy="226818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C0B19" id="Rectangle: Rounded Corners 49" o:spid="_x0000_s1026" style="position:absolute;margin-left:-29pt;margin-top:14.35pt;width:535.8pt;height:178.6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" filled="f" strokecolor="#1f3763 [1604]" strokeweight="1pt">
                <v:stroke joinstyle="miter"/>
              </v:roundrect>
            </w:pict>
          </mc:Fallback>
        </mc:AlternateContent>
      </w:r>
    </w:p>
    <w:p w14:paraId="23A1E983"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0704" behindDoc="0" locked="0" layoutInCell="1" allowOverlap="1" wp14:anchorId="4D9B9E82" wp14:editId="661CAFF9">
                <wp:simplePos x="0" y="0"/>
                <wp:positionH relativeFrom="margin">
                  <wp:posOffset>2909455</wp:posOffset>
                </wp:positionH>
                <wp:positionV relativeFrom="paragraph">
                  <wp:posOffset>86624</wp:posOffset>
                </wp:positionV>
                <wp:extent cx="1626919" cy="594995"/>
                <wp:effectExtent l="0" t="0" r="11430" b="14605"/>
                <wp:wrapNone/>
                <wp:docPr id="15" name="Flowchart: Terminator 15"/>
                <wp:cNvGraphicFramePr/>
                <a:graphic xmlns:a="http://schemas.openxmlformats.org/drawingml/2006/main">
                  <a:graphicData uri="http://schemas.microsoft.com/office/word/2010/wordprocessingShape">
                    <wps:wsp>
                      <wps:cNvSpPr/>
                      <wps:spPr>
                        <a:xfrm>
                          <a:off x="0" y="0"/>
                          <a:ext cx="1626919"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2E11B6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ICT</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B9E82" id="Flowchart: Terminator 15" o:spid="_x0000_s1053" type="#_x0000_t116" style="position:absolute;margin-left:229.1pt;margin-top:6.8pt;width:128.1pt;height:46.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" fillcolor="#0d0d0d [3069]" strokecolor="#2f528f" strokeweight="1pt">
                <v:textbox>
                  <w:txbxContent>
                    <w:p w14:paraId="22E11B6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ICT</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3776" behindDoc="0" locked="0" layoutInCell="1" allowOverlap="1" wp14:anchorId="7597DFFC" wp14:editId="5E78C267">
                <wp:simplePos x="0" y="0"/>
                <wp:positionH relativeFrom="margin">
                  <wp:posOffset>4619501</wp:posOffset>
                </wp:positionH>
                <wp:positionV relativeFrom="paragraph">
                  <wp:posOffset>86624</wp:posOffset>
                </wp:positionV>
                <wp:extent cx="1679377" cy="594995"/>
                <wp:effectExtent l="0" t="0" r="16510" b="14605"/>
                <wp:wrapNone/>
                <wp:docPr id="18" name="Flowchart: Terminator 18"/>
                <wp:cNvGraphicFramePr/>
                <a:graphic xmlns:a="http://schemas.openxmlformats.org/drawingml/2006/main">
                  <a:graphicData uri="http://schemas.microsoft.com/office/word/2010/wordprocessingShape">
                    <wps:wsp>
                      <wps:cNvSpPr/>
                      <wps:spPr>
                        <a:xfrm>
                          <a:off x="0" y="0"/>
                          <a:ext cx="1679377"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44246D15"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Monitoring &amp; Research</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DFFC" id="Flowchart: Terminator 18" o:spid="_x0000_s1054" type="#_x0000_t116" style="position:absolute;margin-left:363.75pt;margin-top:6.8pt;width:132.25pt;height:46.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" fillcolor="#0d0d0d [3069]" strokecolor="#2f528f" strokeweight="1pt">
                <v:textbox>
                  <w:txbxContent>
                    <w:p w14:paraId="44246D15"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Monitoring &amp; Research</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9680" behindDoc="0" locked="0" layoutInCell="1" allowOverlap="1" wp14:anchorId="59C6CCFF" wp14:editId="3AB33BD6">
                <wp:simplePos x="0" y="0"/>
                <wp:positionH relativeFrom="margin">
                  <wp:posOffset>1332200</wp:posOffset>
                </wp:positionH>
                <wp:positionV relativeFrom="paragraph">
                  <wp:posOffset>97480</wp:posOffset>
                </wp:positionV>
                <wp:extent cx="1509824" cy="594995"/>
                <wp:effectExtent l="0" t="0" r="14605" b="14605"/>
                <wp:wrapNone/>
                <wp:docPr id="14" name="Flowchart: Terminator 14"/>
                <wp:cNvGraphicFramePr/>
                <a:graphic xmlns:a="http://schemas.openxmlformats.org/drawingml/2006/main">
                  <a:graphicData uri="http://schemas.microsoft.com/office/word/2010/wordprocessingShape">
                    <wps:wsp>
                      <wps:cNvSpPr/>
                      <wps:spPr>
                        <a:xfrm>
                          <a:off x="0" y="0"/>
                          <a:ext cx="1509824"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09B2700F"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Legal &amp; Corporate Services</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6CCFF" id="Flowchart: Terminator 14" o:spid="_x0000_s1055" type="#_x0000_t116" style="position:absolute;margin-left:104.9pt;margin-top:7.7pt;width:118.9pt;height:46.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" fillcolor="#0d0d0d [3069]" strokecolor="#2f528f" strokeweight="1pt">
                <v:textbox>
                  <w:txbxContent>
                    <w:p w14:paraId="09B2700F"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Legal &amp; Corporate Services</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18656" behindDoc="0" locked="0" layoutInCell="1" allowOverlap="1" wp14:anchorId="090B5B7C" wp14:editId="13C15640">
                <wp:simplePos x="0" y="0"/>
                <wp:positionH relativeFrom="margin">
                  <wp:posOffset>-265814</wp:posOffset>
                </wp:positionH>
                <wp:positionV relativeFrom="paragraph">
                  <wp:posOffset>93729</wp:posOffset>
                </wp:positionV>
                <wp:extent cx="1509824" cy="594995"/>
                <wp:effectExtent l="0" t="0" r="14605" b="14605"/>
                <wp:wrapNone/>
                <wp:docPr id="13" name="Flowchart: Terminator 13"/>
                <wp:cNvGraphicFramePr/>
                <a:graphic xmlns:a="http://schemas.openxmlformats.org/drawingml/2006/main">
                  <a:graphicData uri="http://schemas.microsoft.com/office/word/2010/wordprocessingShape">
                    <wps:wsp>
                      <wps:cNvSpPr/>
                      <wps:spPr>
                        <a:xfrm>
                          <a:off x="0" y="0"/>
                          <a:ext cx="1509824"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1376573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Finance &amp; Budget</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5B7C" id="Flowchart: Terminator 13" o:spid="_x0000_s1056" type="#_x0000_t116" style="position:absolute;margin-left:-20.95pt;margin-top:7.4pt;width:118.9pt;height:46.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" fillcolor="#0d0d0d [3069]" strokecolor="#2f528f" strokeweight="1pt">
                <v:textbox>
                  <w:txbxContent>
                    <w:p w14:paraId="13765733"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Finance &amp; Budget</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15880B01" w14:textId="77777777" w:rsidR="009E1378" w:rsidRPr="00285F16" w:rsidRDefault="009E1378" w:rsidP="009E1378">
      <w:pPr>
        <w:tabs>
          <w:tab w:val="left" w:pos="5961"/>
        </w:tabs>
        <w:rPr>
          <w:rFonts w:ascii="Baskerville Old Face" w:hAnsi="Baskerville Old Face" w:cs="Times New Roman"/>
          <w:sz w:val="24"/>
          <w:szCs w:val="24"/>
        </w:rPr>
      </w:pPr>
      <w:r w:rsidRPr="00285F16">
        <w:rPr>
          <w:rFonts w:ascii="Baskerville Old Face" w:hAnsi="Baskerville Old Face" w:cs="Times New Roman"/>
          <w:sz w:val="24"/>
          <w:szCs w:val="24"/>
        </w:rPr>
        <w:tab/>
      </w:r>
    </w:p>
    <w:p w14:paraId="1F1AD29F" w14:textId="77777777" w:rsidR="009E1378" w:rsidRPr="00285F16" w:rsidRDefault="009E1378" w:rsidP="009E1378">
      <w:pPr>
        <w:tabs>
          <w:tab w:val="left" w:pos="7535"/>
        </w:tabs>
        <w:rPr>
          <w:rFonts w:ascii="Baskerville Old Face" w:hAnsi="Baskerville Old Face" w:cs="Times New Roman"/>
          <w:sz w:val="24"/>
          <w:szCs w:val="24"/>
        </w:rPr>
      </w:pPr>
      <w:r w:rsidRPr="00285F16">
        <w:rPr>
          <w:rFonts w:ascii="Baskerville Old Face" w:hAnsi="Baskerville Old Face" w:cs="Times New Roman"/>
          <w:sz w:val="24"/>
          <w:szCs w:val="24"/>
        </w:rPr>
        <w:tab/>
      </w:r>
    </w:p>
    <w:p w14:paraId="630EEC82"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43232" behindDoc="0" locked="0" layoutInCell="1" allowOverlap="1" wp14:anchorId="7B16A38C" wp14:editId="2E8D2AF2">
                <wp:simplePos x="0" y="0"/>
                <wp:positionH relativeFrom="margin">
                  <wp:posOffset>6021021</wp:posOffset>
                </wp:positionH>
                <wp:positionV relativeFrom="paragraph">
                  <wp:posOffset>114737</wp:posOffset>
                </wp:positionV>
                <wp:extent cx="1145754" cy="231321"/>
                <wp:effectExtent l="0" t="0" r="16510" b="16510"/>
                <wp:wrapNone/>
                <wp:docPr id="57" name="Text Box 57"/>
                <wp:cNvGraphicFramePr/>
                <a:graphic xmlns:a="http://schemas.openxmlformats.org/drawingml/2006/main">
                  <a:graphicData uri="http://schemas.microsoft.com/office/word/2010/wordprocessingShape">
                    <wps:wsp>
                      <wps:cNvSpPr txBox="1"/>
                      <wps:spPr>
                        <a:xfrm rot="16200000">
                          <a:off x="0" y="0"/>
                          <a:ext cx="1145754" cy="231321"/>
                        </a:xfrm>
                        <a:prstGeom prst="rect">
                          <a:avLst/>
                        </a:prstGeom>
                        <a:solidFill>
                          <a:sysClr val="window" lastClr="FFFFFF"/>
                        </a:solidFill>
                        <a:ln w="6350">
                          <a:solidFill>
                            <a:prstClr val="black"/>
                          </a:solidFill>
                        </a:ln>
                      </wps:spPr>
                      <wps:txbx>
                        <w:txbxContent>
                          <w:p w14:paraId="08F918C2"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6A38C" id="Text Box 57" o:spid="_x0000_s1057" type="#_x0000_t202" style="position:absolute;margin-left:474.1pt;margin-top:9.05pt;width:90.2pt;height:18.2pt;rotation:-90;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" fillcolor="window" strokeweight=".5pt">
                <v:textbox>
                  <w:txbxContent>
                    <w:p w14:paraId="08F918C2" w14:textId="77777777" w:rsidR="009E1378" w:rsidRPr="00217127" w:rsidRDefault="009E1378" w:rsidP="009E1378">
                      <w:pPr>
                        <w:jc w:val="center"/>
                        <w:rPr>
                          <w:rFonts w:ascii="Times New Roman" w:hAnsi="Times New Roman" w:cs="Times New Roman"/>
                          <w:b/>
                          <w:bCs/>
                          <w:i/>
                          <w:iCs/>
                          <w:sz w:val="20"/>
                          <w:szCs w:val="20"/>
                        </w:rPr>
                      </w:pPr>
                      <w:r w:rsidRPr="00217127">
                        <w:rPr>
                          <w:rFonts w:ascii="Times New Roman" w:hAnsi="Times New Roman" w:cs="Times New Roman"/>
                          <w:b/>
                          <w:bCs/>
                          <w:i/>
                          <w:iCs/>
                          <w:sz w:val="20"/>
                          <w:szCs w:val="20"/>
                        </w:rPr>
                        <w:t>Support</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6848" behindDoc="0" locked="0" layoutInCell="1" allowOverlap="1" wp14:anchorId="78B54DC4" wp14:editId="5E755FD2">
                <wp:simplePos x="0" y="0"/>
                <wp:positionH relativeFrom="margin">
                  <wp:posOffset>2158409</wp:posOffset>
                </wp:positionH>
                <wp:positionV relativeFrom="paragraph">
                  <wp:posOffset>12539</wp:posOffset>
                </wp:positionV>
                <wp:extent cx="1509824" cy="425302"/>
                <wp:effectExtent l="0" t="0" r="14605" b="13335"/>
                <wp:wrapNone/>
                <wp:docPr id="21" name="Flowchart: Terminator 21"/>
                <wp:cNvGraphicFramePr/>
                <a:graphic xmlns:a="http://schemas.openxmlformats.org/drawingml/2006/main">
                  <a:graphicData uri="http://schemas.microsoft.com/office/word/2010/wordprocessingShape">
                    <wps:wsp>
                      <wps:cNvSpPr/>
                      <wps:spPr>
                        <a:xfrm>
                          <a:off x="0" y="0"/>
                          <a:ext cx="1509824" cy="425302"/>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08017EA4"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4DC4" id="Flowchart: Terminator 21" o:spid="_x0000_s1058" type="#_x0000_t116" style="position:absolute;margin-left:169.95pt;margin-top:1pt;width:118.9pt;height:3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" fillcolor="#0d0d0d [3069]" strokecolor="#2f528f" strokeweight="1pt">
                <v:textbox>
                  <w:txbxContent>
                    <w:p w14:paraId="08017EA4"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Welfare</w:t>
                      </w:r>
                    </w:p>
                  </w:txbxContent>
                </v:textbox>
                <w10:wrap anchorx="margin"/>
              </v:shape>
            </w:pict>
          </mc:Fallback>
        </mc:AlternateContent>
      </w:r>
    </w:p>
    <w:p w14:paraId="4E9433C2"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1728" behindDoc="0" locked="0" layoutInCell="1" allowOverlap="1" wp14:anchorId="57E9F2CC" wp14:editId="45147172">
                <wp:simplePos x="0" y="0"/>
                <wp:positionH relativeFrom="margin">
                  <wp:posOffset>-180886</wp:posOffset>
                </wp:positionH>
                <wp:positionV relativeFrom="paragraph">
                  <wp:posOffset>298436</wp:posOffset>
                </wp:positionV>
                <wp:extent cx="1509395" cy="594995"/>
                <wp:effectExtent l="0" t="0" r="14605" b="14605"/>
                <wp:wrapNone/>
                <wp:docPr id="16" name="Flowchart: Terminator 16"/>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67FC053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Modernisation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F2CC" id="Flowchart: Terminator 16" o:spid="_x0000_s1059" type="#_x0000_t116" style="position:absolute;margin-left:-14.25pt;margin-top:23.5pt;width:118.85pt;height:46.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" fillcolor="#0d0d0d [3069]" strokecolor="#2f528f" strokeweight="1pt">
                <v:textbox>
                  <w:txbxContent>
                    <w:p w14:paraId="67FC053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Modernisation</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2752" behindDoc="0" locked="0" layoutInCell="1" allowOverlap="1" wp14:anchorId="3C510D7D" wp14:editId="0C7F3D8B">
                <wp:simplePos x="0" y="0"/>
                <wp:positionH relativeFrom="margin">
                  <wp:posOffset>1403350</wp:posOffset>
                </wp:positionH>
                <wp:positionV relativeFrom="paragraph">
                  <wp:posOffset>256776</wp:posOffset>
                </wp:positionV>
                <wp:extent cx="1509395" cy="594995"/>
                <wp:effectExtent l="0" t="0" r="14605" b="14605"/>
                <wp:wrapNone/>
                <wp:docPr id="17" name="Flowchart: Terminator 17"/>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3385CBB"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Human Resource</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0D7D" id="Flowchart: Terminator 17" o:spid="_x0000_s1060" type="#_x0000_t116" style="position:absolute;margin-left:110.5pt;margin-top:20.2pt;width:118.85pt;height:46.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" fillcolor="#0d0d0d [3069]" strokecolor="#2f528f" strokeweight="1pt">
                <v:textbox>
                  <w:txbxContent>
                    <w:p w14:paraId="23385CBB"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Human Resource</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26926EF9" w14:textId="77777777" w:rsidR="009E1378" w:rsidRPr="00285F16" w:rsidRDefault="009E1378" w:rsidP="009E1378">
      <w:pPr>
        <w:rPr>
          <w:rFonts w:ascii="Baskerville Old Face" w:hAnsi="Baskerville Old Face" w:cs="Times New Roman"/>
          <w:sz w:val="24"/>
          <w:szCs w:val="24"/>
        </w:rPr>
      </w:pPr>
      <w:r w:rsidRPr="00285F16">
        <w:rPr>
          <w:rFonts w:ascii="Baskerville Old Face" w:hAnsi="Baskerville Old Face" w:cs="Times New Roman"/>
          <w:noProof/>
          <w:sz w:val="24"/>
          <w:szCs w:val="24"/>
        </w:rPr>
        <mc:AlternateContent>
          <mc:Choice Requires="wps">
            <w:drawing>
              <wp:anchor distT="0" distB="0" distL="114300" distR="114300" simplePos="0" relativeHeight="251725824" behindDoc="0" locked="0" layoutInCell="1" allowOverlap="1" wp14:anchorId="0868BBC4" wp14:editId="34F7FF82">
                <wp:simplePos x="0" y="0"/>
                <wp:positionH relativeFrom="margin">
                  <wp:posOffset>4592793</wp:posOffset>
                </wp:positionH>
                <wp:positionV relativeFrom="paragraph">
                  <wp:posOffset>14310</wp:posOffset>
                </wp:positionV>
                <wp:extent cx="1668780" cy="594995"/>
                <wp:effectExtent l="0" t="0" r="26670" b="14605"/>
                <wp:wrapNone/>
                <wp:docPr id="20" name="Flowchart: Terminator 20"/>
                <wp:cNvGraphicFramePr/>
                <a:graphic xmlns:a="http://schemas.openxmlformats.org/drawingml/2006/main">
                  <a:graphicData uri="http://schemas.microsoft.com/office/word/2010/wordprocessingShape">
                    <wps:wsp>
                      <wps:cNvSpPr/>
                      <wps:spPr>
                        <a:xfrm>
                          <a:off x="0" y="0"/>
                          <a:ext cx="1668780"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6B5C00E2"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Revenue Intelligence &amp; Investigations</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BBC4" id="Flowchart: Terminator 20" o:spid="_x0000_s1061" type="#_x0000_t116" style="position:absolute;margin-left:361.65pt;margin-top:1.15pt;width:131.4pt;height:46.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" fillcolor="#0d0d0d [3069]" strokecolor="#2f528f" strokeweight="1pt">
                <v:textbox>
                  <w:txbxContent>
                    <w:p w14:paraId="6B5C00E2"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Revenue Intelligence &amp; Investigations</w:t>
                      </w:r>
                      <w:r w:rsidRPr="00BE097E">
                        <w:rPr>
                          <w:rFonts w:ascii="Times New Roman" w:hAnsi="Times New Roman" w:cs="Times New Roman"/>
                          <w:b/>
                          <w:bCs/>
                          <w:color w:val="FFFFFF" w:themeColor="background1"/>
                        </w:rPr>
                        <w:t xml:space="preserve"> </w:t>
                      </w:r>
                    </w:p>
                  </w:txbxContent>
                </v:textbox>
                <w10:wrap anchorx="margin"/>
              </v:shape>
            </w:pict>
          </mc:Fallback>
        </mc:AlternateContent>
      </w:r>
      <w:r w:rsidRPr="00285F16">
        <w:rPr>
          <w:rFonts w:ascii="Baskerville Old Face" w:hAnsi="Baskerville Old Face" w:cs="Times New Roman"/>
          <w:noProof/>
          <w:sz w:val="24"/>
          <w:szCs w:val="24"/>
        </w:rPr>
        <mc:AlternateContent>
          <mc:Choice Requires="wps">
            <w:drawing>
              <wp:anchor distT="0" distB="0" distL="114300" distR="114300" simplePos="0" relativeHeight="251724800" behindDoc="0" locked="0" layoutInCell="1" allowOverlap="1" wp14:anchorId="2911E5A3" wp14:editId="2EA355AA">
                <wp:simplePos x="0" y="0"/>
                <wp:positionH relativeFrom="margin">
                  <wp:posOffset>2997835</wp:posOffset>
                </wp:positionH>
                <wp:positionV relativeFrom="paragraph">
                  <wp:posOffset>13335</wp:posOffset>
                </wp:positionV>
                <wp:extent cx="1509395" cy="594995"/>
                <wp:effectExtent l="0" t="0" r="14605" b="14605"/>
                <wp:wrapNone/>
                <wp:docPr id="19" name="Flowchart: Terminator 19"/>
                <wp:cNvGraphicFramePr/>
                <a:graphic xmlns:a="http://schemas.openxmlformats.org/drawingml/2006/main">
                  <a:graphicData uri="http://schemas.microsoft.com/office/word/2010/wordprocessingShape">
                    <wps:wsp>
                      <wps:cNvSpPr/>
                      <wps:spPr>
                        <a:xfrm>
                          <a:off x="0" y="0"/>
                          <a:ext cx="1509395" cy="594995"/>
                        </a:xfrm>
                        <a:prstGeom prst="flowChartTerminator">
                          <a:avLst/>
                        </a:prstGeom>
                        <a:solidFill>
                          <a:schemeClr val="tx1">
                            <a:lumMod val="95000"/>
                            <a:lumOff val="5000"/>
                          </a:schemeClr>
                        </a:solidFill>
                        <a:ln w="12700" cap="flat" cmpd="sng" algn="ctr">
                          <a:solidFill>
                            <a:srgbClr val="4472C4">
                              <a:shade val="50000"/>
                            </a:srgbClr>
                          </a:solidFill>
                          <a:prstDash val="solid"/>
                          <a:miter lim="800000"/>
                        </a:ln>
                        <a:effectLst/>
                      </wps:spPr>
                      <wps:txbx>
                        <w:txbxContent>
                          <w:p w14:paraId="259FFB7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Admin</w:t>
                            </w:r>
                            <w:r w:rsidRPr="00BE097E">
                              <w:rPr>
                                <w:rFonts w:ascii="Times New Roman" w:hAnsi="Times New Roman" w:cs="Times New Roman"/>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E5A3" id="Flowchart: Terminator 19" o:spid="_x0000_s1062" type="#_x0000_t116" style="position:absolute;margin-left:236.05pt;margin-top:1.05pt;width:118.85pt;height:46.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" fillcolor="#0d0d0d [3069]" strokecolor="#2f528f" strokeweight="1pt">
                <v:textbox>
                  <w:txbxContent>
                    <w:p w14:paraId="259FFB7C" w14:textId="77777777" w:rsidR="009E1378" w:rsidRPr="00BE097E" w:rsidRDefault="009E1378" w:rsidP="009E1378">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Admin</w:t>
                      </w:r>
                      <w:r w:rsidRPr="00BE097E">
                        <w:rPr>
                          <w:rFonts w:ascii="Times New Roman" w:hAnsi="Times New Roman" w:cs="Times New Roman"/>
                          <w:b/>
                          <w:bCs/>
                          <w:color w:val="FFFFFF" w:themeColor="background1"/>
                        </w:rPr>
                        <w:t xml:space="preserve"> </w:t>
                      </w:r>
                    </w:p>
                  </w:txbxContent>
                </v:textbox>
                <w10:wrap anchorx="margin"/>
              </v:shape>
            </w:pict>
          </mc:Fallback>
        </mc:AlternateContent>
      </w:r>
    </w:p>
    <w:p w14:paraId="5AB80399" w14:textId="77777777" w:rsidR="009E1378" w:rsidRPr="00285F16" w:rsidRDefault="009E1378" w:rsidP="009E1378">
      <w:pPr>
        <w:rPr>
          <w:rFonts w:ascii="Baskerville Old Face" w:hAnsi="Baskerville Old Face" w:cs="Times New Roman"/>
          <w:sz w:val="24"/>
          <w:szCs w:val="24"/>
        </w:rPr>
      </w:pPr>
    </w:p>
    <w:p w14:paraId="606EE6D0" w14:textId="77777777" w:rsidR="009E1378" w:rsidRPr="00285F16" w:rsidRDefault="009E1378" w:rsidP="009E1378">
      <w:pPr>
        <w:rPr>
          <w:rFonts w:ascii="Baskerville Old Face" w:hAnsi="Baskerville Old Face" w:cs="Times New Roman"/>
          <w:sz w:val="24"/>
          <w:szCs w:val="24"/>
        </w:rPr>
      </w:pPr>
    </w:p>
    <w:bookmarkEnd w:id="8"/>
    <w:p w14:paraId="0368B94E" w14:textId="77777777" w:rsidR="009E1378" w:rsidRPr="00285F16" w:rsidRDefault="009E1378" w:rsidP="000E4D6C">
      <w:pPr>
        <w:rPr>
          <w:rFonts w:ascii="Baskerville Old Face" w:hAnsi="Baskerville Old Face" w:cs="Times New Roman"/>
          <w:sz w:val="24"/>
          <w:szCs w:val="24"/>
        </w:rPr>
      </w:pPr>
    </w:p>
    <w:p w14:paraId="4016DFD2" w14:textId="545A73C3" w:rsidR="008D2DA5" w:rsidRPr="00285F16" w:rsidRDefault="000B2100" w:rsidP="000B2100">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As depicted in </w:t>
      </w:r>
      <w:r w:rsidRPr="0089214A">
        <w:rPr>
          <w:rFonts w:ascii="Baskerville Old Face" w:hAnsi="Baskerville Old Face" w:cs="Times New Roman"/>
          <w:sz w:val="24"/>
          <w:szCs w:val="24"/>
        </w:rPr>
        <w:t xml:space="preserve">Figure </w:t>
      </w:r>
      <w:r w:rsidR="0089214A">
        <w:rPr>
          <w:rFonts w:ascii="Baskerville Old Face" w:hAnsi="Baskerville Old Face" w:cs="Times New Roman"/>
          <w:sz w:val="24"/>
          <w:szCs w:val="24"/>
        </w:rPr>
        <w:t>3</w:t>
      </w:r>
      <w:r w:rsidRPr="00285F16">
        <w:rPr>
          <w:rFonts w:ascii="Baskerville Old Face" w:hAnsi="Baskerville Old Face" w:cs="Times New Roman"/>
          <w:sz w:val="24"/>
          <w:szCs w:val="24"/>
        </w:rPr>
        <w:t xml:space="preserve">, </w:t>
      </w:r>
      <w:r w:rsidR="0083346B" w:rsidRPr="00285F16">
        <w:rPr>
          <w:rFonts w:ascii="Baskerville Old Face" w:hAnsi="Baskerville Old Face" w:cs="Times New Roman"/>
          <w:sz w:val="24"/>
          <w:szCs w:val="24"/>
        </w:rPr>
        <w:t>there is an</w:t>
      </w:r>
      <w:r w:rsidRPr="00285F16">
        <w:rPr>
          <w:rFonts w:ascii="Baskerville Old Face" w:hAnsi="Baskerville Old Face" w:cs="Times New Roman"/>
          <w:sz w:val="24"/>
          <w:szCs w:val="24"/>
        </w:rPr>
        <w:t xml:space="preserve"> Office of the Commissioner-General </w:t>
      </w:r>
      <w:r w:rsidR="0083346B" w:rsidRPr="00285F16">
        <w:rPr>
          <w:rFonts w:ascii="Baskerville Old Face" w:hAnsi="Baskerville Old Face" w:cs="Times New Roman"/>
          <w:sz w:val="24"/>
          <w:szCs w:val="24"/>
        </w:rPr>
        <w:t xml:space="preserve">(that </w:t>
      </w:r>
      <w:r w:rsidRPr="00285F16">
        <w:rPr>
          <w:rFonts w:ascii="Baskerville Old Face" w:hAnsi="Baskerville Old Face" w:cs="Times New Roman"/>
          <w:sz w:val="24"/>
          <w:szCs w:val="24"/>
        </w:rPr>
        <w:t>comprises three units</w:t>
      </w:r>
      <w:r w:rsidR="0083346B" w:rsidRPr="00285F16">
        <w:rPr>
          <w:rFonts w:ascii="Baskerville Old Face" w:hAnsi="Baskerville Old Face" w:cs="Times New Roman"/>
          <w:sz w:val="24"/>
          <w:szCs w:val="24"/>
        </w:rPr>
        <w:t>)</w:t>
      </w:r>
      <w:r w:rsidRPr="00285F16">
        <w:rPr>
          <w:rFonts w:ascii="Baskerville Old Face" w:hAnsi="Baskerville Old Face" w:cs="Times New Roman"/>
          <w:sz w:val="24"/>
          <w:szCs w:val="24"/>
        </w:rPr>
        <w:t>, three operational departments primarily engaged in domestic revenue collection, and eleven support departments, which include Internal Controls and Audit. The functions of the Internal Controls and Audit Department are overseen by the Board.</w:t>
      </w:r>
    </w:p>
    <w:p w14:paraId="2500B860" w14:textId="77777777" w:rsidR="008D2DA5" w:rsidRPr="00285F16" w:rsidRDefault="008D2DA5" w:rsidP="000E4D6C">
      <w:pPr>
        <w:rPr>
          <w:rFonts w:ascii="Baskerville Old Face" w:hAnsi="Baskerville Old Face" w:cs="Times New Roman"/>
          <w:sz w:val="24"/>
          <w:szCs w:val="24"/>
        </w:rPr>
      </w:pPr>
    </w:p>
    <w:p w14:paraId="7854B65E" w14:textId="76235D7C" w:rsidR="004D7784" w:rsidRPr="00285F16" w:rsidRDefault="00A71AC3" w:rsidP="00A176F4">
      <w:pPr>
        <w:pStyle w:val="Heading2"/>
      </w:pPr>
      <w:bookmarkStart w:id="9" w:name="_Toc198205656"/>
      <w:r>
        <w:lastRenderedPageBreak/>
        <w:t xml:space="preserve">1.3: </w:t>
      </w:r>
      <w:r w:rsidR="003808E7" w:rsidRPr="00285F16">
        <w:t>SIERRA LEONE ECONOMIC SITUATION</w:t>
      </w:r>
      <w:bookmarkEnd w:id="9"/>
    </w:p>
    <w:p w14:paraId="36E98247" w14:textId="15F2AA9A"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The Sierra Leone economy has been on a slow recovery trajectory following setbacks from the Ebola epidemic and a decline in iron-ore prices between 2014 and 2015, with the COVID-19 Pandemic in 2019 further impeding progress. The country faces macroeconomic challenges such as exposure to external shocks, high inflation rates, exchange rate depreciation, unemployment, an undiversified economy, and fiscal pressures. Global uncertainties, particularly from the Russia-Ukraine conflict, introduce additional risks.</w:t>
      </w:r>
    </w:p>
    <w:p w14:paraId="3737AB45" w14:textId="77777777"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In 2022, the economy experienced modest growth at 3.5%, and projections for 2023 anticipate a moderate growth of 2.7%. The growth is influenced by activities in mining, agriculture, and economic diversification efforts. However, global economic uncertainties and high food and energy prices continue to pose challenges.</w:t>
      </w:r>
    </w:p>
    <w:p w14:paraId="6DB248DC" w14:textId="77777777"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Inflation remained a concern in 2023, increasing to 54.5% in September from 37.1% in December 2022, attributed to imported inflation, domestic disruptions in food supply, fuel price adjustments, and exchange rate depreciation.</w:t>
      </w:r>
    </w:p>
    <w:p w14:paraId="6BA2151B" w14:textId="77777777" w:rsidR="007D14CB"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Exchange rate stability was a challenge in 2023 due to depreciation, impacting trade and foreign investment. </w:t>
      </w:r>
    </w:p>
    <w:p w14:paraId="4DAA6928" w14:textId="37927515" w:rsidR="00413330" w:rsidRPr="00285F16" w:rsidRDefault="007D14CB" w:rsidP="007D14CB">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Projections from the Ministry of Finance for 2024 and 2025 anticipate growth rates of 4.7% and 5.2%, respectively, driven by increased investments in agriculture and mining, along with a recovery in the services sector. Efforts to contain inflation include tight monetary policies and prudent fiscal strategies, supported by an anticipated decline in global food and energy prices and increased domestic food production. Forecasts also predict a reduction in the current account deficit to 4.2% of GDP in 2024 and 2.9% in 2025 due to a decrease in the trade deficit. While the exchange rate depreciation is expected to ease, the Sierra Leone economy remains vulnerable to various risks, including geopolitical tensions, potential escalation of the Russia-Ukraine conflict, economic fragmentation, weakening of the Chinese economy, continuous exchange rate depreciation, downturns in key export commodities, and a decline in international donor support.</w:t>
      </w:r>
    </w:p>
    <w:p w14:paraId="408A7846" w14:textId="7192FE0C" w:rsidR="001E37B8" w:rsidRPr="00285F16" w:rsidRDefault="00D031EE" w:rsidP="00A176F4">
      <w:pPr>
        <w:pStyle w:val="Heading2"/>
        <w:rPr>
          <w:lang w:val="en-GB"/>
        </w:rPr>
      </w:pPr>
      <w:bookmarkStart w:id="10" w:name="_Toc198205657"/>
      <w:r>
        <w:rPr>
          <w:lang w:val="en-GB"/>
        </w:rPr>
        <w:t xml:space="preserve">1.4: </w:t>
      </w:r>
      <w:r w:rsidR="001E37B8" w:rsidRPr="00285F16">
        <w:rPr>
          <w:lang w:val="en-GB"/>
        </w:rPr>
        <w:t>NRA STRATEGIC PLAN 2023-2027</w:t>
      </w:r>
      <w:bookmarkEnd w:id="10"/>
    </w:p>
    <w:p w14:paraId="1B34F3B1" w14:textId="6F27840C" w:rsidR="001E37B8" w:rsidRPr="00285F16" w:rsidRDefault="001E37B8" w:rsidP="001E37B8">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The year under review marks the commencement of the </w:t>
      </w:r>
      <w:r w:rsidR="00380B1A">
        <w:rPr>
          <w:rFonts w:ascii="Baskerville Old Face" w:hAnsi="Baskerville Old Face" w:cs="Times New Roman"/>
          <w:kern w:val="0"/>
          <w:sz w:val="24"/>
          <w:szCs w:val="24"/>
          <w14:ligatures w14:val="none"/>
        </w:rPr>
        <w:t>NRA</w:t>
      </w:r>
      <w:r w:rsidRPr="00285F16">
        <w:rPr>
          <w:rFonts w:ascii="Baskerville Old Face" w:hAnsi="Baskerville Old Face" w:cs="Times New Roman"/>
          <w:kern w:val="0"/>
          <w:sz w:val="24"/>
          <w:szCs w:val="24"/>
          <w14:ligatures w14:val="none"/>
        </w:rPr>
        <w:t>'s five-year strategic plan. The 2023-2027 Strategic Plan is rooted in the Authority's pivotal role in aligning with national policy objectives</w:t>
      </w:r>
      <w:r w:rsidR="0002192E">
        <w:rPr>
          <w:rFonts w:ascii="Baskerville Old Face" w:hAnsi="Baskerville Old Face" w:cs="Times New Roman"/>
          <w:kern w:val="0"/>
          <w:sz w:val="24"/>
          <w:szCs w:val="24"/>
          <w14:ligatures w14:val="none"/>
        </w:rPr>
        <w:t xml:space="preserve"> </w:t>
      </w:r>
      <w:r w:rsidR="0002192E">
        <w:rPr>
          <w:rFonts w:ascii="Baskerville Old Face" w:hAnsi="Baskerville Old Face" w:cs="Times New Roman"/>
          <w:kern w:val="0"/>
          <w:sz w:val="24"/>
          <w:szCs w:val="24"/>
          <w14:ligatures w14:val="none"/>
        </w:rPr>
        <w:lastRenderedPageBreak/>
        <w:t xml:space="preserve">such as the MTNDP and MTRS, </w:t>
      </w:r>
      <w:r w:rsidR="0002192E" w:rsidRPr="00923771">
        <w:rPr>
          <w:rFonts w:ascii="Baskerville Old Face" w:hAnsi="Baskerville Old Face"/>
          <w:sz w:val="24"/>
          <w:szCs w:val="24"/>
        </w:rPr>
        <w:t>global agendas</w:t>
      </w:r>
      <w:r w:rsidR="0002192E">
        <w:rPr>
          <w:rFonts w:ascii="Baskerville Old Face" w:hAnsi="Baskerville Old Face"/>
          <w:sz w:val="24"/>
          <w:szCs w:val="24"/>
        </w:rPr>
        <w:t xml:space="preserve"> such as SDGs, and</w:t>
      </w:r>
      <w:r w:rsidR="0002192E" w:rsidRPr="00923771">
        <w:rPr>
          <w:rFonts w:ascii="Baskerville Old Face" w:hAnsi="Baskerville Old Face"/>
          <w:sz w:val="24"/>
          <w:szCs w:val="24"/>
        </w:rPr>
        <w:t xml:space="preserve"> </w:t>
      </w:r>
      <w:r w:rsidR="0002192E">
        <w:rPr>
          <w:rFonts w:ascii="Baskerville Old Face" w:hAnsi="Baskerville Old Face"/>
          <w:sz w:val="24"/>
          <w:szCs w:val="24"/>
        </w:rPr>
        <w:t xml:space="preserve">the previous </w:t>
      </w:r>
      <w:r w:rsidR="0002192E" w:rsidRPr="00923771">
        <w:rPr>
          <w:rFonts w:ascii="Baskerville Old Face" w:hAnsi="Baskerville Old Face"/>
          <w:sz w:val="24"/>
          <w:szCs w:val="24"/>
        </w:rPr>
        <w:t>2018-2022 Strategic Plan</w:t>
      </w:r>
      <w:r w:rsidRPr="00285F16">
        <w:rPr>
          <w:rFonts w:ascii="Baskerville Old Face" w:hAnsi="Baskerville Old Face" w:cs="Times New Roman"/>
          <w:kern w:val="0"/>
          <w:sz w:val="24"/>
          <w:szCs w:val="24"/>
          <w14:ligatures w14:val="none"/>
        </w:rPr>
        <w:t>. This strategic framework highlights six primary goals:</w:t>
      </w:r>
    </w:p>
    <w:p w14:paraId="5975941B" w14:textId="20D4C1A3"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Sustainable </w:t>
      </w:r>
      <w:proofErr w:type="spellStart"/>
      <w:r w:rsidRPr="00285F16">
        <w:rPr>
          <w:rFonts w:ascii="Baskerville Old Face" w:hAnsi="Baskerville Old Face" w:cs="Times New Roman"/>
          <w:kern w:val="0"/>
          <w:sz w:val="24"/>
          <w:szCs w:val="24"/>
          <w14:ligatures w14:val="none"/>
        </w:rPr>
        <w:t>mobilisation</w:t>
      </w:r>
      <w:proofErr w:type="spellEnd"/>
      <w:r w:rsidRPr="00285F16">
        <w:rPr>
          <w:rFonts w:ascii="Baskerville Old Face" w:hAnsi="Baskerville Old Face" w:cs="Times New Roman"/>
          <w:kern w:val="0"/>
          <w:sz w:val="24"/>
          <w:szCs w:val="24"/>
          <w14:ligatures w14:val="none"/>
        </w:rPr>
        <w:t xml:space="preserve"> of revenue to </w:t>
      </w:r>
      <w:proofErr w:type="gramStart"/>
      <w:r w:rsidR="009A3754">
        <w:rPr>
          <w:rFonts w:ascii="Baskerville Old Face" w:hAnsi="Baskerville Old Face" w:cs="Times New Roman"/>
          <w:kern w:val="0"/>
          <w:sz w:val="24"/>
          <w:szCs w:val="24"/>
          <w14:ligatures w14:val="none"/>
        </w:rPr>
        <w:t>strengthening</w:t>
      </w:r>
      <w:proofErr w:type="gramEnd"/>
      <w:r w:rsidRPr="00285F16">
        <w:rPr>
          <w:rFonts w:ascii="Baskerville Old Face" w:hAnsi="Baskerville Old Face" w:cs="Times New Roman"/>
          <w:kern w:val="0"/>
          <w:sz w:val="24"/>
          <w:szCs w:val="24"/>
          <w14:ligatures w14:val="none"/>
        </w:rPr>
        <w:t xml:space="preserve"> government fiscal capacity.</w:t>
      </w:r>
    </w:p>
    <w:p w14:paraId="0EBFC29A"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Maintenance of a professional workforce and the development of institutional capacity.</w:t>
      </w:r>
    </w:p>
    <w:p w14:paraId="6D994BE9"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Enhancement of trade facilitation and border management.</w:t>
      </w:r>
    </w:p>
    <w:p w14:paraId="2D020BCD"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Establishment of fully digitalized, integrated, and sustainable business processes and procedures.</w:t>
      </w:r>
    </w:p>
    <w:p w14:paraId="428B8F83"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Improvement of public trust and credibility, and </w:t>
      </w:r>
    </w:p>
    <w:p w14:paraId="7F0D7ED6" w14:textId="77777777" w:rsidR="001E37B8" w:rsidRPr="00285F16" w:rsidRDefault="001E37B8" w:rsidP="001E37B8">
      <w:pPr>
        <w:numPr>
          <w:ilvl w:val="0"/>
          <w:numId w:val="2"/>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Enhanced taxpayer services and education.</w:t>
      </w:r>
    </w:p>
    <w:p w14:paraId="43C7C74F" w14:textId="77777777" w:rsidR="001E37B8" w:rsidRPr="00285F16" w:rsidRDefault="001E37B8" w:rsidP="001E37B8">
      <w:pPr>
        <w:spacing w:line="360" w:lineRule="auto"/>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In addition, the 2023-2027 Strategic Plan outlines seventeen strategic objectives aimed at attaining these overarching goals:</w:t>
      </w:r>
    </w:p>
    <w:p w14:paraId="62360D5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Maximizing revenue collection.</w:t>
      </w:r>
    </w:p>
    <w:p w14:paraId="4EABD006"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Strengthening tax compliance and enforcement.</w:t>
      </w:r>
    </w:p>
    <w:p w14:paraId="30586034"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Expanding the tax base.</w:t>
      </w:r>
    </w:p>
    <w:p w14:paraId="496F858E"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Sustaining active involvement in tax policy formulation and implementation.</w:t>
      </w:r>
    </w:p>
    <w:p w14:paraId="56636A2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Attracting, developing, and retaining top talents.</w:t>
      </w:r>
    </w:p>
    <w:p w14:paraId="3EED5F7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Implementing a results-based governance model.</w:t>
      </w:r>
    </w:p>
    <w:p w14:paraId="33755D7C"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Modernizing and expanding infrastructure.</w:t>
      </w:r>
    </w:p>
    <w:p w14:paraId="3890296D"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Securing funding and optimizing resource allocation.</w:t>
      </w:r>
    </w:p>
    <w:p w14:paraId="0D920A1A"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Strengthening trade facilitation and border management.</w:t>
      </w:r>
    </w:p>
    <w:p w14:paraId="369A3035"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security and efficiency in the international flow of goods and individuals.</w:t>
      </w:r>
    </w:p>
    <w:p w14:paraId="543833E6"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Modernizing, sustaining, and integrating ICT infrastructure and business systems.</w:t>
      </w:r>
    </w:p>
    <w:p w14:paraId="0B2BE5CF"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Optimizing business processes and procedures.</w:t>
      </w:r>
    </w:p>
    <w:p w14:paraId="2E1BF537"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Enhancing the institutional image.</w:t>
      </w:r>
    </w:p>
    <w:p w14:paraId="019B0F9C"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Improving internal controls, institutional risk management, and integrity mechanisms.</w:t>
      </w:r>
    </w:p>
    <w:p w14:paraId="34B271DE"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Expanding tax education and taxpayer services.</w:t>
      </w:r>
    </w:p>
    <w:p w14:paraId="3CC73335"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Reinforcing communication and institutional relations.</w:t>
      </w:r>
    </w:p>
    <w:p w14:paraId="41044A43" w14:textId="77777777" w:rsidR="001E37B8" w:rsidRPr="00285F16" w:rsidRDefault="001E37B8" w:rsidP="001E37B8">
      <w:pPr>
        <w:numPr>
          <w:ilvl w:val="0"/>
          <w:numId w:val="3"/>
        </w:numPr>
        <w:spacing w:line="360" w:lineRule="auto"/>
        <w:contextualSpacing/>
        <w:jc w:val="both"/>
        <w:rPr>
          <w:rFonts w:ascii="Baskerville Old Face" w:hAnsi="Baskerville Old Face" w:cs="Times New Roman"/>
          <w:kern w:val="0"/>
          <w:sz w:val="24"/>
          <w:szCs w:val="24"/>
          <w14:ligatures w14:val="none"/>
        </w:rPr>
      </w:pPr>
      <w:r w:rsidRPr="00285F16">
        <w:rPr>
          <w:rFonts w:ascii="Baskerville Old Face" w:hAnsi="Baskerville Old Face" w:cs="Times New Roman"/>
          <w:kern w:val="0"/>
          <w:sz w:val="24"/>
          <w:szCs w:val="24"/>
          <w14:ligatures w14:val="none"/>
        </w:rPr>
        <w:t xml:space="preserve">Cultivating a culture </w:t>
      </w:r>
      <w:proofErr w:type="gramStart"/>
      <w:r w:rsidRPr="00285F16">
        <w:rPr>
          <w:rFonts w:ascii="Baskerville Old Face" w:hAnsi="Baskerville Old Face" w:cs="Times New Roman"/>
          <w:kern w:val="0"/>
          <w:sz w:val="24"/>
          <w:szCs w:val="24"/>
          <w14:ligatures w14:val="none"/>
        </w:rPr>
        <w:t>conducive</w:t>
      </w:r>
      <w:proofErr w:type="gramEnd"/>
      <w:r w:rsidRPr="00285F16">
        <w:rPr>
          <w:rFonts w:ascii="Baskerville Old Face" w:hAnsi="Baskerville Old Face" w:cs="Times New Roman"/>
          <w:kern w:val="0"/>
          <w:sz w:val="24"/>
          <w:szCs w:val="24"/>
          <w14:ligatures w14:val="none"/>
        </w:rPr>
        <w:t xml:space="preserve"> to change.</w:t>
      </w:r>
    </w:p>
    <w:p w14:paraId="785F1795" w14:textId="0F293030" w:rsidR="007D14CB" w:rsidRDefault="00D031EE" w:rsidP="00C2678A">
      <w:pPr>
        <w:pStyle w:val="Heading2"/>
      </w:pPr>
      <w:bookmarkStart w:id="11" w:name="_Toc198205658"/>
      <w:r>
        <w:lastRenderedPageBreak/>
        <w:t xml:space="preserve">1.5: </w:t>
      </w:r>
      <w:r w:rsidR="00923771" w:rsidRPr="00923771">
        <w:t>PROGRESS REPORT ON THE IMPLEMENTATION OF THE 2023 NRA OPERATIONAL PLAN</w:t>
      </w:r>
      <w:bookmarkEnd w:id="11"/>
    </w:p>
    <w:p w14:paraId="6129C794" w14:textId="0D8D855C" w:rsidR="00923771" w:rsidRPr="00923771" w:rsidRDefault="00923771" w:rsidP="00923771">
      <w:pPr>
        <w:spacing w:line="360" w:lineRule="auto"/>
        <w:jc w:val="both"/>
        <w:rPr>
          <w:rFonts w:ascii="Baskerville Old Face" w:hAnsi="Baskerville Old Face"/>
          <w:sz w:val="24"/>
          <w:szCs w:val="24"/>
        </w:rPr>
      </w:pPr>
      <w:r w:rsidRPr="00923771">
        <w:rPr>
          <w:rFonts w:ascii="Baskerville Old Face" w:hAnsi="Baskerville Old Face"/>
          <w:sz w:val="24"/>
          <w:szCs w:val="24"/>
        </w:rPr>
        <w:t>The formulation of th</w:t>
      </w:r>
      <w:r w:rsidR="009A3754">
        <w:rPr>
          <w:rFonts w:ascii="Baskerville Old Face" w:hAnsi="Baskerville Old Face"/>
          <w:sz w:val="24"/>
          <w:szCs w:val="24"/>
        </w:rPr>
        <w:t>e</w:t>
      </w:r>
      <w:r w:rsidRPr="00923771">
        <w:rPr>
          <w:rFonts w:ascii="Baskerville Old Face" w:hAnsi="Baskerville Old Face"/>
          <w:sz w:val="24"/>
          <w:szCs w:val="24"/>
        </w:rPr>
        <w:t xml:space="preserve"> </w:t>
      </w:r>
      <w:r w:rsidR="009A3754">
        <w:rPr>
          <w:rFonts w:ascii="Baskerville Old Face" w:hAnsi="Baskerville Old Face"/>
          <w:sz w:val="24"/>
          <w:szCs w:val="24"/>
        </w:rPr>
        <w:t>2023-2027 S</w:t>
      </w:r>
      <w:r w:rsidRPr="00923771">
        <w:rPr>
          <w:rFonts w:ascii="Baskerville Old Face" w:hAnsi="Baskerville Old Face"/>
          <w:sz w:val="24"/>
          <w:szCs w:val="24"/>
        </w:rPr>
        <w:t xml:space="preserve">trategic </w:t>
      </w:r>
      <w:r w:rsidR="009A3754">
        <w:rPr>
          <w:rFonts w:ascii="Baskerville Old Face" w:hAnsi="Baskerville Old Face"/>
          <w:sz w:val="24"/>
          <w:szCs w:val="24"/>
        </w:rPr>
        <w:t>Plan</w:t>
      </w:r>
      <w:r w:rsidRPr="00923771">
        <w:rPr>
          <w:rFonts w:ascii="Baskerville Old Face" w:hAnsi="Baskerville Old Face"/>
          <w:sz w:val="24"/>
          <w:szCs w:val="24"/>
        </w:rPr>
        <w:t xml:space="preserve"> was a collaborative </w:t>
      </w:r>
      <w:proofErr w:type="spellStart"/>
      <w:r w:rsidRPr="00923771">
        <w:rPr>
          <w:rFonts w:ascii="Baskerville Old Face" w:hAnsi="Baskerville Old Face"/>
          <w:sz w:val="24"/>
          <w:szCs w:val="24"/>
        </w:rPr>
        <w:t>endeavour</w:t>
      </w:r>
      <w:proofErr w:type="spellEnd"/>
      <w:r w:rsidRPr="00923771">
        <w:rPr>
          <w:rFonts w:ascii="Baskerville Old Face" w:hAnsi="Baskerville Old Face"/>
          <w:sz w:val="24"/>
          <w:szCs w:val="24"/>
        </w:rPr>
        <w:t xml:space="preserve">, </w:t>
      </w:r>
      <w:proofErr w:type="spellStart"/>
      <w:r w:rsidRPr="00923771">
        <w:rPr>
          <w:rFonts w:ascii="Baskerville Old Face" w:hAnsi="Baskerville Old Face"/>
          <w:sz w:val="24"/>
          <w:szCs w:val="24"/>
        </w:rPr>
        <w:t>characteri</w:t>
      </w:r>
      <w:r w:rsidR="00972D11">
        <w:rPr>
          <w:rFonts w:ascii="Baskerville Old Face" w:hAnsi="Baskerville Old Face"/>
          <w:sz w:val="24"/>
          <w:szCs w:val="24"/>
        </w:rPr>
        <w:t>s</w:t>
      </w:r>
      <w:r w:rsidRPr="00923771">
        <w:rPr>
          <w:rFonts w:ascii="Baskerville Old Face" w:hAnsi="Baskerville Old Face"/>
          <w:sz w:val="24"/>
          <w:szCs w:val="24"/>
        </w:rPr>
        <w:t>ed</w:t>
      </w:r>
      <w:proofErr w:type="spellEnd"/>
      <w:r w:rsidRPr="00923771">
        <w:rPr>
          <w:rFonts w:ascii="Baskerville Old Face" w:hAnsi="Baskerville Old Face"/>
          <w:sz w:val="24"/>
          <w:szCs w:val="24"/>
        </w:rPr>
        <w:t xml:space="preserve"> by workshops, consultations, and engagements with the NRA's </w:t>
      </w:r>
      <w:r w:rsidR="004D7FF5">
        <w:rPr>
          <w:rFonts w:ascii="Baskerville Old Face" w:hAnsi="Baskerville Old Face"/>
          <w:sz w:val="24"/>
          <w:szCs w:val="24"/>
        </w:rPr>
        <w:t>SMT</w:t>
      </w:r>
      <w:r w:rsidRPr="00923771">
        <w:rPr>
          <w:rFonts w:ascii="Baskerville Old Face" w:hAnsi="Baskerville Old Face"/>
          <w:sz w:val="24"/>
          <w:szCs w:val="24"/>
        </w:rPr>
        <w:t xml:space="preserve">, staff, stakeholders, and development partners. This inclusive approach aimed to foster consensus and ownership among all stakeholders. Through </w:t>
      </w:r>
      <w:r w:rsidR="00972D11">
        <w:rPr>
          <w:rFonts w:ascii="Baskerville Old Face" w:hAnsi="Baskerville Old Face"/>
          <w:sz w:val="24"/>
          <w:szCs w:val="24"/>
        </w:rPr>
        <w:t xml:space="preserve">this </w:t>
      </w:r>
      <w:r w:rsidRPr="00923771">
        <w:rPr>
          <w:rFonts w:ascii="Baskerville Old Face" w:hAnsi="Baskerville Old Face"/>
          <w:sz w:val="24"/>
          <w:szCs w:val="24"/>
        </w:rPr>
        <w:t xml:space="preserve">participatory </w:t>
      </w:r>
      <w:r w:rsidR="00A35C5F">
        <w:rPr>
          <w:rFonts w:ascii="Baskerville Old Face" w:hAnsi="Baskerville Old Face"/>
          <w:sz w:val="24"/>
          <w:szCs w:val="24"/>
        </w:rPr>
        <w:t>approach</w:t>
      </w:r>
      <w:r w:rsidRPr="00923771">
        <w:rPr>
          <w:rFonts w:ascii="Baskerville Old Face" w:hAnsi="Baskerville Old Face"/>
          <w:sz w:val="24"/>
          <w:szCs w:val="24"/>
        </w:rPr>
        <w:t xml:space="preserve">, the plan </w:t>
      </w:r>
      <w:r w:rsidR="00380B1A" w:rsidRPr="00923771">
        <w:rPr>
          <w:rFonts w:ascii="Baskerville Old Face" w:hAnsi="Baskerville Old Face"/>
          <w:sz w:val="24"/>
          <w:szCs w:val="24"/>
        </w:rPr>
        <w:t>outlines</w:t>
      </w:r>
      <w:r w:rsidRPr="00923771">
        <w:rPr>
          <w:rFonts w:ascii="Baskerville Old Face" w:hAnsi="Baskerville Old Face"/>
          <w:sz w:val="24"/>
          <w:szCs w:val="24"/>
        </w:rPr>
        <w:t xml:space="preserve"> the vision, mission, core values, goals, strategic objectives, and outputs envisioned for the next five years. </w:t>
      </w:r>
      <w:r w:rsidR="009A3754">
        <w:rPr>
          <w:rFonts w:ascii="Baskerville Old Face" w:hAnsi="Baskerville Old Face"/>
          <w:sz w:val="24"/>
          <w:szCs w:val="24"/>
        </w:rPr>
        <w:t>Furthermore</w:t>
      </w:r>
      <w:r w:rsidRPr="00923771">
        <w:rPr>
          <w:rFonts w:ascii="Baskerville Old Face" w:hAnsi="Baskerville Old Face"/>
          <w:sz w:val="24"/>
          <w:szCs w:val="24"/>
        </w:rPr>
        <w:t>, it establishes key performance indicators (KPIs) with defined targets and activities to reali</w:t>
      </w:r>
      <w:r w:rsidR="00972D11">
        <w:rPr>
          <w:rFonts w:ascii="Baskerville Old Face" w:hAnsi="Baskerville Old Face"/>
          <w:sz w:val="24"/>
          <w:szCs w:val="24"/>
        </w:rPr>
        <w:t>s</w:t>
      </w:r>
      <w:r w:rsidRPr="00923771">
        <w:rPr>
          <w:rFonts w:ascii="Baskerville Old Face" w:hAnsi="Baskerville Old Face"/>
          <w:sz w:val="24"/>
          <w:szCs w:val="24"/>
        </w:rPr>
        <w:t xml:space="preserve">e the outlined outputs and outcomes. Notably, situational analyses such as </w:t>
      </w:r>
      <w:r w:rsidR="00972D11" w:rsidRPr="00923771">
        <w:rPr>
          <w:rFonts w:ascii="Baskerville Old Face" w:hAnsi="Baskerville Old Face"/>
          <w:sz w:val="24"/>
          <w:szCs w:val="24"/>
        </w:rPr>
        <w:t>PESTEL</w:t>
      </w:r>
      <w:r w:rsidR="00972D11" w:rsidRPr="00972D11">
        <w:rPr>
          <w:rFonts w:ascii="Baskerville Old Face" w:hAnsi="Baskerville Old Face"/>
          <w:sz w:val="24"/>
          <w:szCs w:val="24"/>
        </w:rPr>
        <w:t xml:space="preserve"> </w:t>
      </w:r>
      <w:r w:rsidR="00972D11">
        <w:rPr>
          <w:rFonts w:ascii="Baskerville Old Face" w:hAnsi="Baskerville Old Face"/>
          <w:sz w:val="24"/>
          <w:szCs w:val="24"/>
        </w:rPr>
        <w:t>(</w:t>
      </w:r>
      <w:r w:rsidR="00972D11" w:rsidRPr="00972D11">
        <w:rPr>
          <w:rFonts w:ascii="Baskerville Old Face" w:hAnsi="Baskerville Old Face"/>
          <w:sz w:val="24"/>
          <w:szCs w:val="24"/>
        </w:rPr>
        <w:t>Political, Economic, Social, Technological, Legal, and Environment</w:t>
      </w:r>
      <w:r w:rsidR="00972D11">
        <w:rPr>
          <w:rFonts w:ascii="Baskerville Old Face" w:hAnsi="Baskerville Old Face"/>
          <w:sz w:val="24"/>
          <w:szCs w:val="24"/>
        </w:rPr>
        <w:t>)</w:t>
      </w:r>
      <w:r w:rsidRPr="00923771">
        <w:rPr>
          <w:rFonts w:ascii="Baskerville Old Face" w:hAnsi="Baskerville Old Face"/>
          <w:sz w:val="24"/>
          <w:szCs w:val="24"/>
        </w:rPr>
        <w:t xml:space="preserve"> and SWOT </w:t>
      </w:r>
      <w:r w:rsidR="00972D11">
        <w:rPr>
          <w:rFonts w:ascii="Baskerville Old Face" w:hAnsi="Baskerville Old Face"/>
          <w:sz w:val="24"/>
          <w:szCs w:val="24"/>
        </w:rPr>
        <w:t>(</w:t>
      </w:r>
      <w:r w:rsidR="00972D11" w:rsidRPr="00972D11">
        <w:rPr>
          <w:rFonts w:ascii="Baskerville Old Face" w:hAnsi="Baskerville Old Face"/>
          <w:sz w:val="24"/>
          <w:szCs w:val="24"/>
        </w:rPr>
        <w:t xml:space="preserve">Strengths, Weaknesses, Opportunities, </w:t>
      </w:r>
      <w:r w:rsidR="00972D11">
        <w:rPr>
          <w:rFonts w:ascii="Baskerville Old Face" w:hAnsi="Baskerville Old Face"/>
          <w:sz w:val="24"/>
          <w:szCs w:val="24"/>
        </w:rPr>
        <w:t>a</w:t>
      </w:r>
      <w:r w:rsidR="00972D11" w:rsidRPr="00972D11">
        <w:rPr>
          <w:rFonts w:ascii="Baskerville Old Face" w:hAnsi="Baskerville Old Face"/>
          <w:sz w:val="24"/>
          <w:szCs w:val="24"/>
        </w:rPr>
        <w:t>nd Threats</w:t>
      </w:r>
      <w:r w:rsidR="00972D11">
        <w:rPr>
          <w:rFonts w:ascii="Baskerville Old Face" w:hAnsi="Baskerville Old Face"/>
          <w:sz w:val="24"/>
          <w:szCs w:val="24"/>
        </w:rPr>
        <w:t>)</w:t>
      </w:r>
      <w:r w:rsidR="00972D11" w:rsidRPr="00972D11">
        <w:rPr>
          <w:rFonts w:ascii="Baskerville Old Face" w:hAnsi="Baskerville Old Face"/>
          <w:sz w:val="24"/>
          <w:szCs w:val="24"/>
        </w:rPr>
        <w:t xml:space="preserve"> </w:t>
      </w:r>
      <w:r w:rsidRPr="00923771">
        <w:rPr>
          <w:rFonts w:ascii="Baskerville Old Face" w:hAnsi="Baskerville Old Face"/>
          <w:sz w:val="24"/>
          <w:szCs w:val="24"/>
        </w:rPr>
        <w:t>assessments informed the strategic formulation process, considering both external and internal factors shaping the operational landscape.</w:t>
      </w:r>
    </w:p>
    <w:p w14:paraId="1ADA6005" w14:textId="2AA19DB7" w:rsidR="00923771" w:rsidRPr="00923771" w:rsidRDefault="00923771" w:rsidP="00923771">
      <w:pPr>
        <w:spacing w:line="360" w:lineRule="auto"/>
        <w:jc w:val="both"/>
        <w:rPr>
          <w:rFonts w:ascii="Baskerville Old Face" w:hAnsi="Baskerville Old Face"/>
          <w:sz w:val="24"/>
          <w:szCs w:val="24"/>
        </w:rPr>
      </w:pPr>
      <w:r w:rsidRPr="00923771">
        <w:rPr>
          <w:rFonts w:ascii="Baskerville Old Face" w:hAnsi="Baskerville Old Face"/>
          <w:sz w:val="24"/>
          <w:szCs w:val="24"/>
        </w:rPr>
        <w:t>The annual operational plan serves as a detailed roadmap, outlining strategic goals, objectives, and activities for the fiscal year. This document is essential in guiding the Authority toward achieving its strategic aspirations and operational milestones. Regular reviews and updates ensure adaptability to evolving circumstances, enabling the NRA to remain aligned with its strategic trajectory. Extracted from the Monitoring and Evaluation Framework of the Strategic Plan, the operational plan lists activities scheduled for each year until the plan's final implementation year.</w:t>
      </w:r>
    </w:p>
    <w:p w14:paraId="5BEB7243" w14:textId="66865AC1" w:rsidR="00923771" w:rsidRPr="00923771" w:rsidRDefault="00923771" w:rsidP="00923771">
      <w:pPr>
        <w:spacing w:line="360" w:lineRule="auto"/>
        <w:jc w:val="both"/>
        <w:rPr>
          <w:rFonts w:ascii="Baskerville Old Face" w:hAnsi="Baskerville Old Face"/>
          <w:sz w:val="24"/>
          <w:szCs w:val="24"/>
        </w:rPr>
      </w:pPr>
      <w:r w:rsidRPr="00923771">
        <w:rPr>
          <w:rFonts w:ascii="Baskerville Old Face" w:hAnsi="Baskerville Old Face"/>
          <w:sz w:val="24"/>
          <w:szCs w:val="24"/>
        </w:rPr>
        <w:t xml:space="preserve">The evaluation of the 2023 NRA operational plan, as depicted in </w:t>
      </w:r>
      <w:r w:rsidRPr="0089214A">
        <w:rPr>
          <w:rFonts w:ascii="Baskerville Old Face" w:hAnsi="Baskerville Old Face"/>
          <w:sz w:val="24"/>
          <w:szCs w:val="24"/>
        </w:rPr>
        <w:t xml:space="preserve">Table </w:t>
      </w:r>
      <w:r w:rsidR="0089214A">
        <w:rPr>
          <w:rFonts w:ascii="Baskerville Old Face" w:hAnsi="Baskerville Old Face"/>
          <w:sz w:val="24"/>
          <w:szCs w:val="24"/>
        </w:rPr>
        <w:t>1</w:t>
      </w:r>
      <w:r w:rsidRPr="00923771">
        <w:rPr>
          <w:rFonts w:ascii="Baskerville Old Face" w:hAnsi="Baskerville Old Face"/>
          <w:sz w:val="24"/>
          <w:szCs w:val="24"/>
        </w:rPr>
        <w:t>, reveals six strategic goals and a total of 197 planned activities distributed across respective departments. Of these, 53 activities were completed (27.3% of the total), 84 were partially completed (42.6%), and 60 were not achieved (30.</w:t>
      </w:r>
      <w:r w:rsidR="00C120C8">
        <w:rPr>
          <w:rFonts w:ascii="Baskerville Old Face" w:hAnsi="Baskerville Old Face"/>
          <w:sz w:val="24"/>
          <w:szCs w:val="24"/>
        </w:rPr>
        <w:t>5</w:t>
      </w:r>
      <w:r w:rsidRPr="00923771">
        <w:rPr>
          <w:rFonts w:ascii="Baskerville Old Face" w:hAnsi="Baskerville Old Face"/>
          <w:sz w:val="24"/>
          <w:szCs w:val="24"/>
        </w:rPr>
        <w:t xml:space="preserve">%). Activities not completed in 2023 were carried over to the 2024 fiscal year. </w:t>
      </w:r>
    </w:p>
    <w:p w14:paraId="5E1CE200" w14:textId="6592CCD6" w:rsidR="00923771" w:rsidRPr="00923771" w:rsidRDefault="00923771" w:rsidP="00923771">
      <w:pPr>
        <w:spacing w:line="240" w:lineRule="auto"/>
        <w:jc w:val="both"/>
        <w:rPr>
          <w:rFonts w:ascii="Baskerville Old Face" w:hAnsi="Baskerville Old Face"/>
          <w:b/>
          <w:bCs/>
          <w:i/>
          <w:iCs/>
          <w:sz w:val="24"/>
          <w:szCs w:val="24"/>
          <w:lang w:val="en-GB"/>
        </w:rPr>
      </w:pPr>
      <w:bookmarkStart w:id="12" w:name="Table1"/>
      <w:r w:rsidRPr="0089214A">
        <w:rPr>
          <w:rFonts w:ascii="Baskerville Old Face" w:hAnsi="Baskerville Old Face"/>
          <w:b/>
          <w:bCs/>
          <w:i/>
          <w:iCs/>
          <w:sz w:val="24"/>
          <w:szCs w:val="24"/>
          <w:lang w:val="en-GB"/>
        </w:rPr>
        <w:t xml:space="preserve">Table </w:t>
      </w:r>
      <w:r w:rsidR="0089214A">
        <w:rPr>
          <w:rFonts w:ascii="Baskerville Old Face" w:hAnsi="Baskerville Old Face"/>
          <w:b/>
          <w:bCs/>
          <w:i/>
          <w:iCs/>
          <w:sz w:val="24"/>
          <w:szCs w:val="24"/>
          <w:lang w:val="en-GB"/>
        </w:rPr>
        <w:t>1</w:t>
      </w:r>
      <w:r w:rsidRPr="00142303">
        <w:rPr>
          <w:rFonts w:ascii="Baskerville Old Face" w:hAnsi="Baskerville Old Face"/>
          <w:b/>
          <w:bCs/>
          <w:i/>
          <w:iCs/>
          <w:sz w:val="24"/>
          <w:szCs w:val="24"/>
          <w:lang w:val="en-GB"/>
        </w:rPr>
        <w:t xml:space="preserve">: </w:t>
      </w:r>
      <w:r w:rsidRPr="00923771">
        <w:rPr>
          <w:rFonts w:ascii="Baskerville Old Face" w:hAnsi="Baskerville Old Face"/>
          <w:b/>
          <w:bCs/>
          <w:i/>
          <w:iCs/>
          <w:sz w:val="24"/>
          <w:szCs w:val="24"/>
          <w:lang w:val="en-GB"/>
        </w:rPr>
        <w:t xml:space="preserve">2023 </w:t>
      </w:r>
      <w:r w:rsidRPr="00142303">
        <w:rPr>
          <w:rFonts w:ascii="Baskerville Old Face" w:hAnsi="Baskerville Old Face"/>
          <w:b/>
          <w:bCs/>
          <w:i/>
          <w:iCs/>
          <w:sz w:val="24"/>
          <w:szCs w:val="24"/>
          <w:lang w:val="en-GB"/>
        </w:rPr>
        <w:t xml:space="preserve">NRA Operational Plan </w:t>
      </w:r>
      <w:r w:rsidRPr="00923771">
        <w:rPr>
          <w:rFonts w:ascii="Baskerville Old Face" w:hAnsi="Baskerville Old Face"/>
          <w:b/>
          <w:bCs/>
          <w:i/>
          <w:iCs/>
          <w:sz w:val="24"/>
          <w:szCs w:val="24"/>
          <w:lang w:val="en-GB"/>
        </w:rPr>
        <w:t xml:space="preserve">Activities </w:t>
      </w:r>
      <w:r w:rsidRPr="00142303">
        <w:rPr>
          <w:rFonts w:ascii="Baskerville Old Face" w:hAnsi="Baskerville Old Face"/>
          <w:b/>
          <w:bCs/>
          <w:i/>
          <w:iCs/>
          <w:sz w:val="24"/>
          <w:szCs w:val="24"/>
          <w:lang w:val="en-GB"/>
        </w:rPr>
        <w:t>Analysis</w:t>
      </w:r>
    </w:p>
    <w:tbl>
      <w:tblPr>
        <w:tblStyle w:val="GridTable4-Accent6"/>
        <w:tblW w:w="0" w:type="auto"/>
        <w:tblLook w:val="04A0" w:firstRow="1" w:lastRow="0" w:firstColumn="1" w:lastColumn="0" w:noHBand="0" w:noVBand="1"/>
      </w:tblPr>
      <w:tblGrid>
        <w:gridCol w:w="2551"/>
        <w:gridCol w:w="807"/>
        <w:gridCol w:w="807"/>
        <w:gridCol w:w="807"/>
        <w:gridCol w:w="807"/>
        <w:gridCol w:w="807"/>
        <w:gridCol w:w="807"/>
        <w:gridCol w:w="686"/>
        <w:gridCol w:w="866"/>
      </w:tblGrid>
      <w:tr w:rsidR="00923771" w:rsidRPr="00694ACE" w14:paraId="455A400E" w14:textId="77777777" w:rsidTr="003265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bookmarkEnd w:id="12"/>
          <w:p w14:paraId="151704ED" w14:textId="77777777" w:rsidR="00923771" w:rsidRPr="00694ACE" w:rsidRDefault="00923771" w:rsidP="00E476EF">
            <w:pPr>
              <w:jc w:val="both"/>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Activity Status</w:t>
            </w:r>
          </w:p>
        </w:tc>
        <w:tc>
          <w:tcPr>
            <w:tcW w:w="0" w:type="auto"/>
            <w:noWrap/>
            <w:hideMark/>
          </w:tcPr>
          <w:p w14:paraId="2F24B34B"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1</w:t>
            </w:r>
          </w:p>
        </w:tc>
        <w:tc>
          <w:tcPr>
            <w:tcW w:w="0" w:type="auto"/>
            <w:noWrap/>
            <w:hideMark/>
          </w:tcPr>
          <w:p w14:paraId="2DFF0AC1"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2</w:t>
            </w:r>
          </w:p>
        </w:tc>
        <w:tc>
          <w:tcPr>
            <w:tcW w:w="0" w:type="auto"/>
            <w:noWrap/>
            <w:hideMark/>
          </w:tcPr>
          <w:p w14:paraId="2C4C6508"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3</w:t>
            </w:r>
          </w:p>
        </w:tc>
        <w:tc>
          <w:tcPr>
            <w:tcW w:w="0" w:type="auto"/>
            <w:noWrap/>
            <w:hideMark/>
          </w:tcPr>
          <w:p w14:paraId="09CCB25C"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4</w:t>
            </w:r>
          </w:p>
        </w:tc>
        <w:tc>
          <w:tcPr>
            <w:tcW w:w="0" w:type="auto"/>
            <w:noWrap/>
            <w:hideMark/>
          </w:tcPr>
          <w:p w14:paraId="0CE32DB8"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5</w:t>
            </w:r>
          </w:p>
        </w:tc>
        <w:tc>
          <w:tcPr>
            <w:tcW w:w="0" w:type="auto"/>
            <w:noWrap/>
            <w:hideMark/>
          </w:tcPr>
          <w:p w14:paraId="025DAB76"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Goal 6</w:t>
            </w:r>
          </w:p>
        </w:tc>
        <w:tc>
          <w:tcPr>
            <w:tcW w:w="0" w:type="auto"/>
            <w:noWrap/>
            <w:hideMark/>
          </w:tcPr>
          <w:p w14:paraId="5E878982"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Total</w:t>
            </w:r>
          </w:p>
        </w:tc>
        <w:tc>
          <w:tcPr>
            <w:tcW w:w="0" w:type="auto"/>
            <w:noWrap/>
            <w:hideMark/>
          </w:tcPr>
          <w:p w14:paraId="10B3308D" w14:textId="77777777" w:rsidR="00923771" w:rsidRPr="00694ACE" w:rsidRDefault="00923771" w:rsidP="00E476EF">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Share</w:t>
            </w:r>
          </w:p>
        </w:tc>
      </w:tr>
      <w:tr w:rsidR="00923771" w:rsidRPr="00694ACE" w14:paraId="03E03693"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25820B8" w14:textId="77777777" w:rsidR="00923771" w:rsidRPr="005343BD" w:rsidRDefault="00923771" w:rsidP="00E476EF">
            <w:pPr>
              <w:jc w:val="both"/>
              <w:rPr>
                <w:rFonts w:ascii="Baskerville Old Face" w:eastAsia="Times New Roman" w:hAnsi="Baskerville Old Face" w:cs="Calibri"/>
                <w:b w:val="0"/>
                <w:bCs w:val="0"/>
                <w:color w:val="000000"/>
                <w:kern w:val="0"/>
                <w14:ligatures w14:val="none"/>
              </w:rPr>
            </w:pPr>
            <w:r w:rsidRPr="005343BD">
              <w:rPr>
                <w:rFonts w:ascii="Baskerville Old Face" w:eastAsia="Times New Roman" w:hAnsi="Baskerville Old Face" w:cs="Calibri"/>
                <w:b w:val="0"/>
                <w:bCs w:val="0"/>
                <w:kern w:val="0"/>
                <w:lang w:val="en-GB"/>
                <w14:ligatures w14:val="none"/>
              </w:rPr>
              <w:t>Completed Activities</w:t>
            </w:r>
          </w:p>
        </w:tc>
        <w:tc>
          <w:tcPr>
            <w:tcW w:w="0" w:type="auto"/>
            <w:noWrap/>
            <w:hideMark/>
          </w:tcPr>
          <w:p w14:paraId="79EBFF31"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16</w:t>
            </w:r>
          </w:p>
        </w:tc>
        <w:tc>
          <w:tcPr>
            <w:tcW w:w="0" w:type="auto"/>
            <w:noWrap/>
            <w:hideMark/>
          </w:tcPr>
          <w:p w14:paraId="6DA9FE86"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13</w:t>
            </w:r>
          </w:p>
        </w:tc>
        <w:tc>
          <w:tcPr>
            <w:tcW w:w="0" w:type="auto"/>
            <w:noWrap/>
            <w:hideMark/>
          </w:tcPr>
          <w:p w14:paraId="2D96411C"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784C8E55"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2BFD57CE"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w:t>
            </w:r>
          </w:p>
        </w:tc>
        <w:tc>
          <w:tcPr>
            <w:tcW w:w="0" w:type="auto"/>
            <w:noWrap/>
            <w:hideMark/>
          </w:tcPr>
          <w:p w14:paraId="311E364E"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12</w:t>
            </w:r>
          </w:p>
        </w:tc>
        <w:tc>
          <w:tcPr>
            <w:tcW w:w="0" w:type="auto"/>
            <w:noWrap/>
            <w:hideMark/>
          </w:tcPr>
          <w:p w14:paraId="6F161836"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53</w:t>
            </w:r>
          </w:p>
        </w:tc>
        <w:tc>
          <w:tcPr>
            <w:tcW w:w="0" w:type="auto"/>
            <w:noWrap/>
            <w:hideMark/>
          </w:tcPr>
          <w:p w14:paraId="3DABD391"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923771">
              <w:rPr>
                <w:rFonts w:ascii="Baskerville Old Face" w:hAnsi="Baskerville Old Face" w:cs="Calibri"/>
                <w:color w:val="000000"/>
                <w:lang w:val="en-GB"/>
              </w:rPr>
              <w:t>26.90%</w:t>
            </w:r>
          </w:p>
        </w:tc>
      </w:tr>
      <w:tr w:rsidR="00923771" w:rsidRPr="00694ACE" w14:paraId="16ABDB16"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B9A5129" w14:textId="77777777" w:rsidR="00923771" w:rsidRPr="00694ACE" w:rsidRDefault="00923771" w:rsidP="00E476EF">
            <w:pPr>
              <w:jc w:val="both"/>
              <w:rPr>
                <w:rFonts w:ascii="Baskerville Old Face" w:eastAsia="Times New Roman" w:hAnsi="Baskerville Old Face" w:cs="Calibri"/>
                <w:b w:val="0"/>
                <w:bCs w:val="0"/>
                <w:color w:val="000000"/>
                <w:kern w:val="0"/>
                <w14:ligatures w14:val="none"/>
              </w:rPr>
            </w:pPr>
            <w:r w:rsidRPr="00694ACE">
              <w:rPr>
                <w:rFonts w:ascii="Baskerville Old Face" w:eastAsia="Times New Roman" w:hAnsi="Baskerville Old Face" w:cs="Calibri"/>
                <w:b w:val="0"/>
                <w:bCs w:val="0"/>
                <w:kern w:val="0"/>
                <w:lang w:val="en-GB"/>
                <w14:ligatures w14:val="none"/>
              </w:rPr>
              <w:t>Partially achieved/Ongoing</w:t>
            </w:r>
          </w:p>
        </w:tc>
        <w:tc>
          <w:tcPr>
            <w:tcW w:w="0" w:type="auto"/>
            <w:noWrap/>
            <w:hideMark/>
          </w:tcPr>
          <w:p w14:paraId="7A286EBA"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27</w:t>
            </w:r>
          </w:p>
        </w:tc>
        <w:tc>
          <w:tcPr>
            <w:tcW w:w="0" w:type="auto"/>
            <w:noWrap/>
            <w:hideMark/>
          </w:tcPr>
          <w:p w14:paraId="7C2CD7CB"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21</w:t>
            </w:r>
          </w:p>
        </w:tc>
        <w:tc>
          <w:tcPr>
            <w:tcW w:w="0" w:type="auto"/>
            <w:noWrap/>
            <w:hideMark/>
          </w:tcPr>
          <w:p w14:paraId="5F5F7B42"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6D087E32"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13</w:t>
            </w:r>
          </w:p>
        </w:tc>
        <w:tc>
          <w:tcPr>
            <w:tcW w:w="0" w:type="auto"/>
            <w:noWrap/>
            <w:hideMark/>
          </w:tcPr>
          <w:p w14:paraId="79DE4197"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12</w:t>
            </w:r>
          </w:p>
        </w:tc>
        <w:tc>
          <w:tcPr>
            <w:tcW w:w="0" w:type="auto"/>
            <w:noWrap/>
            <w:hideMark/>
          </w:tcPr>
          <w:p w14:paraId="5E8740C1"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6</w:t>
            </w:r>
          </w:p>
        </w:tc>
        <w:tc>
          <w:tcPr>
            <w:tcW w:w="0" w:type="auto"/>
            <w:noWrap/>
            <w:hideMark/>
          </w:tcPr>
          <w:p w14:paraId="05CC128B"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84</w:t>
            </w:r>
          </w:p>
        </w:tc>
        <w:tc>
          <w:tcPr>
            <w:tcW w:w="0" w:type="auto"/>
            <w:noWrap/>
            <w:hideMark/>
          </w:tcPr>
          <w:p w14:paraId="00F01D97"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923771">
              <w:rPr>
                <w:rFonts w:ascii="Baskerville Old Face" w:hAnsi="Baskerville Old Face" w:cs="Calibri"/>
                <w:color w:val="000000"/>
                <w:lang w:val="en-GB"/>
              </w:rPr>
              <w:t>42.64%</w:t>
            </w:r>
          </w:p>
        </w:tc>
      </w:tr>
      <w:tr w:rsidR="00923771" w:rsidRPr="00694ACE" w14:paraId="62E7F3F1" w14:textId="77777777" w:rsidTr="00326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009B6E" w14:textId="77777777" w:rsidR="00923771" w:rsidRPr="00694ACE" w:rsidRDefault="00923771" w:rsidP="00E476EF">
            <w:pPr>
              <w:jc w:val="both"/>
              <w:rPr>
                <w:rFonts w:ascii="Baskerville Old Face" w:eastAsia="Times New Roman" w:hAnsi="Baskerville Old Face" w:cs="Calibri"/>
                <w:b w:val="0"/>
                <w:bCs w:val="0"/>
                <w:color w:val="000000"/>
                <w:kern w:val="0"/>
                <w14:ligatures w14:val="none"/>
              </w:rPr>
            </w:pPr>
            <w:r w:rsidRPr="00694ACE">
              <w:rPr>
                <w:rFonts w:ascii="Baskerville Old Face" w:eastAsia="Times New Roman" w:hAnsi="Baskerville Old Face" w:cs="Calibri"/>
                <w:b w:val="0"/>
                <w:bCs w:val="0"/>
                <w:kern w:val="0"/>
                <w:lang w:val="en-GB"/>
                <w14:ligatures w14:val="none"/>
              </w:rPr>
              <w:t xml:space="preserve">Not Done </w:t>
            </w:r>
          </w:p>
        </w:tc>
        <w:tc>
          <w:tcPr>
            <w:tcW w:w="0" w:type="auto"/>
            <w:noWrap/>
            <w:hideMark/>
          </w:tcPr>
          <w:p w14:paraId="6457B864"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14</w:t>
            </w:r>
          </w:p>
        </w:tc>
        <w:tc>
          <w:tcPr>
            <w:tcW w:w="0" w:type="auto"/>
            <w:noWrap/>
            <w:hideMark/>
          </w:tcPr>
          <w:p w14:paraId="1449CC5E"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17</w:t>
            </w:r>
          </w:p>
        </w:tc>
        <w:tc>
          <w:tcPr>
            <w:tcW w:w="0" w:type="auto"/>
            <w:noWrap/>
            <w:hideMark/>
          </w:tcPr>
          <w:p w14:paraId="6E31E52C"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3</w:t>
            </w:r>
          </w:p>
        </w:tc>
        <w:tc>
          <w:tcPr>
            <w:tcW w:w="0" w:type="auto"/>
            <w:noWrap/>
            <w:hideMark/>
          </w:tcPr>
          <w:p w14:paraId="0B31BD94"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1</w:t>
            </w:r>
          </w:p>
        </w:tc>
        <w:tc>
          <w:tcPr>
            <w:tcW w:w="0" w:type="auto"/>
            <w:noWrap/>
            <w:hideMark/>
          </w:tcPr>
          <w:p w14:paraId="0E427C29"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5</w:t>
            </w:r>
          </w:p>
        </w:tc>
        <w:tc>
          <w:tcPr>
            <w:tcW w:w="0" w:type="auto"/>
            <w:noWrap/>
            <w:hideMark/>
          </w:tcPr>
          <w:p w14:paraId="27A1D683"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20</w:t>
            </w:r>
          </w:p>
        </w:tc>
        <w:tc>
          <w:tcPr>
            <w:tcW w:w="0" w:type="auto"/>
            <w:noWrap/>
            <w:hideMark/>
          </w:tcPr>
          <w:p w14:paraId="06AF1A1D"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60</w:t>
            </w:r>
          </w:p>
        </w:tc>
        <w:tc>
          <w:tcPr>
            <w:tcW w:w="0" w:type="auto"/>
            <w:noWrap/>
            <w:hideMark/>
          </w:tcPr>
          <w:p w14:paraId="068978B2" w14:textId="77777777" w:rsidR="00923771" w:rsidRPr="00694ACE" w:rsidRDefault="00923771" w:rsidP="00E476EF">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923771">
              <w:rPr>
                <w:rFonts w:ascii="Baskerville Old Face" w:hAnsi="Baskerville Old Face" w:cs="Calibri"/>
                <w:color w:val="000000"/>
                <w:lang w:val="en-GB"/>
              </w:rPr>
              <w:t>30.46%</w:t>
            </w:r>
          </w:p>
        </w:tc>
      </w:tr>
      <w:tr w:rsidR="00923771" w:rsidRPr="00694ACE" w14:paraId="194ABF15" w14:textId="77777777" w:rsidTr="003265AC">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8655FD" w14:textId="4D43B2BE" w:rsidR="00923771" w:rsidRPr="00694ACE" w:rsidRDefault="00923771" w:rsidP="00E476EF">
            <w:pPr>
              <w:jc w:val="both"/>
              <w:rPr>
                <w:rFonts w:ascii="Baskerville Old Face" w:eastAsia="Times New Roman" w:hAnsi="Baskerville Old Face" w:cs="Calibri"/>
                <w:color w:val="000000"/>
                <w:kern w:val="0"/>
                <w14:ligatures w14:val="none"/>
              </w:rPr>
            </w:pPr>
            <w:r w:rsidRPr="00694ACE">
              <w:rPr>
                <w:rFonts w:ascii="Baskerville Old Face" w:eastAsia="Times New Roman" w:hAnsi="Baskerville Old Face" w:cs="Calibri"/>
                <w:kern w:val="0"/>
                <w:lang w:val="en-GB"/>
                <w14:ligatures w14:val="none"/>
              </w:rPr>
              <w:t>T</w:t>
            </w:r>
            <w:r>
              <w:rPr>
                <w:rFonts w:ascii="Baskerville Old Face" w:eastAsia="Times New Roman" w:hAnsi="Baskerville Old Face" w:cs="Calibri"/>
                <w:kern w:val="0"/>
                <w:lang w:val="en-GB"/>
                <w14:ligatures w14:val="none"/>
              </w:rPr>
              <w:t>OTAL</w:t>
            </w:r>
          </w:p>
        </w:tc>
        <w:tc>
          <w:tcPr>
            <w:tcW w:w="0" w:type="auto"/>
            <w:noWrap/>
            <w:hideMark/>
          </w:tcPr>
          <w:p w14:paraId="779DCB42"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57</w:t>
            </w:r>
          </w:p>
        </w:tc>
        <w:tc>
          <w:tcPr>
            <w:tcW w:w="0" w:type="auto"/>
            <w:noWrap/>
            <w:hideMark/>
          </w:tcPr>
          <w:p w14:paraId="7B8BA905"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51</w:t>
            </w:r>
          </w:p>
        </w:tc>
        <w:tc>
          <w:tcPr>
            <w:tcW w:w="0" w:type="auto"/>
            <w:noWrap/>
            <w:hideMark/>
          </w:tcPr>
          <w:p w14:paraId="37E0235F"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13</w:t>
            </w:r>
          </w:p>
        </w:tc>
        <w:tc>
          <w:tcPr>
            <w:tcW w:w="0" w:type="auto"/>
            <w:noWrap/>
            <w:hideMark/>
          </w:tcPr>
          <w:p w14:paraId="2CB9C569"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19</w:t>
            </w:r>
          </w:p>
        </w:tc>
        <w:tc>
          <w:tcPr>
            <w:tcW w:w="0" w:type="auto"/>
            <w:noWrap/>
            <w:hideMark/>
          </w:tcPr>
          <w:p w14:paraId="6DD71513"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19</w:t>
            </w:r>
          </w:p>
        </w:tc>
        <w:tc>
          <w:tcPr>
            <w:tcW w:w="0" w:type="auto"/>
            <w:noWrap/>
            <w:hideMark/>
          </w:tcPr>
          <w:p w14:paraId="6F506220"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38</w:t>
            </w:r>
          </w:p>
        </w:tc>
        <w:tc>
          <w:tcPr>
            <w:tcW w:w="0" w:type="auto"/>
            <w:noWrap/>
            <w:hideMark/>
          </w:tcPr>
          <w:p w14:paraId="79D158F0"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197</w:t>
            </w:r>
          </w:p>
        </w:tc>
        <w:tc>
          <w:tcPr>
            <w:tcW w:w="0" w:type="auto"/>
            <w:noWrap/>
            <w:hideMark/>
          </w:tcPr>
          <w:p w14:paraId="6F4DDE01" w14:textId="77777777" w:rsidR="00923771" w:rsidRPr="00694ACE" w:rsidRDefault="00923771" w:rsidP="00E476EF">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694ACE">
              <w:rPr>
                <w:rFonts w:ascii="Baskerville Old Face" w:eastAsia="Times New Roman" w:hAnsi="Baskerville Old Face" w:cs="Calibri"/>
                <w:b/>
                <w:bCs/>
                <w:color w:val="000000"/>
                <w:kern w:val="0"/>
                <w14:ligatures w14:val="none"/>
              </w:rPr>
              <w:t>100%</w:t>
            </w:r>
          </w:p>
        </w:tc>
      </w:tr>
    </w:tbl>
    <w:p w14:paraId="0FAD1AA4" w14:textId="77777777" w:rsidR="00923771" w:rsidRPr="00923771" w:rsidRDefault="00923771" w:rsidP="00923771">
      <w:pPr>
        <w:rPr>
          <w:rFonts w:ascii="Baskerville Old Face" w:hAnsi="Baskerville Old Face"/>
          <w:i/>
          <w:iCs/>
          <w:sz w:val="18"/>
          <w:szCs w:val="18"/>
        </w:rPr>
      </w:pPr>
      <w:r w:rsidRPr="00923771">
        <w:rPr>
          <w:rFonts w:ascii="Baskerville Old Face" w:hAnsi="Baskerville Old Face"/>
          <w:i/>
          <w:iCs/>
          <w:sz w:val="18"/>
          <w:szCs w:val="18"/>
        </w:rPr>
        <w:t>Source: MRP Department</w:t>
      </w:r>
    </w:p>
    <w:p w14:paraId="5645A346" w14:textId="126B8511" w:rsidR="00923771" w:rsidRDefault="00923771" w:rsidP="00923771">
      <w:pPr>
        <w:spacing w:line="360" w:lineRule="auto"/>
        <w:jc w:val="both"/>
        <w:rPr>
          <w:rFonts w:ascii="Baskerville Old Face" w:hAnsi="Baskerville Old Face"/>
          <w:sz w:val="24"/>
          <w:szCs w:val="24"/>
        </w:rPr>
      </w:pPr>
      <w:r w:rsidRPr="00193742">
        <w:rPr>
          <w:rFonts w:ascii="Baskerville Old Face" w:hAnsi="Baskerville Old Face"/>
          <w:sz w:val="24"/>
          <w:szCs w:val="24"/>
        </w:rPr>
        <w:t xml:space="preserve">An assessment of departmental performance (Table </w:t>
      </w:r>
      <w:r w:rsidR="00AE004F" w:rsidRPr="00193742">
        <w:rPr>
          <w:rFonts w:ascii="Baskerville Old Face" w:hAnsi="Baskerville Old Face"/>
          <w:sz w:val="24"/>
          <w:szCs w:val="24"/>
        </w:rPr>
        <w:t>1</w:t>
      </w:r>
      <w:r w:rsidRPr="00193742">
        <w:rPr>
          <w:rFonts w:ascii="Baskerville Old Face" w:hAnsi="Baskerville Old Face"/>
          <w:sz w:val="24"/>
          <w:szCs w:val="24"/>
        </w:rPr>
        <w:t>) underscores varying completion rates, with RIID recording the highest at 52.9%, followed by the MRP Department (5</w:t>
      </w:r>
      <w:r w:rsidR="00AE004F" w:rsidRPr="00193742">
        <w:rPr>
          <w:rFonts w:ascii="Baskerville Old Face" w:hAnsi="Baskerville Old Face"/>
          <w:sz w:val="24"/>
          <w:szCs w:val="24"/>
        </w:rPr>
        <w:t>1</w:t>
      </w:r>
      <w:r w:rsidRPr="00193742">
        <w:rPr>
          <w:rFonts w:ascii="Baskerville Old Face" w:hAnsi="Baskerville Old Face"/>
          <w:sz w:val="24"/>
          <w:szCs w:val="24"/>
        </w:rPr>
        <w:t>.</w:t>
      </w:r>
      <w:r w:rsidR="00AE004F" w:rsidRPr="00193742">
        <w:rPr>
          <w:rFonts w:ascii="Baskerville Old Face" w:hAnsi="Baskerville Old Face"/>
          <w:sz w:val="24"/>
          <w:szCs w:val="24"/>
        </w:rPr>
        <w:t>0</w:t>
      </w:r>
      <w:r w:rsidRPr="00193742">
        <w:rPr>
          <w:rFonts w:ascii="Baskerville Old Face" w:hAnsi="Baskerville Old Face"/>
          <w:sz w:val="24"/>
          <w:szCs w:val="24"/>
        </w:rPr>
        <w:t xml:space="preserve">%). It should be noted that some activities necessitate collaborative implementation involving multiple departments. </w:t>
      </w:r>
      <w:r w:rsidRPr="00193742">
        <w:rPr>
          <w:rFonts w:ascii="Baskerville Old Face" w:hAnsi="Baskerville Old Face"/>
          <w:sz w:val="24"/>
          <w:szCs w:val="24"/>
        </w:rPr>
        <w:lastRenderedPageBreak/>
        <w:t xml:space="preserve">Consequently, the total number of planned activities outlined in Table </w:t>
      </w:r>
      <w:r w:rsidR="00FA6465" w:rsidRPr="00193742">
        <w:rPr>
          <w:rFonts w:ascii="Baskerville Old Face" w:hAnsi="Baskerville Old Face"/>
          <w:sz w:val="24"/>
          <w:szCs w:val="24"/>
        </w:rPr>
        <w:t>2</w:t>
      </w:r>
      <w:r w:rsidRPr="00193742">
        <w:rPr>
          <w:rFonts w:ascii="Baskerville Old Face" w:hAnsi="Baskerville Old Face"/>
          <w:sz w:val="24"/>
          <w:szCs w:val="24"/>
        </w:rPr>
        <w:t xml:space="preserve"> (260) surpasses the figure indicated in Table </w:t>
      </w:r>
      <w:r w:rsidR="00FA6465" w:rsidRPr="00193742">
        <w:rPr>
          <w:rFonts w:ascii="Baskerville Old Face" w:hAnsi="Baskerville Old Face"/>
          <w:sz w:val="24"/>
          <w:szCs w:val="24"/>
        </w:rPr>
        <w:t xml:space="preserve">1 </w:t>
      </w:r>
      <w:r w:rsidRPr="00193742">
        <w:rPr>
          <w:rFonts w:ascii="Baskerville Old Face" w:hAnsi="Baskerville Old Face"/>
          <w:sz w:val="24"/>
          <w:szCs w:val="24"/>
        </w:rPr>
        <w:t xml:space="preserve">(197). </w:t>
      </w:r>
      <w:proofErr w:type="gramStart"/>
      <w:r w:rsidR="008F6321" w:rsidRPr="00193742">
        <w:rPr>
          <w:rFonts w:ascii="Baskerville Old Face" w:hAnsi="Baskerville Old Face"/>
          <w:sz w:val="24"/>
          <w:szCs w:val="24"/>
        </w:rPr>
        <w:t>It can be seen</w:t>
      </w:r>
      <w:r w:rsidRPr="00193742">
        <w:rPr>
          <w:rFonts w:ascii="Baskerville Old Face" w:hAnsi="Baskerville Old Face"/>
          <w:sz w:val="24"/>
          <w:szCs w:val="24"/>
        </w:rPr>
        <w:t xml:space="preserve"> that the</w:t>
      </w:r>
      <w:proofErr w:type="gramEnd"/>
      <w:r w:rsidRPr="00193742">
        <w:rPr>
          <w:rFonts w:ascii="Baskerville Old Face" w:hAnsi="Baskerville Old Face"/>
          <w:sz w:val="24"/>
          <w:szCs w:val="24"/>
        </w:rPr>
        <w:t xml:space="preserve"> distribution of activities for 2023 was not uniform. The MRP Department had the highest number of planned activities at 51, followed by L&amp;CSD with 36, the HR Department with 28</w:t>
      </w:r>
      <w:r w:rsidR="008F6321" w:rsidRPr="00193742">
        <w:rPr>
          <w:rFonts w:ascii="Baskerville Old Face" w:hAnsi="Baskerville Old Face"/>
          <w:sz w:val="24"/>
          <w:szCs w:val="24"/>
        </w:rPr>
        <w:t xml:space="preserve"> and then the DTD with 27.</w:t>
      </w:r>
    </w:p>
    <w:p w14:paraId="489587D3" w14:textId="312F10F5" w:rsidR="00923771" w:rsidRPr="00923771" w:rsidRDefault="00923771" w:rsidP="00923771">
      <w:pPr>
        <w:suppressAutoHyphens/>
        <w:autoSpaceDN w:val="0"/>
        <w:spacing w:line="240" w:lineRule="auto"/>
        <w:jc w:val="both"/>
        <w:rPr>
          <w:rFonts w:ascii="Baskerville Old Face" w:eastAsia="Calibri" w:hAnsi="Baskerville Old Face" w:cs="Times New Roman"/>
          <w:b/>
          <w:bCs/>
          <w:i/>
          <w:iCs/>
          <w:kern w:val="3"/>
          <w:sz w:val="24"/>
          <w:szCs w:val="24"/>
          <w:lang w:val="en-GB"/>
          <w14:ligatures w14:val="none"/>
        </w:rPr>
      </w:pPr>
      <w:bookmarkStart w:id="13" w:name="Table2"/>
      <w:r w:rsidRPr="00FA6465">
        <w:rPr>
          <w:rFonts w:ascii="Baskerville Old Face" w:eastAsia="Calibri" w:hAnsi="Baskerville Old Face" w:cs="Times New Roman"/>
          <w:b/>
          <w:bCs/>
          <w:i/>
          <w:iCs/>
          <w:kern w:val="3"/>
          <w:sz w:val="24"/>
          <w:szCs w:val="24"/>
          <w:lang w:val="en-GB"/>
          <w14:ligatures w14:val="none"/>
        </w:rPr>
        <w:t xml:space="preserve">Table </w:t>
      </w:r>
      <w:r w:rsidR="00FA6465">
        <w:rPr>
          <w:rFonts w:ascii="Baskerville Old Face" w:eastAsia="Calibri" w:hAnsi="Baskerville Old Face" w:cs="Times New Roman"/>
          <w:b/>
          <w:bCs/>
          <w:i/>
          <w:iCs/>
          <w:kern w:val="3"/>
          <w:sz w:val="24"/>
          <w:szCs w:val="24"/>
          <w:lang w:val="en-GB"/>
          <w14:ligatures w14:val="none"/>
        </w:rPr>
        <w:t>2</w:t>
      </w:r>
      <w:r w:rsidRPr="00923771">
        <w:rPr>
          <w:rFonts w:ascii="Baskerville Old Face" w:eastAsia="Calibri" w:hAnsi="Baskerville Old Face" w:cs="Times New Roman"/>
          <w:b/>
          <w:bCs/>
          <w:i/>
          <w:iCs/>
          <w:kern w:val="3"/>
          <w:sz w:val="24"/>
          <w:szCs w:val="24"/>
          <w:lang w:val="en-GB"/>
          <w14:ligatures w14:val="none"/>
        </w:rPr>
        <w:t>: Departmental analysis of the 2023 Operational Plan</w:t>
      </w:r>
    </w:p>
    <w:tbl>
      <w:tblPr>
        <w:tblStyle w:val="GridTable4-Accent4"/>
        <w:tblW w:w="0" w:type="auto"/>
        <w:tblInd w:w="-431" w:type="dxa"/>
        <w:tblLayout w:type="fixed"/>
        <w:tblLook w:val="04A0" w:firstRow="1" w:lastRow="0" w:firstColumn="1" w:lastColumn="0" w:noHBand="0" w:noVBand="1"/>
      </w:tblPr>
      <w:tblGrid>
        <w:gridCol w:w="1565"/>
        <w:gridCol w:w="1271"/>
        <w:gridCol w:w="1278"/>
        <w:gridCol w:w="1880"/>
        <w:gridCol w:w="2290"/>
        <w:gridCol w:w="1497"/>
      </w:tblGrid>
      <w:tr w:rsidR="00923771" w:rsidRPr="00E0054D" w14:paraId="5B9E7692" w14:textId="77777777" w:rsidTr="003265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5" w:type="dxa"/>
            <w:noWrap/>
            <w:hideMark/>
          </w:tcPr>
          <w:bookmarkEnd w:id="13"/>
          <w:p w14:paraId="2B8889DD" w14:textId="77777777" w:rsidR="00923771" w:rsidRPr="00E0054D" w:rsidRDefault="00923771" w:rsidP="00E476EF">
            <w:pPr>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Department</w:t>
            </w:r>
          </w:p>
        </w:tc>
        <w:tc>
          <w:tcPr>
            <w:tcW w:w="1271" w:type="dxa"/>
            <w:noWrap/>
            <w:hideMark/>
          </w:tcPr>
          <w:p w14:paraId="301D9F74"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Planned Activities</w:t>
            </w:r>
          </w:p>
        </w:tc>
        <w:tc>
          <w:tcPr>
            <w:tcW w:w="1278" w:type="dxa"/>
            <w:noWrap/>
            <w:hideMark/>
          </w:tcPr>
          <w:p w14:paraId="7B7AF982"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Completed Activities</w:t>
            </w:r>
          </w:p>
        </w:tc>
        <w:tc>
          <w:tcPr>
            <w:tcW w:w="1880" w:type="dxa"/>
            <w:noWrap/>
            <w:hideMark/>
          </w:tcPr>
          <w:p w14:paraId="37C2DE4C"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Percentage Completion</w:t>
            </w:r>
          </w:p>
        </w:tc>
        <w:tc>
          <w:tcPr>
            <w:tcW w:w="2290" w:type="dxa"/>
            <w:noWrap/>
            <w:hideMark/>
          </w:tcPr>
          <w:p w14:paraId="49D6DD01"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Partially Completed</w:t>
            </w:r>
            <w:r w:rsidRPr="00923771">
              <w:rPr>
                <w:rFonts w:ascii="Baskerville Old Face" w:eastAsia="Times New Roman" w:hAnsi="Baskerville Old Face" w:cs="Calibri"/>
                <w:color w:val="000000"/>
                <w:kern w:val="0"/>
                <w:lang w:val="en-GB"/>
                <w14:ligatures w14:val="none"/>
              </w:rPr>
              <w:t>/Ongoing</w:t>
            </w:r>
          </w:p>
        </w:tc>
        <w:tc>
          <w:tcPr>
            <w:tcW w:w="1497" w:type="dxa"/>
            <w:noWrap/>
            <w:hideMark/>
          </w:tcPr>
          <w:p w14:paraId="52E94F92" w14:textId="77777777" w:rsidR="00923771" w:rsidRPr="00E0054D" w:rsidRDefault="00923771" w:rsidP="00E476EF">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 xml:space="preserve">Not </w:t>
            </w:r>
            <w:r w:rsidRPr="00923771">
              <w:rPr>
                <w:rFonts w:ascii="Baskerville Old Face" w:eastAsia="Times New Roman" w:hAnsi="Baskerville Old Face" w:cs="Calibri"/>
                <w:color w:val="000000"/>
                <w:kern w:val="0"/>
                <w:lang w:val="en-GB"/>
                <w14:ligatures w14:val="none"/>
              </w:rPr>
              <w:t>Implemented</w:t>
            </w:r>
          </w:p>
        </w:tc>
      </w:tr>
      <w:tr w:rsidR="00923771" w:rsidRPr="00E0054D" w14:paraId="402CA707"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69379368" w14:textId="4394EB4F" w:rsidR="00923771" w:rsidRPr="00E273C3" w:rsidRDefault="00923771" w:rsidP="00E476EF">
            <w:pPr>
              <w:rPr>
                <w:rFonts w:ascii="Baskerville Old Face" w:eastAsia="Times New Roman" w:hAnsi="Baskerville Old Face" w:cs="Calibri"/>
                <w:b w:val="0"/>
                <w:bCs w:val="0"/>
                <w:color w:val="000000"/>
                <w:kern w:val="0"/>
                <w14:ligatures w14:val="none"/>
              </w:rPr>
            </w:pPr>
            <w:r w:rsidRPr="00E273C3">
              <w:rPr>
                <w:rFonts w:ascii="Baskerville Old Face" w:eastAsia="Times New Roman" w:hAnsi="Baskerville Old Face" w:cs="Calibri"/>
                <w:b w:val="0"/>
                <w:bCs w:val="0"/>
                <w:color w:val="000000"/>
                <w:kern w:val="0"/>
                <w:lang w:val="en-GB"/>
                <w14:ligatures w14:val="none"/>
              </w:rPr>
              <w:t>MRPD</w:t>
            </w:r>
          </w:p>
        </w:tc>
        <w:tc>
          <w:tcPr>
            <w:tcW w:w="1271" w:type="dxa"/>
            <w:noWrap/>
            <w:hideMark/>
          </w:tcPr>
          <w:p w14:paraId="141EEADB"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51</w:t>
            </w:r>
          </w:p>
        </w:tc>
        <w:tc>
          <w:tcPr>
            <w:tcW w:w="1278" w:type="dxa"/>
            <w:noWrap/>
            <w:hideMark/>
          </w:tcPr>
          <w:p w14:paraId="0124808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26</w:t>
            </w:r>
          </w:p>
        </w:tc>
        <w:tc>
          <w:tcPr>
            <w:tcW w:w="1880" w:type="dxa"/>
            <w:noWrap/>
            <w:hideMark/>
          </w:tcPr>
          <w:p w14:paraId="7063213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50.98%</w:t>
            </w:r>
          </w:p>
        </w:tc>
        <w:tc>
          <w:tcPr>
            <w:tcW w:w="2290" w:type="dxa"/>
            <w:noWrap/>
            <w:hideMark/>
          </w:tcPr>
          <w:p w14:paraId="25FD3B7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20</w:t>
            </w:r>
          </w:p>
        </w:tc>
        <w:tc>
          <w:tcPr>
            <w:tcW w:w="1497" w:type="dxa"/>
            <w:noWrap/>
            <w:hideMark/>
          </w:tcPr>
          <w:p w14:paraId="7EDEB0A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w:t>
            </w:r>
          </w:p>
        </w:tc>
      </w:tr>
      <w:tr w:rsidR="00923771" w:rsidRPr="00E0054D" w14:paraId="23A51D6E"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0C108ACB" w14:textId="43141861"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L</w:t>
            </w:r>
            <w:r>
              <w:rPr>
                <w:rFonts w:ascii="Baskerville Old Face" w:eastAsia="Times New Roman" w:hAnsi="Baskerville Old Face" w:cs="Calibri"/>
                <w:b w:val="0"/>
                <w:bCs w:val="0"/>
                <w:color w:val="000000"/>
                <w:kern w:val="0"/>
                <w:lang w:val="en-GB"/>
                <w14:ligatures w14:val="none"/>
              </w:rPr>
              <w:t>&amp;</w:t>
            </w:r>
            <w:r w:rsidRPr="00E0054D">
              <w:rPr>
                <w:rFonts w:ascii="Baskerville Old Face" w:eastAsia="Times New Roman" w:hAnsi="Baskerville Old Face" w:cs="Calibri"/>
                <w:b w:val="0"/>
                <w:bCs w:val="0"/>
                <w:color w:val="000000"/>
                <w:kern w:val="0"/>
                <w:lang w:val="en-GB"/>
                <w14:ligatures w14:val="none"/>
              </w:rPr>
              <w:t>CS</w:t>
            </w:r>
            <w:r>
              <w:rPr>
                <w:rFonts w:ascii="Baskerville Old Face" w:eastAsia="Times New Roman" w:hAnsi="Baskerville Old Face" w:cs="Calibri"/>
                <w:b w:val="0"/>
                <w:bCs w:val="0"/>
                <w:color w:val="000000"/>
                <w:kern w:val="0"/>
                <w:lang w:val="en-GB"/>
                <w14:ligatures w14:val="none"/>
              </w:rPr>
              <w:t>D</w:t>
            </w:r>
          </w:p>
        </w:tc>
        <w:tc>
          <w:tcPr>
            <w:tcW w:w="1271" w:type="dxa"/>
            <w:noWrap/>
            <w:hideMark/>
          </w:tcPr>
          <w:p w14:paraId="71A939A7"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36</w:t>
            </w:r>
          </w:p>
        </w:tc>
        <w:tc>
          <w:tcPr>
            <w:tcW w:w="1278" w:type="dxa"/>
            <w:noWrap/>
            <w:hideMark/>
          </w:tcPr>
          <w:p w14:paraId="0415A67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c>
          <w:tcPr>
            <w:tcW w:w="1880" w:type="dxa"/>
            <w:noWrap/>
            <w:hideMark/>
          </w:tcPr>
          <w:p w14:paraId="4D9F10BF"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19.44%</w:t>
            </w:r>
          </w:p>
        </w:tc>
        <w:tc>
          <w:tcPr>
            <w:tcW w:w="2290" w:type="dxa"/>
            <w:noWrap/>
            <w:hideMark/>
          </w:tcPr>
          <w:p w14:paraId="6A52451A"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497" w:type="dxa"/>
            <w:noWrap/>
            <w:hideMark/>
          </w:tcPr>
          <w:p w14:paraId="7131EEDA"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20</w:t>
            </w:r>
          </w:p>
        </w:tc>
      </w:tr>
      <w:tr w:rsidR="00923771" w:rsidRPr="00E0054D" w14:paraId="30B51829"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066BEBC" w14:textId="31F5F3C0"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HR</w:t>
            </w:r>
            <w:r>
              <w:rPr>
                <w:rFonts w:ascii="Baskerville Old Face" w:eastAsia="Times New Roman" w:hAnsi="Baskerville Old Face" w:cs="Calibri"/>
                <w:b w:val="0"/>
                <w:bCs w:val="0"/>
                <w:color w:val="000000"/>
                <w:kern w:val="0"/>
                <w:lang w:val="en-GB"/>
                <w14:ligatures w14:val="none"/>
              </w:rPr>
              <w:t>D</w:t>
            </w:r>
          </w:p>
        </w:tc>
        <w:tc>
          <w:tcPr>
            <w:tcW w:w="1271" w:type="dxa"/>
            <w:noWrap/>
            <w:hideMark/>
          </w:tcPr>
          <w:p w14:paraId="50AFE77F"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28</w:t>
            </w:r>
          </w:p>
        </w:tc>
        <w:tc>
          <w:tcPr>
            <w:tcW w:w="1278" w:type="dxa"/>
            <w:noWrap/>
            <w:hideMark/>
          </w:tcPr>
          <w:p w14:paraId="0750CBA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880" w:type="dxa"/>
            <w:noWrap/>
            <w:hideMark/>
          </w:tcPr>
          <w:p w14:paraId="41A0A6D2"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14.29%</w:t>
            </w:r>
          </w:p>
        </w:tc>
        <w:tc>
          <w:tcPr>
            <w:tcW w:w="2290" w:type="dxa"/>
            <w:noWrap/>
            <w:hideMark/>
          </w:tcPr>
          <w:p w14:paraId="4B2C9D2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13</w:t>
            </w:r>
          </w:p>
        </w:tc>
        <w:tc>
          <w:tcPr>
            <w:tcW w:w="1497" w:type="dxa"/>
            <w:noWrap/>
            <w:hideMark/>
          </w:tcPr>
          <w:p w14:paraId="0994E8D6"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w:t>
            </w:r>
          </w:p>
        </w:tc>
      </w:tr>
      <w:tr w:rsidR="00923771" w:rsidRPr="00E0054D" w14:paraId="1ACF29C6"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E6C9C23"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DTD</w:t>
            </w:r>
          </w:p>
        </w:tc>
        <w:tc>
          <w:tcPr>
            <w:tcW w:w="1271" w:type="dxa"/>
            <w:noWrap/>
            <w:hideMark/>
          </w:tcPr>
          <w:p w14:paraId="17AEA9E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27</w:t>
            </w:r>
          </w:p>
        </w:tc>
        <w:tc>
          <w:tcPr>
            <w:tcW w:w="1278" w:type="dxa"/>
            <w:noWrap/>
            <w:hideMark/>
          </w:tcPr>
          <w:p w14:paraId="22B7FB4D"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c>
          <w:tcPr>
            <w:tcW w:w="1880" w:type="dxa"/>
            <w:noWrap/>
            <w:hideMark/>
          </w:tcPr>
          <w:p w14:paraId="0730754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11.11%</w:t>
            </w:r>
          </w:p>
        </w:tc>
        <w:tc>
          <w:tcPr>
            <w:tcW w:w="2290" w:type="dxa"/>
            <w:noWrap/>
            <w:hideMark/>
          </w:tcPr>
          <w:p w14:paraId="69107A3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12</w:t>
            </w:r>
          </w:p>
        </w:tc>
        <w:tc>
          <w:tcPr>
            <w:tcW w:w="1497" w:type="dxa"/>
            <w:noWrap/>
            <w:hideMark/>
          </w:tcPr>
          <w:p w14:paraId="382C6944"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12</w:t>
            </w:r>
          </w:p>
        </w:tc>
      </w:tr>
      <w:tr w:rsidR="00923771" w:rsidRPr="00E0054D" w14:paraId="4DF0C983"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8826321"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CSD</w:t>
            </w:r>
          </w:p>
        </w:tc>
        <w:tc>
          <w:tcPr>
            <w:tcW w:w="1271" w:type="dxa"/>
            <w:noWrap/>
            <w:hideMark/>
          </w:tcPr>
          <w:p w14:paraId="5D21A66E"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24</w:t>
            </w:r>
          </w:p>
        </w:tc>
        <w:tc>
          <w:tcPr>
            <w:tcW w:w="1278" w:type="dxa"/>
            <w:noWrap/>
            <w:hideMark/>
          </w:tcPr>
          <w:p w14:paraId="6EFAA1B3"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c>
          <w:tcPr>
            <w:tcW w:w="1880" w:type="dxa"/>
            <w:noWrap/>
            <w:hideMark/>
          </w:tcPr>
          <w:p w14:paraId="201A44C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29.17%</w:t>
            </w:r>
          </w:p>
        </w:tc>
        <w:tc>
          <w:tcPr>
            <w:tcW w:w="2290" w:type="dxa"/>
            <w:noWrap/>
            <w:hideMark/>
          </w:tcPr>
          <w:p w14:paraId="2ACCED0B"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10</w:t>
            </w:r>
          </w:p>
        </w:tc>
        <w:tc>
          <w:tcPr>
            <w:tcW w:w="1497" w:type="dxa"/>
            <w:noWrap/>
            <w:hideMark/>
          </w:tcPr>
          <w:p w14:paraId="12AE90A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r>
      <w:tr w:rsidR="00923771" w:rsidRPr="00E0054D" w14:paraId="2BA59B0C"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96F74D1"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ICA</w:t>
            </w:r>
          </w:p>
        </w:tc>
        <w:tc>
          <w:tcPr>
            <w:tcW w:w="1271" w:type="dxa"/>
            <w:noWrap/>
            <w:hideMark/>
          </w:tcPr>
          <w:p w14:paraId="33E141AE"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18</w:t>
            </w:r>
          </w:p>
        </w:tc>
        <w:tc>
          <w:tcPr>
            <w:tcW w:w="1278" w:type="dxa"/>
            <w:noWrap/>
            <w:hideMark/>
          </w:tcPr>
          <w:p w14:paraId="63A17C3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880" w:type="dxa"/>
            <w:noWrap/>
            <w:hideMark/>
          </w:tcPr>
          <w:p w14:paraId="45261E5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22.22%</w:t>
            </w:r>
          </w:p>
        </w:tc>
        <w:tc>
          <w:tcPr>
            <w:tcW w:w="2290" w:type="dxa"/>
            <w:noWrap/>
            <w:hideMark/>
          </w:tcPr>
          <w:p w14:paraId="6266044E"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8</w:t>
            </w:r>
          </w:p>
        </w:tc>
        <w:tc>
          <w:tcPr>
            <w:tcW w:w="1497" w:type="dxa"/>
            <w:noWrap/>
            <w:hideMark/>
          </w:tcPr>
          <w:p w14:paraId="7EC02057"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6</w:t>
            </w:r>
          </w:p>
        </w:tc>
      </w:tr>
      <w:tr w:rsidR="00923771" w:rsidRPr="00E0054D" w14:paraId="4F876AD8"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0B39F580"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RIID</w:t>
            </w:r>
          </w:p>
        </w:tc>
        <w:tc>
          <w:tcPr>
            <w:tcW w:w="1271" w:type="dxa"/>
            <w:noWrap/>
            <w:hideMark/>
          </w:tcPr>
          <w:p w14:paraId="498BF6AE"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17</w:t>
            </w:r>
          </w:p>
        </w:tc>
        <w:tc>
          <w:tcPr>
            <w:tcW w:w="1278" w:type="dxa"/>
            <w:noWrap/>
            <w:hideMark/>
          </w:tcPr>
          <w:p w14:paraId="1983607B"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880" w:type="dxa"/>
            <w:noWrap/>
            <w:hideMark/>
          </w:tcPr>
          <w:p w14:paraId="60191E68"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52.94%</w:t>
            </w:r>
          </w:p>
        </w:tc>
        <w:tc>
          <w:tcPr>
            <w:tcW w:w="2290" w:type="dxa"/>
            <w:noWrap/>
            <w:hideMark/>
          </w:tcPr>
          <w:p w14:paraId="3EB05FD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w:t>
            </w:r>
          </w:p>
        </w:tc>
        <w:tc>
          <w:tcPr>
            <w:tcW w:w="1497" w:type="dxa"/>
            <w:noWrap/>
            <w:hideMark/>
          </w:tcPr>
          <w:p w14:paraId="0F5874D9"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r>
      <w:tr w:rsidR="00923771" w:rsidRPr="00E0054D" w14:paraId="442E95DC"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91ABB49"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NTRD</w:t>
            </w:r>
          </w:p>
        </w:tc>
        <w:tc>
          <w:tcPr>
            <w:tcW w:w="1271" w:type="dxa"/>
            <w:noWrap/>
            <w:hideMark/>
          </w:tcPr>
          <w:p w14:paraId="318F98B1"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15</w:t>
            </w:r>
          </w:p>
        </w:tc>
        <w:tc>
          <w:tcPr>
            <w:tcW w:w="1278" w:type="dxa"/>
            <w:noWrap/>
            <w:hideMark/>
          </w:tcPr>
          <w:p w14:paraId="6CE1887A"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w:t>
            </w:r>
          </w:p>
        </w:tc>
        <w:tc>
          <w:tcPr>
            <w:tcW w:w="1880" w:type="dxa"/>
            <w:noWrap/>
            <w:hideMark/>
          </w:tcPr>
          <w:p w14:paraId="233DA9C8"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33.33%</w:t>
            </w:r>
          </w:p>
        </w:tc>
        <w:tc>
          <w:tcPr>
            <w:tcW w:w="2290" w:type="dxa"/>
            <w:noWrap/>
            <w:hideMark/>
          </w:tcPr>
          <w:p w14:paraId="0FA72212"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497" w:type="dxa"/>
            <w:noWrap/>
            <w:hideMark/>
          </w:tcPr>
          <w:p w14:paraId="19D2B9CC"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w:t>
            </w:r>
          </w:p>
        </w:tc>
      </w:tr>
      <w:tr w:rsidR="00923771" w:rsidRPr="00E0054D" w14:paraId="54DE65CB"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4A37EF17" w14:textId="73FCF1B4"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A</w:t>
            </w:r>
            <w:r>
              <w:rPr>
                <w:rFonts w:ascii="Baskerville Old Face" w:eastAsia="Times New Roman" w:hAnsi="Baskerville Old Face" w:cs="Calibri"/>
                <w:b w:val="0"/>
                <w:bCs w:val="0"/>
                <w:color w:val="000000"/>
                <w:kern w:val="0"/>
                <w:lang w:val="en-GB"/>
                <w14:ligatures w14:val="none"/>
              </w:rPr>
              <w:t>DMIN</w:t>
            </w:r>
          </w:p>
        </w:tc>
        <w:tc>
          <w:tcPr>
            <w:tcW w:w="1271" w:type="dxa"/>
            <w:noWrap/>
            <w:hideMark/>
          </w:tcPr>
          <w:p w14:paraId="5EDC1AD9"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14</w:t>
            </w:r>
          </w:p>
        </w:tc>
        <w:tc>
          <w:tcPr>
            <w:tcW w:w="1278" w:type="dxa"/>
            <w:noWrap/>
            <w:hideMark/>
          </w:tcPr>
          <w:p w14:paraId="3CFEDA56"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c>
          <w:tcPr>
            <w:tcW w:w="1880" w:type="dxa"/>
            <w:noWrap/>
            <w:hideMark/>
          </w:tcPr>
          <w:p w14:paraId="180AF77A"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0.00%</w:t>
            </w:r>
          </w:p>
        </w:tc>
        <w:tc>
          <w:tcPr>
            <w:tcW w:w="2290" w:type="dxa"/>
            <w:noWrap/>
            <w:hideMark/>
          </w:tcPr>
          <w:p w14:paraId="77C4BBD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c>
          <w:tcPr>
            <w:tcW w:w="1497" w:type="dxa"/>
            <w:noWrap/>
            <w:hideMark/>
          </w:tcPr>
          <w:p w14:paraId="5166191E"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w:t>
            </w:r>
          </w:p>
        </w:tc>
      </w:tr>
      <w:tr w:rsidR="00923771" w:rsidRPr="00E0054D" w14:paraId="09B29E4E"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72F40B0A" w14:textId="74F8238B"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ICT</w:t>
            </w:r>
            <w:r>
              <w:rPr>
                <w:rFonts w:ascii="Baskerville Old Face" w:eastAsia="Times New Roman" w:hAnsi="Baskerville Old Face" w:cs="Calibri"/>
                <w:b w:val="0"/>
                <w:bCs w:val="0"/>
                <w:color w:val="000000"/>
                <w:kern w:val="0"/>
                <w:lang w:val="en-GB"/>
                <w14:ligatures w14:val="none"/>
              </w:rPr>
              <w:t>D</w:t>
            </w:r>
          </w:p>
        </w:tc>
        <w:tc>
          <w:tcPr>
            <w:tcW w:w="1271" w:type="dxa"/>
            <w:noWrap/>
            <w:hideMark/>
          </w:tcPr>
          <w:p w14:paraId="175866DC"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11</w:t>
            </w:r>
          </w:p>
        </w:tc>
        <w:tc>
          <w:tcPr>
            <w:tcW w:w="1278" w:type="dxa"/>
            <w:noWrap/>
            <w:hideMark/>
          </w:tcPr>
          <w:p w14:paraId="356ED2E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880" w:type="dxa"/>
            <w:noWrap/>
            <w:hideMark/>
          </w:tcPr>
          <w:p w14:paraId="779CA3C1"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18.18%</w:t>
            </w:r>
          </w:p>
        </w:tc>
        <w:tc>
          <w:tcPr>
            <w:tcW w:w="2290" w:type="dxa"/>
            <w:noWrap/>
            <w:hideMark/>
          </w:tcPr>
          <w:p w14:paraId="4F430EC9"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7</w:t>
            </w:r>
          </w:p>
        </w:tc>
        <w:tc>
          <w:tcPr>
            <w:tcW w:w="1497" w:type="dxa"/>
            <w:noWrap/>
            <w:hideMark/>
          </w:tcPr>
          <w:p w14:paraId="5A9B0F9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r>
      <w:tr w:rsidR="00923771" w:rsidRPr="00E0054D" w14:paraId="038206F8"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46FC684" w14:textId="1A92BD6C" w:rsidR="00923771" w:rsidRPr="00E0054D" w:rsidRDefault="00923771" w:rsidP="00E476EF">
            <w:pPr>
              <w:rPr>
                <w:rFonts w:ascii="Baskerville Old Face" w:eastAsia="Times New Roman" w:hAnsi="Baskerville Old Face" w:cs="Calibri"/>
                <w:b w:val="0"/>
                <w:bCs w:val="0"/>
                <w:color w:val="000000"/>
                <w:kern w:val="0"/>
                <w14:ligatures w14:val="none"/>
              </w:rPr>
            </w:pPr>
            <w:r>
              <w:rPr>
                <w:rFonts w:ascii="Baskerville Old Face" w:eastAsia="Times New Roman" w:hAnsi="Baskerville Old Face" w:cs="Calibri"/>
                <w:b w:val="0"/>
                <w:bCs w:val="0"/>
                <w:color w:val="000000"/>
                <w:kern w:val="0"/>
                <w:lang w:val="en-GB"/>
                <w14:ligatures w14:val="none"/>
              </w:rPr>
              <w:t>Welfare</w:t>
            </w:r>
          </w:p>
        </w:tc>
        <w:tc>
          <w:tcPr>
            <w:tcW w:w="1271" w:type="dxa"/>
            <w:noWrap/>
            <w:hideMark/>
          </w:tcPr>
          <w:p w14:paraId="6F1F87E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9</w:t>
            </w:r>
          </w:p>
        </w:tc>
        <w:tc>
          <w:tcPr>
            <w:tcW w:w="1278" w:type="dxa"/>
            <w:noWrap/>
            <w:hideMark/>
          </w:tcPr>
          <w:p w14:paraId="27AE5E0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880" w:type="dxa"/>
            <w:noWrap/>
            <w:hideMark/>
          </w:tcPr>
          <w:p w14:paraId="6758E3D0"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22.22%</w:t>
            </w:r>
          </w:p>
        </w:tc>
        <w:tc>
          <w:tcPr>
            <w:tcW w:w="2290" w:type="dxa"/>
            <w:noWrap/>
            <w:hideMark/>
          </w:tcPr>
          <w:p w14:paraId="58289D25"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497" w:type="dxa"/>
            <w:noWrap/>
            <w:hideMark/>
          </w:tcPr>
          <w:p w14:paraId="29217493"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3</w:t>
            </w:r>
          </w:p>
        </w:tc>
      </w:tr>
      <w:tr w:rsidR="00923771" w:rsidRPr="00E0054D" w14:paraId="1213BF06" w14:textId="77777777" w:rsidTr="003265AC">
        <w:trPr>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E520A39" w14:textId="77777777" w:rsidR="00923771" w:rsidRPr="00E0054D" w:rsidRDefault="00923771" w:rsidP="00E476EF">
            <w:pPr>
              <w:rPr>
                <w:rFonts w:ascii="Baskerville Old Face" w:eastAsia="Times New Roman" w:hAnsi="Baskerville Old Face" w:cs="Calibri"/>
                <w:b w:val="0"/>
                <w:bCs w:val="0"/>
                <w:color w:val="000000"/>
                <w:kern w:val="0"/>
                <w14:ligatures w14:val="none"/>
              </w:rPr>
            </w:pPr>
            <w:r w:rsidRPr="00E0054D">
              <w:rPr>
                <w:rFonts w:ascii="Baskerville Old Face" w:eastAsia="Times New Roman" w:hAnsi="Baskerville Old Face" w:cs="Calibri"/>
                <w:b w:val="0"/>
                <w:bCs w:val="0"/>
                <w:color w:val="000000"/>
                <w:kern w:val="0"/>
                <w:lang w:val="en-GB"/>
                <w14:ligatures w14:val="none"/>
              </w:rPr>
              <w:t>IAU</w:t>
            </w:r>
          </w:p>
        </w:tc>
        <w:tc>
          <w:tcPr>
            <w:tcW w:w="1271" w:type="dxa"/>
            <w:noWrap/>
            <w:hideMark/>
          </w:tcPr>
          <w:p w14:paraId="1C5EF40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6</w:t>
            </w:r>
          </w:p>
        </w:tc>
        <w:tc>
          <w:tcPr>
            <w:tcW w:w="1278" w:type="dxa"/>
            <w:noWrap/>
            <w:hideMark/>
          </w:tcPr>
          <w:p w14:paraId="01C4FA7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c>
          <w:tcPr>
            <w:tcW w:w="1880" w:type="dxa"/>
            <w:noWrap/>
            <w:hideMark/>
          </w:tcPr>
          <w:p w14:paraId="7CC9E1CC"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0.00%</w:t>
            </w:r>
          </w:p>
        </w:tc>
        <w:tc>
          <w:tcPr>
            <w:tcW w:w="2290" w:type="dxa"/>
            <w:noWrap/>
            <w:hideMark/>
          </w:tcPr>
          <w:p w14:paraId="67E85A40"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6</w:t>
            </w:r>
          </w:p>
        </w:tc>
        <w:tc>
          <w:tcPr>
            <w:tcW w:w="1497" w:type="dxa"/>
            <w:noWrap/>
            <w:hideMark/>
          </w:tcPr>
          <w:p w14:paraId="57DB45DB" w14:textId="77777777" w:rsidR="00923771" w:rsidRPr="00E0054D"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r>
      <w:tr w:rsidR="00923771" w:rsidRPr="00E0054D" w14:paraId="38D6C015" w14:textId="77777777" w:rsidTr="003265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5" w:type="dxa"/>
            <w:noWrap/>
            <w:hideMark/>
          </w:tcPr>
          <w:p w14:paraId="1A940234" w14:textId="1DCE4FD1" w:rsidR="00923771" w:rsidRPr="00E0054D" w:rsidRDefault="00923771" w:rsidP="00E476EF">
            <w:pPr>
              <w:rPr>
                <w:rFonts w:ascii="Baskerville Old Face" w:eastAsia="Times New Roman" w:hAnsi="Baskerville Old Face" w:cs="Calibri"/>
                <w:b w:val="0"/>
                <w:bCs w:val="0"/>
                <w:color w:val="000000"/>
                <w:kern w:val="0"/>
                <w14:ligatures w14:val="none"/>
              </w:rPr>
            </w:pPr>
            <w:r>
              <w:rPr>
                <w:rFonts w:ascii="Baskerville Old Face" w:eastAsia="Times New Roman" w:hAnsi="Baskerville Old Face" w:cs="Calibri"/>
                <w:b w:val="0"/>
                <w:bCs w:val="0"/>
                <w:color w:val="000000"/>
                <w:kern w:val="0"/>
                <w:lang w:val="en-GB"/>
                <w14:ligatures w14:val="none"/>
              </w:rPr>
              <w:t>Modernisation</w:t>
            </w:r>
          </w:p>
        </w:tc>
        <w:tc>
          <w:tcPr>
            <w:tcW w:w="1271" w:type="dxa"/>
            <w:noWrap/>
            <w:hideMark/>
          </w:tcPr>
          <w:p w14:paraId="3B254122"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4</w:t>
            </w:r>
          </w:p>
        </w:tc>
        <w:tc>
          <w:tcPr>
            <w:tcW w:w="1278" w:type="dxa"/>
            <w:noWrap/>
            <w:hideMark/>
          </w:tcPr>
          <w:p w14:paraId="1F4090B1"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880" w:type="dxa"/>
            <w:noWrap/>
            <w:hideMark/>
          </w:tcPr>
          <w:p w14:paraId="0AFB99E4"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50.00%</w:t>
            </w:r>
          </w:p>
        </w:tc>
        <w:tc>
          <w:tcPr>
            <w:tcW w:w="2290" w:type="dxa"/>
            <w:noWrap/>
            <w:hideMark/>
          </w:tcPr>
          <w:p w14:paraId="714B6D28"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2</w:t>
            </w:r>
          </w:p>
        </w:tc>
        <w:tc>
          <w:tcPr>
            <w:tcW w:w="1497" w:type="dxa"/>
            <w:noWrap/>
            <w:hideMark/>
          </w:tcPr>
          <w:p w14:paraId="75A7939C" w14:textId="77777777" w:rsidR="00923771" w:rsidRPr="00E0054D" w:rsidRDefault="00923771" w:rsidP="003265AC">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0</w:t>
            </w:r>
          </w:p>
        </w:tc>
      </w:tr>
      <w:tr w:rsidR="00923771" w:rsidRPr="00E0054D" w14:paraId="17F332EF" w14:textId="77777777" w:rsidTr="003265AC">
        <w:trPr>
          <w:trHeight w:val="300"/>
        </w:trPr>
        <w:tc>
          <w:tcPr>
            <w:cnfStyle w:val="001000000000" w:firstRow="0" w:lastRow="0" w:firstColumn="1" w:lastColumn="0" w:oddVBand="0" w:evenVBand="0" w:oddHBand="0" w:evenHBand="0" w:firstRowFirstColumn="0" w:firstRowLastColumn="0" w:lastRowFirstColumn="0" w:lastRowLastColumn="0"/>
            <w:tcW w:w="1565" w:type="dxa"/>
            <w:noWrap/>
            <w:hideMark/>
          </w:tcPr>
          <w:p w14:paraId="2193BB93" w14:textId="77777777" w:rsidR="00923771" w:rsidRPr="00E0054D" w:rsidRDefault="00923771" w:rsidP="00E476EF">
            <w:pPr>
              <w:rPr>
                <w:rFonts w:ascii="Baskerville Old Face" w:eastAsia="Times New Roman" w:hAnsi="Baskerville Old Face" w:cs="Calibri"/>
                <w:color w:val="000000"/>
                <w:kern w:val="0"/>
                <w14:ligatures w14:val="none"/>
              </w:rPr>
            </w:pPr>
            <w:r w:rsidRPr="00E0054D">
              <w:rPr>
                <w:rFonts w:ascii="Baskerville Old Face" w:eastAsia="Times New Roman" w:hAnsi="Baskerville Old Face" w:cs="Calibri"/>
                <w:color w:val="000000"/>
                <w:kern w:val="0"/>
                <w:lang w:val="en-GB"/>
                <w14:ligatures w14:val="none"/>
              </w:rPr>
              <w:t>TOTAL</w:t>
            </w:r>
          </w:p>
        </w:tc>
        <w:tc>
          <w:tcPr>
            <w:tcW w:w="1271" w:type="dxa"/>
            <w:noWrap/>
            <w:hideMark/>
          </w:tcPr>
          <w:p w14:paraId="3B8FB6FE"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260</w:t>
            </w:r>
          </w:p>
        </w:tc>
        <w:tc>
          <w:tcPr>
            <w:tcW w:w="1278" w:type="dxa"/>
            <w:noWrap/>
            <w:hideMark/>
          </w:tcPr>
          <w:p w14:paraId="136BF7C8"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71</w:t>
            </w:r>
          </w:p>
        </w:tc>
        <w:tc>
          <w:tcPr>
            <w:tcW w:w="1880" w:type="dxa"/>
            <w:noWrap/>
            <w:hideMark/>
          </w:tcPr>
          <w:p w14:paraId="300D6E67"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27.31%</w:t>
            </w:r>
          </w:p>
        </w:tc>
        <w:tc>
          <w:tcPr>
            <w:tcW w:w="2290" w:type="dxa"/>
            <w:noWrap/>
            <w:hideMark/>
          </w:tcPr>
          <w:p w14:paraId="0E51287B"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108</w:t>
            </w:r>
          </w:p>
        </w:tc>
        <w:tc>
          <w:tcPr>
            <w:tcW w:w="1497" w:type="dxa"/>
            <w:noWrap/>
            <w:hideMark/>
          </w:tcPr>
          <w:p w14:paraId="5A8ABFF6" w14:textId="77777777" w:rsidR="00923771" w:rsidRPr="00CA4B49" w:rsidRDefault="00923771" w:rsidP="003265AC">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CA4B49">
              <w:rPr>
                <w:rFonts w:ascii="Baskerville Old Face" w:eastAsia="Times New Roman" w:hAnsi="Baskerville Old Face" w:cs="Calibri"/>
                <w:b/>
                <w:bCs/>
                <w:color w:val="000000"/>
                <w:kern w:val="0"/>
                <w:lang w:val="en-GB"/>
                <w14:ligatures w14:val="none"/>
              </w:rPr>
              <w:t>81</w:t>
            </w:r>
          </w:p>
        </w:tc>
      </w:tr>
    </w:tbl>
    <w:p w14:paraId="67F5CA3F" w14:textId="1BD7DC80" w:rsidR="00923771" w:rsidRPr="00923771" w:rsidRDefault="00923771" w:rsidP="00923771">
      <w:pPr>
        <w:rPr>
          <w:rFonts w:ascii="Baskerville Old Face" w:hAnsi="Baskerville Old Face"/>
          <w:i/>
          <w:iCs/>
          <w:sz w:val="18"/>
          <w:szCs w:val="18"/>
        </w:rPr>
      </w:pPr>
      <w:r w:rsidRPr="00923771">
        <w:rPr>
          <w:rFonts w:ascii="Baskerville Old Face" w:hAnsi="Baskerville Old Face"/>
          <w:i/>
          <w:iCs/>
          <w:sz w:val="18"/>
          <w:szCs w:val="18"/>
        </w:rPr>
        <w:t>Source: MRP Department</w:t>
      </w:r>
    </w:p>
    <w:p w14:paraId="76EE5C7D" w14:textId="7005B519" w:rsidR="00923771" w:rsidRPr="00D84071" w:rsidRDefault="00923771" w:rsidP="00D84071">
      <w:pPr>
        <w:spacing w:line="360" w:lineRule="auto"/>
        <w:jc w:val="both"/>
        <w:rPr>
          <w:rFonts w:ascii="Baskerville Old Face" w:hAnsi="Baskerville Old Face"/>
          <w:sz w:val="24"/>
          <w:szCs w:val="24"/>
        </w:rPr>
      </w:pPr>
      <w:r w:rsidRPr="00923771">
        <w:rPr>
          <w:rFonts w:ascii="Baskerville Old Face" w:hAnsi="Baskerville Old Face"/>
          <w:sz w:val="24"/>
          <w:szCs w:val="24"/>
        </w:rPr>
        <w:t xml:space="preserve">Evaluation of KPIs for 2023 reveals that while the Authority met 11 KPIs and made progress on 12, it missed out on 3. However, updates on 27 KPIs (50.9% of the total) were unavailable. </w:t>
      </w:r>
    </w:p>
    <w:p w14:paraId="20E9D779" w14:textId="7BB39A89" w:rsidR="00DF44DD" w:rsidRDefault="0046423E" w:rsidP="0046423E">
      <w:pPr>
        <w:spacing w:line="360" w:lineRule="auto"/>
        <w:jc w:val="both"/>
        <w:rPr>
          <w:rFonts w:ascii="Baskerville Old Face" w:hAnsi="Baskerville Old Face" w:cs="Times New Roman"/>
          <w:sz w:val="24"/>
          <w:szCs w:val="24"/>
        </w:rPr>
      </w:pPr>
      <w:r w:rsidRPr="0046423E">
        <w:rPr>
          <w:rFonts w:ascii="Baskerville Old Face" w:hAnsi="Baskerville Old Face" w:cs="Times New Roman"/>
          <w:sz w:val="24"/>
          <w:szCs w:val="24"/>
        </w:rPr>
        <w:t xml:space="preserve">Numerous obstacles, stemming from both internal NRA dynamics and external </w:t>
      </w:r>
      <w:r>
        <w:rPr>
          <w:rFonts w:ascii="Baskerville Old Face" w:hAnsi="Baskerville Old Face" w:cs="Times New Roman"/>
          <w:sz w:val="24"/>
          <w:szCs w:val="24"/>
        </w:rPr>
        <w:t>factors</w:t>
      </w:r>
      <w:r w:rsidRPr="0046423E">
        <w:rPr>
          <w:rFonts w:ascii="Baskerville Old Face" w:hAnsi="Baskerville Old Face" w:cs="Times New Roman"/>
          <w:sz w:val="24"/>
          <w:szCs w:val="24"/>
        </w:rPr>
        <w:t xml:space="preserve">, impeded the seamless </w:t>
      </w:r>
      <w:r>
        <w:rPr>
          <w:rFonts w:ascii="Baskerville Old Face" w:hAnsi="Baskerville Old Face" w:cs="Times New Roman"/>
          <w:sz w:val="24"/>
          <w:szCs w:val="24"/>
        </w:rPr>
        <w:t>implementation</w:t>
      </w:r>
      <w:r w:rsidRPr="0046423E">
        <w:rPr>
          <w:rFonts w:ascii="Baskerville Old Face" w:hAnsi="Baskerville Old Face" w:cs="Times New Roman"/>
          <w:sz w:val="24"/>
          <w:szCs w:val="24"/>
        </w:rPr>
        <w:t xml:space="preserve"> of the Strategic Plan. </w:t>
      </w:r>
      <w:r w:rsidR="00DF44DD" w:rsidRPr="00DF44DD">
        <w:rPr>
          <w:rFonts w:ascii="Baskerville Old Face" w:hAnsi="Baskerville Old Face" w:cs="Times New Roman"/>
          <w:sz w:val="24"/>
          <w:szCs w:val="24"/>
        </w:rPr>
        <w:t xml:space="preserve">Internally, issues like </w:t>
      </w:r>
      <w:r w:rsidR="00DF44DD">
        <w:rPr>
          <w:rFonts w:ascii="Baskerville Old Face" w:hAnsi="Baskerville Old Face" w:cs="Times New Roman"/>
          <w:sz w:val="24"/>
          <w:szCs w:val="24"/>
        </w:rPr>
        <w:t>i</w:t>
      </w:r>
      <w:r w:rsidR="00DF44DD" w:rsidRPr="00DF44DD">
        <w:rPr>
          <w:rFonts w:ascii="Baskerville Old Face" w:hAnsi="Baskerville Old Face" w:cs="Times New Roman"/>
          <w:sz w:val="24"/>
          <w:szCs w:val="24"/>
        </w:rPr>
        <w:t>nadequate departmental budgetary allocation, delay in the procurement process, slow implementation of provisions in the 2023 Finance Act, and limited media and public outreach posed significant obstacles</w:t>
      </w:r>
      <w:r w:rsidR="00DF44DD">
        <w:rPr>
          <w:rFonts w:ascii="Baskerville Old Face" w:hAnsi="Baskerville Old Face" w:cs="Times New Roman"/>
          <w:sz w:val="24"/>
          <w:szCs w:val="24"/>
        </w:rPr>
        <w:t xml:space="preserve">. </w:t>
      </w:r>
      <w:r w:rsidR="00DF44DD" w:rsidRPr="00DF44DD">
        <w:rPr>
          <w:rFonts w:ascii="Baskerville Old Face" w:hAnsi="Baskerville Old Face" w:cs="Times New Roman"/>
          <w:sz w:val="24"/>
          <w:szCs w:val="24"/>
        </w:rPr>
        <w:t xml:space="preserve">Externally, factors such </w:t>
      </w:r>
      <w:r w:rsidR="008275CB">
        <w:rPr>
          <w:rFonts w:ascii="Baskerville Old Face" w:hAnsi="Baskerville Old Face" w:cs="Times New Roman"/>
          <w:sz w:val="24"/>
          <w:szCs w:val="24"/>
        </w:rPr>
        <w:t xml:space="preserve">as </w:t>
      </w:r>
      <w:r w:rsidR="00DF44DD">
        <w:rPr>
          <w:rFonts w:ascii="Baskerville Old Face" w:hAnsi="Baskerville Old Face" w:cs="Times New Roman"/>
          <w:sz w:val="24"/>
          <w:szCs w:val="24"/>
        </w:rPr>
        <w:t xml:space="preserve">the </w:t>
      </w:r>
      <w:r w:rsidR="008275CB">
        <w:rPr>
          <w:rFonts w:ascii="Baskerville Old Face" w:hAnsi="Baskerville Old Face" w:cs="Times New Roman"/>
          <w:sz w:val="24"/>
          <w:szCs w:val="24"/>
        </w:rPr>
        <w:t xml:space="preserve">2023 </w:t>
      </w:r>
      <w:r w:rsidRPr="0046423E">
        <w:rPr>
          <w:rFonts w:ascii="Baskerville Old Face" w:hAnsi="Baskerville Old Face" w:cs="Times New Roman"/>
          <w:sz w:val="24"/>
          <w:szCs w:val="24"/>
        </w:rPr>
        <w:t xml:space="preserve">national elections, administrative leadership changes within the NRA, demonstration by some quarters of the public, </w:t>
      </w:r>
      <w:r w:rsidR="00D84071">
        <w:rPr>
          <w:rFonts w:ascii="Baskerville Old Face" w:hAnsi="Baskerville Old Face" w:cs="Times New Roman"/>
          <w:sz w:val="24"/>
          <w:szCs w:val="24"/>
        </w:rPr>
        <w:t>the</w:t>
      </w:r>
      <w:r w:rsidRPr="0046423E">
        <w:rPr>
          <w:rFonts w:ascii="Baskerville Old Face" w:hAnsi="Baskerville Old Face" w:cs="Times New Roman"/>
          <w:sz w:val="24"/>
          <w:szCs w:val="24"/>
        </w:rPr>
        <w:t xml:space="preserve"> failed coup attempt, and security </w:t>
      </w:r>
      <w:r w:rsidR="00D84071">
        <w:rPr>
          <w:rFonts w:ascii="Baskerville Old Face" w:hAnsi="Baskerville Old Face" w:cs="Times New Roman"/>
          <w:sz w:val="24"/>
          <w:szCs w:val="24"/>
        </w:rPr>
        <w:t>concerns</w:t>
      </w:r>
      <w:r w:rsidR="00DF44DD">
        <w:rPr>
          <w:rFonts w:ascii="Baskerville Old Face" w:hAnsi="Baskerville Old Face" w:cs="Times New Roman"/>
          <w:sz w:val="24"/>
          <w:szCs w:val="24"/>
        </w:rPr>
        <w:t xml:space="preserve"> </w:t>
      </w:r>
      <w:r w:rsidR="00DF44DD" w:rsidRPr="00DF44DD">
        <w:rPr>
          <w:rFonts w:ascii="Baskerville Old Face" w:hAnsi="Baskerville Old Face" w:cs="Times New Roman"/>
          <w:sz w:val="24"/>
          <w:szCs w:val="24"/>
        </w:rPr>
        <w:t>further complicated the implementation of planned activities</w:t>
      </w:r>
      <w:r w:rsidR="00DF44DD">
        <w:rPr>
          <w:rFonts w:ascii="Baskerville Old Face" w:hAnsi="Baskerville Old Face" w:cs="Times New Roman"/>
          <w:sz w:val="24"/>
          <w:szCs w:val="24"/>
        </w:rPr>
        <w:t xml:space="preserve">. </w:t>
      </w:r>
    </w:p>
    <w:p w14:paraId="184FFB47" w14:textId="77777777" w:rsidR="00C47E14" w:rsidRDefault="00C47E14" w:rsidP="0046423E">
      <w:pPr>
        <w:spacing w:line="360" w:lineRule="auto"/>
        <w:jc w:val="both"/>
        <w:rPr>
          <w:rFonts w:ascii="Baskerville Old Face" w:hAnsi="Baskerville Old Face" w:cs="Times New Roman"/>
          <w:sz w:val="24"/>
          <w:szCs w:val="24"/>
        </w:rPr>
      </w:pPr>
    </w:p>
    <w:p w14:paraId="0C1DFF8D" w14:textId="77777777" w:rsidR="00B9492C" w:rsidRDefault="00B9492C" w:rsidP="004D5FD6">
      <w:pPr>
        <w:rPr>
          <w:rFonts w:ascii="Baskerville Old Face" w:hAnsi="Baskerville Old Face" w:cs="Times New Roman"/>
          <w:sz w:val="24"/>
          <w:szCs w:val="24"/>
        </w:rPr>
      </w:pPr>
    </w:p>
    <w:p w14:paraId="300607CD" w14:textId="77777777" w:rsidR="003F1A27" w:rsidRDefault="003F1A27" w:rsidP="004D5FD6">
      <w:pPr>
        <w:rPr>
          <w:rFonts w:ascii="Baskerville Old Face" w:hAnsi="Baskerville Old Face" w:cs="Times New Roman"/>
          <w:sz w:val="24"/>
          <w:szCs w:val="24"/>
        </w:rPr>
      </w:pPr>
    </w:p>
    <w:p w14:paraId="4D4680B4" w14:textId="5056B0E8" w:rsidR="006B6ADE" w:rsidRPr="00630F4F" w:rsidRDefault="00285F16" w:rsidP="00CA4B49">
      <w:pPr>
        <w:pStyle w:val="Heading1"/>
        <w:spacing w:before="240" w:after="240"/>
        <w:rPr>
          <w:color w:val="002060"/>
        </w:rPr>
      </w:pPr>
      <w:bookmarkStart w:id="14" w:name="_Toc198205659"/>
      <w:r w:rsidRPr="00630F4F">
        <w:rPr>
          <w:color w:val="002060"/>
        </w:rPr>
        <w:lastRenderedPageBreak/>
        <w:t>CHAPTER TWO</w:t>
      </w:r>
      <w:r w:rsidR="00F32446" w:rsidRPr="00630F4F">
        <w:rPr>
          <w:color w:val="002060"/>
        </w:rPr>
        <w:t xml:space="preserve">: </w:t>
      </w:r>
      <w:r w:rsidR="00C82318" w:rsidRPr="00630F4F">
        <w:rPr>
          <w:color w:val="002060"/>
        </w:rPr>
        <w:t>REVENUE AND DUTY-WAIVER PERFORMANCE</w:t>
      </w:r>
      <w:bookmarkEnd w:id="14"/>
    </w:p>
    <w:p w14:paraId="501A177E" w14:textId="02E40C9C" w:rsidR="002A15BC" w:rsidRPr="002A15BC" w:rsidRDefault="002A15BC" w:rsidP="002A15BC">
      <w:pPr>
        <w:spacing w:line="360" w:lineRule="auto"/>
        <w:jc w:val="both"/>
        <w:rPr>
          <w:rFonts w:ascii="Baskerville Old Face" w:hAnsi="Baskerville Old Face" w:cs="Times New Roman"/>
          <w:sz w:val="24"/>
          <w:szCs w:val="24"/>
        </w:rPr>
      </w:pPr>
      <w:r w:rsidRPr="002A15BC">
        <w:rPr>
          <w:rFonts w:ascii="Baskerville Old Face" w:hAnsi="Baskerville Old Face" w:cs="Times New Roman"/>
          <w:sz w:val="24"/>
          <w:szCs w:val="24"/>
        </w:rPr>
        <w:t xml:space="preserve">In this chapter, the performance of revenue and duty waivers is examined, covering various aspects. A comparative analysis of revenue performance between 2022 and 2023 is conducted, alongside an examination of quarterly revenue collection trends throughout the fiscal year. Additionally, the evaluation of revenue performance against targets and the exploration of challenges faced in revenue </w:t>
      </w:r>
      <w:proofErr w:type="spellStart"/>
      <w:r w:rsidRPr="002A15BC">
        <w:rPr>
          <w:rFonts w:ascii="Baskerville Old Face" w:hAnsi="Baskerville Old Face" w:cs="Times New Roman"/>
          <w:sz w:val="24"/>
          <w:szCs w:val="24"/>
        </w:rPr>
        <w:t>mobili</w:t>
      </w:r>
      <w:r w:rsidR="00EA6657">
        <w:rPr>
          <w:rFonts w:ascii="Baskerville Old Face" w:hAnsi="Baskerville Old Face" w:cs="Times New Roman"/>
          <w:sz w:val="24"/>
          <w:szCs w:val="24"/>
        </w:rPr>
        <w:t>s</w:t>
      </w:r>
      <w:r w:rsidRPr="002A15BC">
        <w:rPr>
          <w:rFonts w:ascii="Baskerville Old Face" w:hAnsi="Baskerville Old Face" w:cs="Times New Roman"/>
          <w:sz w:val="24"/>
          <w:szCs w:val="24"/>
        </w:rPr>
        <w:t>ation</w:t>
      </w:r>
      <w:proofErr w:type="spellEnd"/>
      <w:r w:rsidRPr="002A15BC">
        <w:rPr>
          <w:rFonts w:ascii="Baskerville Old Face" w:hAnsi="Baskerville Old Face" w:cs="Times New Roman"/>
          <w:sz w:val="24"/>
          <w:szCs w:val="24"/>
        </w:rPr>
        <w:t xml:space="preserve"> aim to unveil the underlying reasons for the observed performance. </w:t>
      </w:r>
    </w:p>
    <w:p w14:paraId="7BC8506C" w14:textId="4F67987A" w:rsidR="006B6ADE" w:rsidRPr="00285F16" w:rsidRDefault="002A15BC" w:rsidP="00D13994">
      <w:pPr>
        <w:spacing w:line="360" w:lineRule="auto"/>
        <w:jc w:val="both"/>
        <w:rPr>
          <w:rFonts w:ascii="Baskerville Old Face" w:hAnsi="Baskerville Old Face" w:cs="Times New Roman"/>
          <w:sz w:val="24"/>
          <w:szCs w:val="24"/>
        </w:rPr>
      </w:pPr>
      <w:r w:rsidRPr="002A15BC">
        <w:rPr>
          <w:rFonts w:ascii="Baskerville Old Face" w:hAnsi="Baskerville Old Face" w:cs="Times New Roman"/>
          <w:sz w:val="24"/>
          <w:szCs w:val="24"/>
        </w:rPr>
        <w:t xml:space="preserve">Furthermore, this chapter delves into a comparative analysis of duty-free performance between 2022 and 2023, identifying shifts and trends. To provide a comprehensive understanding, the 2023 revenue performance is </w:t>
      </w:r>
      <w:proofErr w:type="spellStart"/>
      <w:r w:rsidRPr="002A15BC">
        <w:rPr>
          <w:rFonts w:ascii="Baskerville Old Face" w:hAnsi="Baskerville Old Face" w:cs="Times New Roman"/>
          <w:sz w:val="24"/>
          <w:szCs w:val="24"/>
        </w:rPr>
        <w:t>contextuali</w:t>
      </w:r>
      <w:r w:rsidR="00F74994">
        <w:rPr>
          <w:rFonts w:ascii="Baskerville Old Face" w:hAnsi="Baskerville Old Face" w:cs="Times New Roman"/>
          <w:sz w:val="24"/>
          <w:szCs w:val="24"/>
        </w:rPr>
        <w:t>s</w:t>
      </w:r>
      <w:r w:rsidRPr="002A15BC">
        <w:rPr>
          <w:rFonts w:ascii="Baskerville Old Face" w:hAnsi="Baskerville Old Face" w:cs="Times New Roman"/>
          <w:sz w:val="24"/>
          <w:szCs w:val="24"/>
        </w:rPr>
        <w:t>ed</w:t>
      </w:r>
      <w:proofErr w:type="spellEnd"/>
      <w:r w:rsidRPr="002A15BC">
        <w:rPr>
          <w:rFonts w:ascii="Baskerville Old Face" w:hAnsi="Baskerville Old Face" w:cs="Times New Roman"/>
          <w:sz w:val="24"/>
          <w:szCs w:val="24"/>
        </w:rPr>
        <w:t xml:space="preserve"> within a broader historical perspective, assessing revenue performance </w:t>
      </w:r>
      <w:r w:rsidRPr="008C3D0F">
        <w:rPr>
          <w:rFonts w:ascii="Baskerville Old Face" w:hAnsi="Baskerville Old Face" w:cs="Times New Roman"/>
          <w:sz w:val="24"/>
          <w:szCs w:val="24"/>
        </w:rPr>
        <w:t>over the past five years</w:t>
      </w:r>
      <w:r w:rsidRPr="002A15BC">
        <w:rPr>
          <w:rFonts w:ascii="Baskerville Old Face" w:hAnsi="Baskerville Old Face" w:cs="Times New Roman"/>
          <w:sz w:val="24"/>
          <w:szCs w:val="24"/>
        </w:rPr>
        <w:t>.</w:t>
      </w:r>
    </w:p>
    <w:p w14:paraId="3B9D691C" w14:textId="5152C2D4" w:rsidR="00F72C71" w:rsidRPr="00630F4F" w:rsidRDefault="00630F4F" w:rsidP="00C2678A">
      <w:pPr>
        <w:pStyle w:val="Heading2"/>
        <w:rPr>
          <w:color w:val="002060"/>
        </w:rPr>
      </w:pPr>
      <w:bookmarkStart w:id="15" w:name="_Toc198205660"/>
      <w:r w:rsidRPr="00630F4F">
        <w:rPr>
          <w:color w:val="002060"/>
        </w:rPr>
        <w:t xml:space="preserve">2.0 </w:t>
      </w:r>
      <w:r w:rsidR="00F72C71" w:rsidRPr="00630F4F">
        <w:rPr>
          <w:color w:val="002060"/>
        </w:rPr>
        <w:t>OVERVIEW OF REVENUE TARGETS IN 2023</w:t>
      </w:r>
      <w:bookmarkEnd w:id="15"/>
    </w:p>
    <w:p w14:paraId="4B4C879F" w14:textId="77777777" w:rsidR="00C2678A" w:rsidRPr="00630F4F" w:rsidRDefault="00C2678A" w:rsidP="00F72C71">
      <w:pPr>
        <w:spacing w:line="360" w:lineRule="auto"/>
        <w:jc w:val="both"/>
        <w:rPr>
          <w:rFonts w:ascii="Baskerville Old Face" w:hAnsi="Baskerville Old Face" w:cs="Times New Roman"/>
          <w:color w:val="002060"/>
          <w:sz w:val="24"/>
          <w:szCs w:val="24"/>
        </w:rPr>
      </w:pPr>
    </w:p>
    <w:p w14:paraId="3992C127" w14:textId="5F2C8DE6" w:rsidR="00F72C71" w:rsidRPr="00285F16" w:rsidRDefault="00F72C71" w:rsidP="00F72C71">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In the original national budget speech of 2023 presented by the Minister of Finance, Parliament approved an annual revenue target of NLe9.346 billion.</w:t>
      </w:r>
    </w:p>
    <w:p w14:paraId="4E08C125" w14:textId="4C4F39CA" w:rsidR="00F72C71" w:rsidRPr="00285F16" w:rsidRDefault="00F72C71" w:rsidP="00F72C71">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Given the sixth &amp; seventh review of the country’s Extended Credit Facility (ECF) programme with the </w:t>
      </w:r>
      <w:r w:rsidR="00AA7712">
        <w:rPr>
          <w:rFonts w:ascii="Baskerville Old Face" w:hAnsi="Baskerville Old Face" w:cs="Times New Roman"/>
          <w:sz w:val="24"/>
          <w:szCs w:val="24"/>
        </w:rPr>
        <w:t>International Monetary Fund (</w:t>
      </w:r>
      <w:r w:rsidRPr="00285F16">
        <w:rPr>
          <w:rFonts w:ascii="Baskerville Old Face" w:hAnsi="Baskerville Old Face" w:cs="Times New Roman"/>
          <w:sz w:val="24"/>
          <w:szCs w:val="24"/>
        </w:rPr>
        <w:t>IMF</w:t>
      </w:r>
      <w:r w:rsidR="00AA7712">
        <w:rPr>
          <w:rFonts w:ascii="Baskerville Old Face" w:hAnsi="Baskerville Old Face" w:cs="Times New Roman"/>
          <w:sz w:val="24"/>
          <w:szCs w:val="24"/>
        </w:rPr>
        <w:t>)</w:t>
      </w:r>
      <w:r w:rsidRPr="00285F16">
        <w:rPr>
          <w:rFonts w:ascii="Baskerville Old Face" w:hAnsi="Baskerville Old Face" w:cs="Times New Roman"/>
          <w:sz w:val="24"/>
          <w:szCs w:val="24"/>
        </w:rPr>
        <w:t xml:space="preserve"> and following the presentation of a supplementary budget to parliament in early July 2023 following the end of national elections, the revenue target was revised upwards to NLe10.562 billion, representing an increase of NLe1.216 billion (or 13.0%). </w:t>
      </w:r>
    </w:p>
    <w:p w14:paraId="40E68953" w14:textId="77777777" w:rsidR="00F72C71" w:rsidRPr="00285F16" w:rsidRDefault="00F72C71" w:rsidP="00F72C71">
      <w:pPr>
        <w:jc w:val="both"/>
        <w:rPr>
          <w:rFonts w:ascii="Baskerville Old Face" w:hAnsi="Baskerville Old Face" w:cs="Times New Roman"/>
          <w:sz w:val="24"/>
          <w:szCs w:val="24"/>
        </w:rPr>
      </w:pPr>
      <w:r w:rsidRPr="00285F16">
        <w:rPr>
          <w:rFonts w:ascii="Baskerville Old Face" w:hAnsi="Baskerville Old Face" w:cs="Times New Roman"/>
          <w:sz w:val="24"/>
          <w:szCs w:val="24"/>
        </w:rPr>
        <w:t xml:space="preserve">The increase </w:t>
      </w:r>
      <w:proofErr w:type="gramStart"/>
      <w:r w:rsidRPr="00285F16">
        <w:rPr>
          <w:rFonts w:ascii="Baskerville Old Face" w:hAnsi="Baskerville Old Face" w:cs="Times New Roman"/>
          <w:sz w:val="24"/>
          <w:szCs w:val="24"/>
        </w:rPr>
        <w:t>of</w:t>
      </w:r>
      <w:proofErr w:type="gramEnd"/>
      <w:r w:rsidRPr="00285F16">
        <w:rPr>
          <w:rFonts w:ascii="Baskerville Old Face" w:hAnsi="Baskerville Old Face" w:cs="Times New Roman"/>
          <w:sz w:val="24"/>
          <w:szCs w:val="24"/>
        </w:rPr>
        <w:t xml:space="preserve"> the target was largely coming from:</w:t>
      </w:r>
    </w:p>
    <w:p w14:paraId="672F09AB" w14:textId="015ECE3A"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Implementation of the tax policy provisions of the Finance Act 2023</w:t>
      </w:r>
      <w:r w:rsidR="00CC1F67" w:rsidRPr="00285F16">
        <w:rPr>
          <w:rFonts w:ascii="Baskerville Old Face" w:hAnsi="Baskerville Old Face" w:cs="Times New Roman"/>
          <w:sz w:val="24"/>
          <w:szCs w:val="24"/>
        </w:rPr>
        <w:t xml:space="preserve">. </w:t>
      </w:r>
    </w:p>
    <w:p w14:paraId="1292E121" w14:textId="62F9F662"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Implementation of selected revenue administration reforms</w:t>
      </w:r>
      <w:r w:rsidR="00CC1F67" w:rsidRPr="00285F16">
        <w:rPr>
          <w:rFonts w:ascii="Baskerville Old Face" w:hAnsi="Baskerville Old Face" w:cs="Times New Roman"/>
          <w:sz w:val="24"/>
          <w:szCs w:val="24"/>
        </w:rPr>
        <w:t xml:space="preserve">. </w:t>
      </w:r>
    </w:p>
    <w:p w14:paraId="27D37A11" w14:textId="5852B938"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Upwardly</w:t>
      </w:r>
      <w:proofErr w:type="gramStart"/>
      <w:r w:rsidRPr="00285F16">
        <w:rPr>
          <w:rFonts w:ascii="Baskerville Old Face" w:hAnsi="Baskerville Old Face" w:cs="Times New Roman"/>
          <w:sz w:val="24"/>
          <w:szCs w:val="24"/>
        </w:rPr>
        <w:t xml:space="preserve"> revised GDP growth rates</w:t>
      </w:r>
      <w:proofErr w:type="gramEnd"/>
      <w:r w:rsidR="00CC1F67" w:rsidRPr="00285F16">
        <w:rPr>
          <w:rFonts w:ascii="Baskerville Old Face" w:hAnsi="Baskerville Old Face" w:cs="Times New Roman"/>
          <w:sz w:val="24"/>
          <w:szCs w:val="24"/>
        </w:rPr>
        <w:t xml:space="preserve">. </w:t>
      </w:r>
    </w:p>
    <w:p w14:paraId="76FEB829" w14:textId="03162ECC"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Reversal of the Sierra Rutile Reset agreement.</w:t>
      </w:r>
    </w:p>
    <w:p w14:paraId="24EC02DE" w14:textId="0D1451E7" w:rsidR="00F72C71" w:rsidRPr="00285F16" w:rsidRDefault="00F72C71">
      <w:pPr>
        <w:pStyle w:val="ListParagraph"/>
        <w:numPr>
          <w:ilvl w:val="0"/>
          <w:numId w:val="13"/>
        </w:num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Liberalisation of the petroleum pump prices starting in July 2023</w:t>
      </w:r>
      <w:r w:rsidR="00CC1F67" w:rsidRPr="00285F16">
        <w:rPr>
          <w:rFonts w:ascii="Baskerville Old Face" w:hAnsi="Baskerville Old Face" w:cs="Times New Roman"/>
          <w:sz w:val="24"/>
          <w:szCs w:val="24"/>
        </w:rPr>
        <w:t xml:space="preserve">. </w:t>
      </w:r>
    </w:p>
    <w:p w14:paraId="5CC0847B" w14:textId="4675BBB4" w:rsidR="00EB42B1" w:rsidRPr="003808E7" w:rsidRDefault="00F72C71" w:rsidP="003808E7">
      <w:pPr>
        <w:spacing w:line="360" w:lineRule="auto"/>
        <w:jc w:val="both"/>
        <w:rPr>
          <w:rFonts w:ascii="Baskerville Old Face" w:hAnsi="Baskerville Old Face" w:cs="Times New Roman"/>
          <w:sz w:val="24"/>
          <w:szCs w:val="24"/>
        </w:rPr>
      </w:pPr>
      <w:r w:rsidRPr="00285F16">
        <w:rPr>
          <w:rFonts w:ascii="Baskerville Old Face" w:hAnsi="Baskerville Old Face" w:cs="Times New Roman"/>
          <w:sz w:val="24"/>
          <w:szCs w:val="24"/>
        </w:rPr>
        <w:t>Following delays in</w:t>
      </w:r>
      <w:r w:rsidR="00CC1F67" w:rsidRPr="00285F16">
        <w:rPr>
          <w:rFonts w:ascii="Baskerville Old Face" w:hAnsi="Baskerville Old Face" w:cs="Times New Roman"/>
          <w:sz w:val="24"/>
          <w:szCs w:val="24"/>
        </w:rPr>
        <w:t xml:space="preserve"> the</w:t>
      </w:r>
      <w:r w:rsidRPr="00285F16">
        <w:rPr>
          <w:rFonts w:ascii="Baskerville Old Face" w:hAnsi="Baskerville Old Face" w:cs="Times New Roman"/>
          <w:sz w:val="24"/>
          <w:szCs w:val="24"/>
        </w:rPr>
        <w:t xml:space="preserve"> implementation of the Finance Act 2023 and other policy proposals that informed the increase in the supplementary budget target, the IMF, during the 8th and final review of the ECF programme estimated that domestic revenue by the end of 2023 would be NLe10.277 billion representing a reduction of NLe285 million largely on account of underperformance in CIT and petroleum revenues – RUC specifically.</w:t>
      </w:r>
    </w:p>
    <w:p w14:paraId="0B4251DF" w14:textId="75CB89A5" w:rsidR="006B6ADE" w:rsidRPr="00630F4F" w:rsidRDefault="00630F4F" w:rsidP="00C2678A">
      <w:pPr>
        <w:pStyle w:val="Heading2"/>
        <w:rPr>
          <w:color w:val="002060"/>
        </w:rPr>
      </w:pPr>
      <w:bookmarkStart w:id="16" w:name="_Toc198205661"/>
      <w:r w:rsidRPr="00630F4F">
        <w:rPr>
          <w:color w:val="002060"/>
        </w:rPr>
        <w:lastRenderedPageBreak/>
        <w:t xml:space="preserve">2.1 </w:t>
      </w:r>
      <w:r w:rsidR="006B6ADE" w:rsidRPr="00630F4F">
        <w:rPr>
          <w:color w:val="002060"/>
        </w:rPr>
        <w:t>REVENUE PERFORMANCE IN 2023</w:t>
      </w:r>
      <w:bookmarkEnd w:id="16"/>
    </w:p>
    <w:p w14:paraId="42AA755D" w14:textId="77777777" w:rsidR="00C2678A" w:rsidRPr="00C2678A" w:rsidRDefault="00C2678A" w:rsidP="00C2678A"/>
    <w:p w14:paraId="2F5B02A4" w14:textId="06A49F3B"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Baskerville Old Face" w:eastAsia="DengXian" w:hAnsi="Baskerville Old Face" w:cs="Arial"/>
          <w:b/>
          <w:bCs/>
          <w:color w:val="00B0F0"/>
          <w:kern w:val="0"/>
          <w:sz w:val="24"/>
          <w:szCs w:val="24"/>
          <w:lang w:val="en-GB"/>
          <w14:ligatures w14:val="none"/>
        </w:rPr>
        <w:t>2.1</w:t>
      </w:r>
      <w:r w:rsidR="00630F4F">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 Quarterly Trend in FY2023 Revenue Collection</w:t>
      </w:r>
    </w:p>
    <w:p w14:paraId="51811E33" w14:textId="34CD8835" w:rsidR="00D304CF" w:rsidRPr="00D304CF" w:rsidRDefault="00D304CF" w:rsidP="00CA4B49">
      <w:pPr>
        <w:spacing w:line="276" w:lineRule="auto"/>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From Figure </w:t>
      </w:r>
      <w:r w:rsidR="003578AC">
        <w:rPr>
          <w:rFonts w:ascii="Baskerville Old Face" w:eastAsia="DengXian" w:hAnsi="Baskerville Old Face" w:cs="Arial"/>
          <w:kern w:val="0"/>
          <w:sz w:val="24"/>
          <w:szCs w:val="24"/>
          <w:lang w:val="en-GB"/>
          <w14:ligatures w14:val="none"/>
        </w:rPr>
        <w:t>4</w:t>
      </w:r>
      <w:r w:rsidRPr="00D304CF">
        <w:rPr>
          <w:rFonts w:ascii="Baskerville Old Face" w:eastAsia="DengXian" w:hAnsi="Baskerville Old Face" w:cs="Arial"/>
          <w:kern w:val="0"/>
          <w:sz w:val="24"/>
          <w:szCs w:val="24"/>
          <w:lang w:val="en-GB"/>
          <w14:ligatures w14:val="none"/>
        </w:rPr>
        <w:t xml:space="preserve">, domestic revenue had illustrated a positive trend across the quarters, showing a steady increase from Q1 through Q4. Despite this steady quarterly growth, the increase in Q4 from Q3 is seen to be the most inclined as we realise increased import activity and domestic consumption due to festivities during this period. Also, the advance payment by Kingho Ltd and the increased collection effort in December following change in the administrative leadership at the NRA ensured Q4 collection was highest in the year.  </w:t>
      </w:r>
    </w:p>
    <w:p w14:paraId="61707573" w14:textId="77777777" w:rsidR="00D304CF" w:rsidRPr="00D304CF" w:rsidRDefault="00D304CF" w:rsidP="00CA4B49">
      <w:pPr>
        <w:spacing w:line="276" w:lineRule="auto"/>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Usually, and considering seasonality, collection in Q3 is supposed to be lower than Q2 and typically the lowest in the year because of limited activity during this period of heavy rainfall. In FY2023 however, Q3 collection was higher than both Q1 and Q2 as it represented a post-elections era and collection effort also seemed to have been intensified despite failure to implement tax policy provisions and measures during this quarter.</w:t>
      </w:r>
    </w:p>
    <w:p w14:paraId="32569E56" w14:textId="77777777"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DengXian" w:eastAsia="DengXian" w:hAnsi="DengXian" w:cs="Arial"/>
          <w:noProof/>
          <w:kern w:val="0"/>
          <w:lang w:val="zh-CN"/>
        </w:rPr>
        <w:drawing>
          <wp:inline distT="0" distB="0" distL="0" distR="0" wp14:anchorId="77D9588D" wp14:editId="41F733F3">
            <wp:extent cx="5731510" cy="2796540"/>
            <wp:effectExtent l="0" t="0" r="2540" b="3810"/>
            <wp:docPr id="6127913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050FC0" w14:textId="77777777"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p>
    <w:p w14:paraId="1D3A0FAB" w14:textId="05DAD88E"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Baskerville Old Face" w:eastAsia="DengXian" w:hAnsi="Baskerville Old Face" w:cs="Arial"/>
          <w:b/>
          <w:bCs/>
          <w:color w:val="00B0F0"/>
          <w:kern w:val="0"/>
          <w:sz w:val="24"/>
          <w:szCs w:val="24"/>
          <w:lang w:val="en-GB"/>
          <w14:ligatures w14:val="none"/>
        </w:rPr>
        <w:t>2.</w:t>
      </w:r>
      <w:r w:rsidR="00630F4F">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2: Revenue Performance in FY2023 Relative to Target</w:t>
      </w:r>
    </w:p>
    <w:p w14:paraId="5777E192" w14:textId="74FCC118"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Total domestic revenue collected in FY2023 totalled NLe10.1 billion, with Domestic Tax department accounting for 60.3%, Customs Service Department 17.5% and NTR 20.2%. Collection from Road User Charges accounted for 2.0% of the total collection.  </w:t>
      </w:r>
    </w:p>
    <w:p w14:paraId="2D157EB3"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Revenue collection in the second half of the year (July to December 2023 reached NLe5.409 billion representing an increase of NLe718 million (or 15.3.%) compared to the first half.</w:t>
      </w:r>
    </w:p>
    <w:p w14:paraId="55E2EC01" w14:textId="7AFE34FF"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lastRenderedPageBreak/>
        <w:t xml:space="preserve">Relative to the revised target agreed with the </w:t>
      </w:r>
      <w:r w:rsidR="006372E7">
        <w:rPr>
          <w:rFonts w:ascii="Baskerville Old Face" w:eastAsia="DengXian" w:hAnsi="Baskerville Old Face" w:cs="Arial"/>
          <w:kern w:val="0"/>
          <w:sz w:val="24"/>
          <w:szCs w:val="24"/>
          <w:lang w:val="en-GB"/>
          <w14:ligatures w14:val="none"/>
        </w:rPr>
        <w:t>IMF</w:t>
      </w:r>
      <w:r w:rsidRPr="00D304CF">
        <w:rPr>
          <w:rFonts w:ascii="Baskerville Old Face" w:eastAsia="DengXian" w:hAnsi="Baskerville Old Face" w:cs="Arial"/>
          <w:kern w:val="0"/>
          <w:sz w:val="24"/>
          <w:szCs w:val="24"/>
          <w:lang w:val="en-GB"/>
          <w14:ligatures w14:val="none"/>
        </w:rPr>
        <w:t xml:space="preserve"> during the 8</w:t>
      </w:r>
      <w:r w:rsidRPr="00D304CF">
        <w:rPr>
          <w:rFonts w:ascii="Baskerville Old Face" w:eastAsia="DengXian" w:hAnsi="Baskerville Old Face" w:cs="Arial"/>
          <w:kern w:val="0"/>
          <w:sz w:val="24"/>
          <w:szCs w:val="24"/>
          <w:vertAlign w:val="superscript"/>
          <w:lang w:val="en-GB"/>
          <w14:ligatures w14:val="none"/>
        </w:rPr>
        <w:t>th</w:t>
      </w:r>
      <w:r w:rsidRPr="00D304CF">
        <w:rPr>
          <w:rFonts w:ascii="Baskerville Old Face" w:eastAsia="DengXian" w:hAnsi="Baskerville Old Face" w:cs="Arial"/>
          <w:kern w:val="0"/>
          <w:sz w:val="24"/>
          <w:szCs w:val="24"/>
          <w:lang w:val="en-GB"/>
          <w14:ligatures w14:val="none"/>
        </w:rPr>
        <w:t xml:space="preserve"> and Final Review of the ECF Programme in October 2023, the collection of NLe10.1 billion emerged to be </w:t>
      </w:r>
      <w:r w:rsidR="00D059E8">
        <w:rPr>
          <w:rFonts w:ascii="Baskerville Old Face" w:eastAsia="DengXian" w:hAnsi="Baskerville Old Face" w:cs="Arial"/>
          <w:kern w:val="0"/>
          <w:sz w:val="24"/>
          <w:szCs w:val="24"/>
          <w:lang w:val="en-GB"/>
          <w14:ligatures w14:val="none"/>
        </w:rPr>
        <w:t xml:space="preserve">only </w:t>
      </w:r>
      <w:r w:rsidRPr="00D304CF">
        <w:rPr>
          <w:rFonts w:ascii="Baskerville Old Face" w:eastAsia="DengXian" w:hAnsi="Baskerville Old Face" w:cs="Arial"/>
          <w:kern w:val="0"/>
          <w:sz w:val="24"/>
          <w:szCs w:val="24"/>
          <w:lang w:val="en-GB"/>
          <w14:ligatures w14:val="none"/>
        </w:rPr>
        <w:t xml:space="preserve">marginally short of the target by 1.7% (Table </w:t>
      </w:r>
      <w:r w:rsidR="005F6FA2">
        <w:rPr>
          <w:rFonts w:ascii="Baskerville Old Face" w:eastAsia="DengXian" w:hAnsi="Baskerville Old Face" w:cs="Arial"/>
          <w:kern w:val="0"/>
          <w:sz w:val="24"/>
          <w:szCs w:val="24"/>
          <w:lang w:val="en-GB"/>
          <w14:ligatures w14:val="none"/>
        </w:rPr>
        <w:t>3</w:t>
      </w:r>
      <w:r w:rsidRPr="00D304CF">
        <w:rPr>
          <w:rFonts w:ascii="Baskerville Old Face" w:eastAsia="DengXian" w:hAnsi="Baskerville Old Face" w:cs="Arial"/>
          <w:kern w:val="0"/>
          <w:sz w:val="24"/>
          <w:szCs w:val="24"/>
          <w:lang w:val="en-GB"/>
          <w14:ligatures w14:val="none"/>
        </w:rPr>
        <w:t>).</w:t>
      </w:r>
    </w:p>
    <w:tbl>
      <w:tblPr>
        <w:tblW w:w="10207" w:type="dxa"/>
        <w:tblLook w:val="04A0" w:firstRow="1" w:lastRow="0" w:firstColumn="1" w:lastColumn="0" w:noHBand="0" w:noVBand="1"/>
      </w:tblPr>
      <w:tblGrid>
        <w:gridCol w:w="3381"/>
        <w:gridCol w:w="844"/>
        <w:gridCol w:w="844"/>
        <w:gridCol w:w="844"/>
        <w:gridCol w:w="844"/>
        <w:gridCol w:w="923"/>
        <w:gridCol w:w="923"/>
        <w:gridCol w:w="821"/>
        <w:gridCol w:w="783"/>
      </w:tblGrid>
      <w:tr w:rsidR="00D304CF" w:rsidRPr="00D304CF" w14:paraId="566E6482" w14:textId="77777777" w:rsidTr="006E4F32">
        <w:trPr>
          <w:trHeight w:val="360"/>
        </w:trPr>
        <w:tc>
          <w:tcPr>
            <w:tcW w:w="10207" w:type="dxa"/>
            <w:gridSpan w:val="9"/>
            <w:tcBorders>
              <w:top w:val="nil"/>
              <w:left w:val="nil"/>
              <w:bottom w:val="single" w:sz="8" w:space="0" w:color="auto"/>
              <w:right w:val="nil"/>
            </w:tcBorders>
            <w:shd w:val="clear" w:color="auto" w:fill="auto"/>
            <w:noWrap/>
            <w:vAlign w:val="bottom"/>
          </w:tcPr>
          <w:p w14:paraId="1943BB1F" w14:textId="438AF023" w:rsidR="00D304CF" w:rsidRPr="00D304CF" w:rsidRDefault="00D304CF" w:rsidP="00D304CF">
            <w:pPr>
              <w:spacing w:after="0" w:line="240" w:lineRule="auto"/>
              <w:jc w:val="center"/>
              <w:rPr>
                <w:rFonts w:ascii="Baskerville Old Face" w:eastAsia="Times New Roman" w:hAnsi="Baskerville Old Face" w:cs="Calibri"/>
                <w:b/>
                <w:bCs/>
                <w:color w:val="000000"/>
                <w:kern w:val="0"/>
                <w:sz w:val="24"/>
                <w:szCs w:val="24"/>
                <w:lang w:val="en-GB" w:eastAsia="zh-CN"/>
                <w14:ligatures w14:val="none"/>
              </w:rPr>
            </w:pPr>
            <w:r w:rsidRPr="00D304CF">
              <w:rPr>
                <w:rFonts w:ascii="Baskerville Old Face" w:eastAsia="Times New Roman" w:hAnsi="Baskerville Old Face" w:cs="Calibri"/>
                <w:b/>
                <w:bCs/>
                <w:color w:val="000000"/>
                <w:kern w:val="0"/>
                <w:sz w:val="24"/>
                <w:szCs w:val="24"/>
                <w:lang w:val="en-GB" w:eastAsia="zh-CN"/>
                <w14:ligatures w14:val="none"/>
              </w:rPr>
              <w:t xml:space="preserve">Table </w:t>
            </w:r>
            <w:r w:rsidR="00824E8D" w:rsidRPr="00824E8D">
              <w:rPr>
                <w:rFonts w:ascii="Baskerville Old Face" w:eastAsia="Times New Roman" w:hAnsi="Baskerville Old Face" w:cs="Calibri"/>
                <w:b/>
                <w:bCs/>
                <w:color w:val="000000"/>
                <w:kern w:val="0"/>
                <w:sz w:val="24"/>
                <w:szCs w:val="24"/>
                <w:lang w:val="en-GB" w:eastAsia="zh-CN"/>
                <w14:ligatures w14:val="none"/>
              </w:rPr>
              <w:t>3</w:t>
            </w:r>
            <w:r w:rsidRPr="00D304CF">
              <w:rPr>
                <w:rFonts w:ascii="Baskerville Old Face" w:eastAsia="Times New Roman" w:hAnsi="Baskerville Old Face" w:cs="Calibri"/>
                <w:b/>
                <w:bCs/>
                <w:color w:val="000000"/>
                <w:kern w:val="0"/>
                <w:sz w:val="24"/>
                <w:szCs w:val="24"/>
                <w:lang w:val="en-GB" w:eastAsia="zh-CN"/>
                <w14:ligatures w14:val="none"/>
              </w:rPr>
              <w:t xml:space="preserve">: 2023 </w:t>
            </w:r>
            <w:r w:rsidR="003F1A27">
              <w:rPr>
                <w:rFonts w:ascii="Baskerville Old Face" w:eastAsia="Times New Roman" w:hAnsi="Baskerville Old Face" w:cs="Calibri"/>
                <w:b/>
                <w:bCs/>
                <w:color w:val="000000"/>
                <w:kern w:val="0"/>
                <w:sz w:val="24"/>
                <w:szCs w:val="24"/>
                <w:lang w:val="en-GB" w:eastAsia="zh-CN"/>
                <w14:ligatures w14:val="none"/>
              </w:rPr>
              <w:t>Quarterly</w:t>
            </w:r>
            <w:r w:rsidRPr="00D304CF">
              <w:rPr>
                <w:rFonts w:ascii="Baskerville Old Face" w:eastAsia="Times New Roman" w:hAnsi="Baskerville Old Face" w:cs="Calibri"/>
                <w:b/>
                <w:bCs/>
                <w:color w:val="000000"/>
                <w:kern w:val="0"/>
                <w:sz w:val="24"/>
                <w:szCs w:val="24"/>
                <w:lang w:val="en-GB" w:eastAsia="zh-CN"/>
                <w14:ligatures w14:val="none"/>
              </w:rPr>
              <w:t xml:space="preserve"> Domestic Revenue Collection Relative to </w:t>
            </w:r>
            <w:r w:rsidR="006372E7">
              <w:rPr>
                <w:rFonts w:ascii="Baskerville Old Face" w:eastAsia="Times New Roman" w:hAnsi="Baskerville Old Face" w:cs="Calibri"/>
                <w:b/>
                <w:bCs/>
                <w:color w:val="000000"/>
                <w:kern w:val="0"/>
                <w:sz w:val="24"/>
                <w:szCs w:val="24"/>
                <w:lang w:val="en-GB" w:eastAsia="zh-CN"/>
                <w14:ligatures w14:val="none"/>
              </w:rPr>
              <w:t>IMF</w:t>
            </w:r>
            <w:r w:rsidRPr="00D304CF">
              <w:rPr>
                <w:rFonts w:ascii="Baskerville Old Face" w:eastAsia="Times New Roman" w:hAnsi="Baskerville Old Face" w:cs="Calibri"/>
                <w:b/>
                <w:bCs/>
                <w:color w:val="000000"/>
                <w:kern w:val="0"/>
                <w:sz w:val="24"/>
                <w:szCs w:val="24"/>
                <w:lang w:val="en-GB" w:eastAsia="zh-CN"/>
                <w14:ligatures w14:val="none"/>
              </w:rPr>
              <w:t xml:space="preserve"> Target (NLe Thousand)</w:t>
            </w:r>
          </w:p>
        </w:tc>
      </w:tr>
      <w:tr w:rsidR="00D304CF" w:rsidRPr="00D304CF" w14:paraId="7E34A0B6" w14:textId="77777777" w:rsidTr="006E4F32">
        <w:trPr>
          <w:trHeight w:val="668"/>
        </w:trPr>
        <w:tc>
          <w:tcPr>
            <w:tcW w:w="0" w:type="auto"/>
            <w:tcBorders>
              <w:top w:val="nil"/>
              <w:left w:val="single" w:sz="8" w:space="0" w:color="auto"/>
              <w:bottom w:val="single" w:sz="8" w:space="0" w:color="auto"/>
              <w:right w:val="single" w:sz="8" w:space="0" w:color="auto"/>
            </w:tcBorders>
            <w:shd w:val="clear" w:color="auto" w:fill="auto"/>
            <w:noWrap/>
            <w:vAlign w:val="bottom"/>
          </w:tcPr>
          <w:p w14:paraId="6412BDAB" w14:textId="77777777" w:rsidR="00D304CF" w:rsidRPr="00D304CF" w:rsidRDefault="00D304CF" w:rsidP="00D304CF">
            <w:pPr>
              <w:spacing w:after="0" w:line="240" w:lineRule="auto"/>
              <w:rPr>
                <w:rFonts w:ascii="Baskerville Old Face" w:eastAsia="Times New Roman" w:hAnsi="Baskerville Old Face" w:cs="Calibri"/>
                <w:color w:val="000000"/>
                <w:kern w:val="0"/>
                <w:sz w:val="16"/>
                <w:szCs w:val="16"/>
                <w:lang w:val="en-GB" w:eastAsia="zh-CN"/>
                <w14:ligatures w14:val="none"/>
              </w:rPr>
            </w:pPr>
            <w:r w:rsidRPr="00D304CF">
              <w:rPr>
                <w:rFonts w:ascii="Baskerville Old Face" w:eastAsia="Times New Roman" w:hAnsi="Baskerville Old Face" w:cs="Calibri"/>
                <w:color w:val="000000"/>
                <w:kern w:val="0"/>
                <w:sz w:val="16"/>
                <w:szCs w:val="16"/>
                <w:lang w:val="en-GB" w:eastAsia="zh-CN"/>
                <w14:ligatures w14:val="none"/>
              </w:rPr>
              <w:t> </w:t>
            </w:r>
          </w:p>
        </w:tc>
        <w:tc>
          <w:tcPr>
            <w:tcW w:w="0" w:type="auto"/>
            <w:tcBorders>
              <w:top w:val="nil"/>
              <w:left w:val="nil"/>
              <w:bottom w:val="single" w:sz="8" w:space="0" w:color="auto"/>
              <w:right w:val="single" w:sz="4" w:space="0" w:color="auto"/>
            </w:tcBorders>
            <w:shd w:val="clear" w:color="000000" w:fill="D9E1F2"/>
            <w:vAlign w:val="bottom"/>
          </w:tcPr>
          <w:p w14:paraId="3E033F49"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Q1 Act</w:t>
            </w:r>
          </w:p>
        </w:tc>
        <w:tc>
          <w:tcPr>
            <w:tcW w:w="0" w:type="auto"/>
            <w:tcBorders>
              <w:top w:val="nil"/>
              <w:left w:val="nil"/>
              <w:bottom w:val="single" w:sz="8" w:space="0" w:color="auto"/>
              <w:right w:val="single" w:sz="4" w:space="0" w:color="auto"/>
            </w:tcBorders>
            <w:shd w:val="clear" w:color="000000" w:fill="D9E1F2"/>
            <w:vAlign w:val="bottom"/>
          </w:tcPr>
          <w:p w14:paraId="1D9F982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Q2 Act</w:t>
            </w:r>
          </w:p>
        </w:tc>
        <w:tc>
          <w:tcPr>
            <w:tcW w:w="0" w:type="auto"/>
            <w:tcBorders>
              <w:top w:val="nil"/>
              <w:left w:val="nil"/>
              <w:bottom w:val="single" w:sz="8" w:space="0" w:color="auto"/>
              <w:right w:val="single" w:sz="4" w:space="0" w:color="auto"/>
            </w:tcBorders>
            <w:shd w:val="clear" w:color="000000" w:fill="D9E1F2"/>
            <w:vAlign w:val="bottom"/>
          </w:tcPr>
          <w:p w14:paraId="0E9CF8B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Q3 Act</w:t>
            </w:r>
          </w:p>
        </w:tc>
        <w:tc>
          <w:tcPr>
            <w:tcW w:w="0" w:type="auto"/>
            <w:tcBorders>
              <w:top w:val="nil"/>
              <w:left w:val="nil"/>
              <w:bottom w:val="single" w:sz="8" w:space="0" w:color="auto"/>
              <w:right w:val="single" w:sz="4" w:space="0" w:color="auto"/>
            </w:tcBorders>
            <w:shd w:val="clear" w:color="000000" w:fill="D9E1F2"/>
            <w:vAlign w:val="bottom"/>
          </w:tcPr>
          <w:p w14:paraId="36FD870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Q4 Act</w:t>
            </w:r>
          </w:p>
        </w:tc>
        <w:tc>
          <w:tcPr>
            <w:tcW w:w="0" w:type="auto"/>
            <w:tcBorders>
              <w:top w:val="nil"/>
              <w:left w:val="nil"/>
              <w:bottom w:val="single" w:sz="8" w:space="0" w:color="auto"/>
              <w:right w:val="single" w:sz="4" w:space="0" w:color="auto"/>
            </w:tcBorders>
            <w:shd w:val="clear" w:color="000000" w:fill="B4C6E7"/>
            <w:vAlign w:val="bottom"/>
          </w:tcPr>
          <w:p w14:paraId="3732D50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2023 Q1-Q4 Act</w:t>
            </w:r>
          </w:p>
        </w:tc>
        <w:tc>
          <w:tcPr>
            <w:tcW w:w="0" w:type="auto"/>
            <w:tcBorders>
              <w:top w:val="nil"/>
              <w:left w:val="nil"/>
              <w:bottom w:val="single" w:sz="8" w:space="0" w:color="auto"/>
              <w:right w:val="single" w:sz="4" w:space="0" w:color="auto"/>
            </w:tcBorders>
            <w:shd w:val="clear" w:color="000000" w:fill="B4C6E7"/>
            <w:vAlign w:val="bottom"/>
          </w:tcPr>
          <w:p w14:paraId="3422C56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2023 Q1-4 Proj</w:t>
            </w:r>
          </w:p>
        </w:tc>
        <w:tc>
          <w:tcPr>
            <w:tcW w:w="0" w:type="auto"/>
            <w:tcBorders>
              <w:top w:val="nil"/>
              <w:left w:val="nil"/>
              <w:bottom w:val="single" w:sz="8" w:space="0" w:color="auto"/>
              <w:right w:val="single" w:sz="8" w:space="0" w:color="auto"/>
            </w:tcBorders>
            <w:shd w:val="clear" w:color="000000" w:fill="C6E0B4"/>
            <w:vAlign w:val="bottom"/>
          </w:tcPr>
          <w:p w14:paraId="34FB0CA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Variance</w:t>
            </w:r>
          </w:p>
        </w:tc>
        <w:tc>
          <w:tcPr>
            <w:tcW w:w="783" w:type="dxa"/>
            <w:tcBorders>
              <w:top w:val="nil"/>
              <w:left w:val="single" w:sz="4" w:space="0" w:color="auto"/>
              <w:bottom w:val="single" w:sz="8" w:space="0" w:color="auto"/>
              <w:right w:val="single" w:sz="8" w:space="0" w:color="auto"/>
            </w:tcBorders>
            <w:shd w:val="clear" w:color="000000" w:fill="C6E0B4"/>
            <w:vAlign w:val="bottom"/>
          </w:tcPr>
          <w:p w14:paraId="1E214A8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 Var</w:t>
            </w:r>
          </w:p>
        </w:tc>
      </w:tr>
      <w:tr w:rsidR="00D304CF" w:rsidRPr="00D304CF" w14:paraId="28EACB23"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vAlign w:val="bottom"/>
          </w:tcPr>
          <w:p w14:paraId="44066280"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TOTAL DOMESTIC REVENUE</w:t>
            </w:r>
          </w:p>
        </w:tc>
        <w:tc>
          <w:tcPr>
            <w:tcW w:w="0" w:type="auto"/>
            <w:tcBorders>
              <w:top w:val="nil"/>
              <w:left w:val="nil"/>
              <w:bottom w:val="single" w:sz="4" w:space="0" w:color="auto"/>
              <w:right w:val="single" w:sz="4" w:space="0" w:color="auto"/>
            </w:tcBorders>
            <w:shd w:val="clear" w:color="000000" w:fill="D9E1F2"/>
            <w:vAlign w:val="bottom"/>
          </w:tcPr>
          <w:p w14:paraId="43FD900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2,335,516</w:t>
            </w:r>
          </w:p>
        </w:tc>
        <w:tc>
          <w:tcPr>
            <w:tcW w:w="0" w:type="auto"/>
            <w:tcBorders>
              <w:top w:val="nil"/>
              <w:left w:val="nil"/>
              <w:bottom w:val="single" w:sz="4" w:space="0" w:color="auto"/>
              <w:right w:val="single" w:sz="4" w:space="0" w:color="auto"/>
            </w:tcBorders>
            <w:shd w:val="clear" w:color="000000" w:fill="D9E1F2"/>
            <w:vAlign w:val="bottom"/>
          </w:tcPr>
          <w:p w14:paraId="718C54D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2,355,472</w:t>
            </w:r>
          </w:p>
        </w:tc>
        <w:tc>
          <w:tcPr>
            <w:tcW w:w="0" w:type="auto"/>
            <w:tcBorders>
              <w:top w:val="nil"/>
              <w:left w:val="nil"/>
              <w:bottom w:val="single" w:sz="4" w:space="0" w:color="auto"/>
              <w:right w:val="single" w:sz="4" w:space="0" w:color="auto"/>
            </w:tcBorders>
            <w:shd w:val="clear" w:color="000000" w:fill="D9E1F2"/>
            <w:vAlign w:val="bottom"/>
          </w:tcPr>
          <w:p w14:paraId="2F9F50D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2,485,006</w:t>
            </w:r>
          </w:p>
        </w:tc>
        <w:tc>
          <w:tcPr>
            <w:tcW w:w="0" w:type="auto"/>
            <w:tcBorders>
              <w:top w:val="nil"/>
              <w:left w:val="nil"/>
              <w:bottom w:val="single" w:sz="4" w:space="0" w:color="auto"/>
              <w:right w:val="single" w:sz="4" w:space="0" w:color="auto"/>
            </w:tcBorders>
            <w:shd w:val="clear" w:color="000000" w:fill="D9E1F2"/>
            <w:vAlign w:val="bottom"/>
          </w:tcPr>
          <w:p w14:paraId="0DEDEDE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2,924,470</w:t>
            </w:r>
          </w:p>
        </w:tc>
        <w:tc>
          <w:tcPr>
            <w:tcW w:w="0" w:type="auto"/>
            <w:tcBorders>
              <w:top w:val="nil"/>
              <w:left w:val="nil"/>
              <w:bottom w:val="single" w:sz="4" w:space="0" w:color="auto"/>
              <w:right w:val="single" w:sz="4" w:space="0" w:color="auto"/>
            </w:tcBorders>
            <w:shd w:val="clear" w:color="000000" w:fill="B4C6E7"/>
            <w:vAlign w:val="bottom"/>
          </w:tcPr>
          <w:p w14:paraId="7BCC728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10,100,463</w:t>
            </w:r>
          </w:p>
        </w:tc>
        <w:tc>
          <w:tcPr>
            <w:tcW w:w="0" w:type="auto"/>
            <w:tcBorders>
              <w:top w:val="nil"/>
              <w:left w:val="nil"/>
              <w:bottom w:val="single" w:sz="4" w:space="0" w:color="auto"/>
              <w:right w:val="single" w:sz="4" w:space="0" w:color="auto"/>
            </w:tcBorders>
            <w:shd w:val="clear" w:color="000000" w:fill="B4C6E7"/>
            <w:vAlign w:val="bottom"/>
          </w:tcPr>
          <w:p w14:paraId="6D53C84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10,276,797</w:t>
            </w:r>
          </w:p>
        </w:tc>
        <w:tc>
          <w:tcPr>
            <w:tcW w:w="0" w:type="auto"/>
            <w:tcBorders>
              <w:top w:val="nil"/>
              <w:left w:val="nil"/>
              <w:bottom w:val="single" w:sz="4" w:space="0" w:color="auto"/>
              <w:right w:val="single" w:sz="8" w:space="0" w:color="auto"/>
            </w:tcBorders>
            <w:shd w:val="clear" w:color="auto" w:fill="auto"/>
            <w:vAlign w:val="bottom"/>
          </w:tcPr>
          <w:p w14:paraId="4236BD5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(176,333)</w:t>
            </w:r>
          </w:p>
        </w:tc>
        <w:tc>
          <w:tcPr>
            <w:tcW w:w="783" w:type="dxa"/>
            <w:tcBorders>
              <w:top w:val="nil"/>
              <w:left w:val="nil"/>
              <w:bottom w:val="single" w:sz="4" w:space="0" w:color="auto"/>
              <w:right w:val="single" w:sz="8" w:space="0" w:color="auto"/>
            </w:tcBorders>
            <w:shd w:val="clear" w:color="auto" w:fill="auto"/>
            <w:noWrap/>
            <w:vAlign w:val="bottom"/>
          </w:tcPr>
          <w:p w14:paraId="490A3D9F"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highlight w:val="cyan"/>
                <w:lang w:val="zh-CN" w:eastAsia="zh-CN"/>
                <w14:ligatures w14:val="none"/>
              </w:rPr>
              <w:t>-1.7%</w:t>
            </w:r>
          </w:p>
        </w:tc>
      </w:tr>
      <w:tr w:rsidR="00D304CF" w:rsidRPr="00D304CF" w14:paraId="22694C10"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vAlign w:val="bottom"/>
          </w:tcPr>
          <w:p w14:paraId="527FD767"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DOMESTIC TAX DEPARTMENT</w:t>
            </w:r>
          </w:p>
        </w:tc>
        <w:tc>
          <w:tcPr>
            <w:tcW w:w="0" w:type="auto"/>
            <w:tcBorders>
              <w:top w:val="nil"/>
              <w:left w:val="nil"/>
              <w:bottom w:val="single" w:sz="4" w:space="0" w:color="auto"/>
              <w:right w:val="single" w:sz="4" w:space="0" w:color="auto"/>
            </w:tcBorders>
            <w:shd w:val="clear" w:color="000000" w:fill="D9E1F2"/>
            <w:noWrap/>
            <w:vAlign w:val="bottom"/>
          </w:tcPr>
          <w:p w14:paraId="0D77748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1,355,400</w:t>
            </w:r>
          </w:p>
        </w:tc>
        <w:tc>
          <w:tcPr>
            <w:tcW w:w="0" w:type="auto"/>
            <w:tcBorders>
              <w:top w:val="nil"/>
              <w:left w:val="nil"/>
              <w:bottom w:val="single" w:sz="4" w:space="0" w:color="auto"/>
              <w:right w:val="single" w:sz="4" w:space="0" w:color="auto"/>
            </w:tcBorders>
            <w:shd w:val="clear" w:color="000000" w:fill="D9E1F2"/>
            <w:vAlign w:val="bottom"/>
          </w:tcPr>
          <w:p w14:paraId="3ABDCD9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1,357,686</w:t>
            </w:r>
          </w:p>
        </w:tc>
        <w:tc>
          <w:tcPr>
            <w:tcW w:w="0" w:type="auto"/>
            <w:tcBorders>
              <w:top w:val="nil"/>
              <w:left w:val="nil"/>
              <w:bottom w:val="single" w:sz="4" w:space="0" w:color="auto"/>
              <w:right w:val="single" w:sz="4" w:space="0" w:color="auto"/>
            </w:tcBorders>
            <w:shd w:val="clear" w:color="000000" w:fill="D9E1F2"/>
            <w:vAlign w:val="bottom"/>
          </w:tcPr>
          <w:p w14:paraId="1E84C0F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1,576,615</w:t>
            </w:r>
          </w:p>
        </w:tc>
        <w:tc>
          <w:tcPr>
            <w:tcW w:w="0" w:type="auto"/>
            <w:tcBorders>
              <w:top w:val="nil"/>
              <w:left w:val="nil"/>
              <w:bottom w:val="single" w:sz="4" w:space="0" w:color="auto"/>
              <w:right w:val="single" w:sz="4" w:space="0" w:color="auto"/>
            </w:tcBorders>
            <w:shd w:val="clear" w:color="000000" w:fill="D9E1F2"/>
            <w:vAlign w:val="bottom"/>
          </w:tcPr>
          <w:p w14:paraId="65EBBCE3"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1,798,038</w:t>
            </w:r>
          </w:p>
        </w:tc>
        <w:tc>
          <w:tcPr>
            <w:tcW w:w="0" w:type="auto"/>
            <w:tcBorders>
              <w:top w:val="nil"/>
              <w:left w:val="nil"/>
              <w:bottom w:val="single" w:sz="4" w:space="0" w:color="auto"/>
              <w:right w:val="single" w:sz="4" w:space="0" w:color="auto"/>
            </w:tcBorders>
            <w:shd w:val="clear" w:color="000000" w:fill="B4C6E7"/>
            <w:vAlign w:val="bottom"/>
          </w:tcPr>
          <w:p w14:paraId="1FBA45A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6,087,739</w:t>
            </w:r>
          </w:p>
        </w:tc>
        <w:tc>
          <w:tcPr>
            <w:tcW w:w="0" w:type="auto"/>
            <w:tcBorders>
              <w:top w:val="nil"/>
              <w:left w:val="nil"/>
              <w:bottom w:val="single" w:sz="4" w:space="0" w:color="auto"/>
              <w:right w:val="single" w:sz="4" w:space="0" w:color="auto"/>
            </w:tcBorders>
            <w:shd w:val="clear" w:color="000000" w:fill="B4C6E7"/>
            <w:vAlign w:val="bottom"/>
          </w:tcPr>
          <w:p w14:paraId="480EF4C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6,091,893</w:t>
            </w:r>
          </w:p>
        </w:tc>
        <w:tc>
          <w:tcPr>
            <w:tcW w:w="0" w:type="auto"/>
            <w:tcBorders>
              <w:top w:val="nil"/>
              <w:left w:val="nil"/>
              <w:bottom w:val="single" w:sz="4" w:space="0" w:color="auto"/>
              <w:right w:val="single" w:sz="8" w:space="0" w:color="auto"/>
            </w:tcBorders>
            <w:shd w:val="clear" w:color="auto" w:fill="auto"/>
            <w:vAlign w:val="bottom"/>
          </w:tcPr>
          <w:p w14:paraId="00D2543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(4,154)</w:t>
            </w:r>
          </w:p>
        </w:tc>
        <w:tc>
          <w:tcPr>
            <w:tcW w:w="783" w:type="dxa"/>
            <w:tcBorders>
              <w:top w:val="nil"/>
              <w:left w:val="nil"/>
              <w:bottom w:val="single" w:sz="4" w:space="0" w:color="auto"/>
              <w:right w:val="single" w:sz="8" w:space="0" w:color="auto"/>
            </w:tcBorders>
            <w:shd w:val="clear" w:color="auto" w:fill="auto"/>
            <w:noWrap/>
            <w:vAlign w:val="bottom"/>
          </w:tcPr>
          <w:p w14:paraId="1FF55923"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-0.1%</w:t>
            </w:r>
          </w:p>
        </w:tc>
      </w:tr>
      <w:tr w:rsidR="00D304CF" w:rsidRPr="00D304CF" w14:paraId="3ADBAA6E"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3C97D792"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 xml:space="preserve">Income Tax </w:t>
            </w:r>
          </w:p>
        </w:tc>
        <w:tc>
          <w:tcPr>
            <w:tcW w:w="0" w:type="auto"/>
            <w:tcBorders>
              <w:top w:val="nil"/>
              <w:left w:val="nil"/>
              <w:bottom w:val="single" w:sz="4" w:space="0" w:color="auto"/>
              <w:right w:val="single" w:sz="4" w:space="0" w:color="auto"/>
            </w:tcBorders>
            <w:shd w:val="clear" w:color="000000" w:fill="D9E1F2"/>
            <w:noWrap/>
            <w:vAlign w:val="bottom"/>
          </w:tcPr>
          <w:p w14:paraId="2835BE6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875,088</w:t>
            </w:r>
          </w:p>
        </w:tc>
        <w:tc>
          <w:tcPr>
            <w:tcW w:w="0" w:type="auto"/>
            <w:tcBorders>
              <w:top w:val="nil"/>
              <w:left w:val="nil"/>
              <w:bottom w:val="single" w:sz="4" w:space="0" w:color="auto"/>
              <w:right w:val="single" w:sz="4" w:space="0" w:color="auto"/>
            </w:tcBorders>
            <w:shd w:val="clear" w:color="000000" w:fill="D9E1F2"/>
            <w:vAlign w:val="bottom"/>
          </w:tcPr>
          <w:p w14:paraId="30D5C2E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930,705</w:t>
            </w:r>
          </w:p>
        </w:tc>
        <w:tc>
          <w:tcPr>
            <w:tcW w:w="0" w:type="auto"/>
            <w:tcBorders>
              <w:top w:val="nil"/>
              <w:left w:val="nil"/>
              <w:bottom w:val="single" w:sz="4" w:space="0" w:color="auto"/>
              <w:right w:val="single" w:sz="4" w:space="0" w:color="auto"/>
            </w:tcBorders>
            <w:shd w:val="clear" w:color="000000" w:fill="D9E1F2"/>
            <w:vAlign w:val="bottom"/>
          </w:tcPr>
          <w:p w14:paraId="13A37AE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969,837</w:t>
            </w:r>
          </w:p>
        </w:tc>
        <w:tc>
          <w:tcPr>
            <w:tcW w:w="0" w:type="auto"/>
            <w:tcBorders>
              <w:top w:val="nil"/>
              <w:left w:val="nil"/>
              <w:bottom w:val="single" w:sz="4" w:space="0" w:color="auto"/>
              <w:right w:val="single" w:sz="4" w:space="0" w:color="auto"/>
            </w:tcBorders>
            <w:shd w:val="clear" w:color="000000" w:fill="D9E1F2"/>
            <w:vAlign w:val="bottom"/>
          </w:tcPr>
          <w:p w14:paraId="01ADC47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1,215,494</w:t>
            </w:r>
          </w:p>
        </w:tc>
        <w:tc>
          <w:tcPr>
            <w:tcW w:w="0" w:type="auto"/>
            <w:tcBorders>
              <w:top w:val="nil"/>
              <w:left w:val="nil"/>
              <w:bottom w:val="single" w:sz="4" w:space="0" w:color="auto"/>
              <w:right w:val="single" w:sz="4" w:space="0" w:color="auto"/>
            </w:tcBorders>
            <w:shd w:val="clear" w:color="000000" w:fill="B4C6E7"/>
            <w:vAlign w:val="bottom"/>
          </w:tcPr>
          <w:p w14:paraId="02578C1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3,991,124</w:t>
            </w:r>
          </w:p>
        </w:tc>
        <w:tc>
          <w:tcPr>
            <w:tcW w:w="0" w:type="auto"/>
            <w:tcBorders>
              <w:top w:val="nil"/>
              <w:left w:val="nil"/>
              <w:bottom w:val="single" w:sz="4" w:space="0" w:color="auto"/>
              <w:right w:val="single" w:sz="4" w:space="0" w:color="auto"/>
            </w:tcBorders>
            <w:shd w:val="clear" w:color="000000" w:fill="B4C6E7"/>
            <w:vAlign w:val="bottom"/>
          </w:tcPr>
          <w:p w14:paraId="73A6D77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3,949,458</w:t>
            </w:r>
          </w:p>
        </w:tc>
        <w:tc>
          <w:tcPr>
            <w:tcW w:w="0" w:type="auto"/>
            <w:tcBorders>
              <w:top w:val="nil"/>
              <w:left w:val="nil"/>
              <w:bottom w:val="single" w:sz="4" w:space="0" w:color="auto"/>
              <w:right w:val="single" w:sz="8" w:space="0" w:color="auto"/>
            </w:tcBorders>
            <w:shd w:val="clear" w:color="auto" w:fill="auto"/>
            <w:vAlign w:val="bottom"/>
          </w:tcPr>
          <w:p w14:paraId="62A4605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highlight w:val="green"/>
                <w:lang w:val="zh-CN" w:eastAsia="zh-CN"/>
                <w14:ligatures w14:val="none"/>
              </w:rPr>
              <w:t>41,666</w:t>
            </w:r>
          </w:p>
        </w:tc>
        <w:tc>
          <w:tcPr>
            <w:tcW w:w="783" w:type="dxa"/>
            <w:tcBorders>
              <w:top w:val="nil"/>
              <w:left w:val="nil"/>
              <w:bottom w:val="single" w:sz="4" w:space="0" w:color="auto"/>
              <w:right w:val="single" w:sz="8" w:space="0" w:color="auto"/>
            </w:tcBorders>
            <w:shd w:val="clear" w:color="auto" w:fill="auto"/>
            <w:noWrap/>
            <w:vAlign w:val="bottom"/>
          </w:tcPr>
          <w:p w14:paraId="5710CED5"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1.1%</w:t>
            </w:r>
          </w:p>
        </w:tc>
      </w:tr>
      <w:tr w:rsidR="00D304CF" w:rsidRPr="00D304CF" w14:paraId="3C03B10D"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18260AC4"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CIT</w:t>
            </w:r>
          </w:p>
        </w:tc>
        <w:tc>
          <w:tcPr>
            <w:tcW w:w="0" w:type="auto"/>
            <w:tcBorders>
              <w:top w:val="nil"/>
              <w:left w:val="nil"/>
              <w:bottom w:val="single" w:sz="4" w:space="0" w:color="auto"/>
              <w:right w:val="single" w:sz="4" w:space="0" w:color="auto"/>
            </w:tcBorders>
            <w:shd w:val="clear" w:color="000000" w:fill="D9E1F2"/>
            <w:noWrap/>
            <w:vAlign w:val="bottom"/>
          </w:tcPr>
          <w:p w14:paraId="0677BBA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281,063</w:t>
            </w:r>
          </w:p>
        </w:tc>
        <w:tc>
          <w:tcPr>
            <w:tcW w:w="0" w:type="auto"/>
            <w:tcBorders>
              <w:top w:val="nil"/>
              <w:left w:val="nil"/>
              <w:bottom w:val="single" w:sz="4" w:space="0" w:color="auto"/>
              <w:right w:val="single" w:sz="4" w:space="0" w:color="auto"/>
            </w:tcBorders>
            <w:shd w:val="clear" w:color="000000" w:fill="D9E1F2"/>
            <w:vAlign w:val="bottom"/>
          </w:tcPr>
          <w:p w14:paraId="3A669CDB"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338,502</w:t>
            </w:r>
          </w:p>
        </w:tc>
        <w:tc>
          <w:tcPr>
            <w:tcW w:w="0" w:type="auto"/>
            <w:tcBorders>
              <w:top w:val="nil"/>
              <w:left w:val="nil"/>
              <w:bottom w:val="single" w:sz="4" w:space="0" w:color="auto"/>
              <w:right w:val="single" w:sz="4" w:space="0" w:color="auto"/>
            </w:tcBorders>
            <w:shd w:val="clear" w:color="000000" w:fill="D9E1F2"/>
            <w:vAlign w:val="bottom"/>
          </w:tcPr>
          <w:p w14:paraId="0D9C5753"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365,363</w:t>
            </w:r>
          </w:p>
        </w:tc>
        <w:tc>
          <w:tcPr>
            <w:tcW w:w="0" w:type="auto"/>
            <w:tcBorders>
              <w:top w:val="nil"/>
              <w:left w:val="nil"/>
              <w:bottom w:val="single" w:sz="4" w:space="0" w:color="auto"/>
              <w:right w:val="single" w:sz="4" w:space="0" w:color="auto"/>
            </w:tcBorders>
            <w:shd w:val="clear" w:color="000000" w:fill="D9E1F2"/>
            <w:vAlign w:val="bottom"/>
          </w:tcPr>
          <w:p w14:paraId="41CED5D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439,766</w:t>
            </w:r>
          </w:p>
        </w:tc>
        <w:tc>
          <w:tcPr>
            <w:tcW w:w="0" w:type="auto"/>
            <w:tcBorders>
              <w:top w:val="nil"/>
              <w:left w:val="nil"/>
              <w:bottom w:val="single" w:sz="4" w:space="0" w:color="auto"/>
              <w:right w:val="single" w:sz="4" w:space="0" w:color="auto"/>
            </w:tcBorders>
            <w:shd w:val="clear" w:color="000000" w:fill="B4C6E7"/>
            <w:vAlign w:val="bottom"/>
          </w:tcPr>
          <w:p w14:paraId="36EF101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1,424,693</w:t>
            </w:r>
          </w:p>
        </w:tc>
        <w:tc>
          <w:tcPr>
            <w:tcW w:w="0" w:type="auto"/>
            <w:tcBorders>
              <w:top w:val="nil"/>
              <w:left w:val="nil"/>
              <w:bottom w:val="single" w:sz="4" w:space="0" w:color="auto"/>
              <w:right w:val="single" w:sz="4" w:space="0" w:color="auto"/>
            </w:tcBorders>
            <w:shd w:val="clear" w:color="000000" w:fill="B4C6E7"/>
            <w:vAlign w:val="bottom"/>
          </w:tcPr>
          <w:p w14:paraId="0C48506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1,468,647</w:t>
            </w:r>
          </w:p>
        </w:tc>
        <w:tc>
          <w:tcPr>
            <w:tcW w:w="0" w:type="auto"/>
            <w:tcBorders>
              <w:top w:val="nil"/>
              <w:left w:val="nil"/>
              <w:bottom w:val="single" w:sz="4" w:space="0" w:color="auto"/>
              <w:right w:val="single" w:sz="8" w:space="0" w:color="auto"/>
            </w:tcBorders>
            <w:shd w:val="clear" w:color="auto" w:fill="auto"/>
            <w:vAlign w:val="bottom"/>
          </w:tcPr>
          <w:p w14:paraId="4D40DB9A"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w:t>
            </w:r>
            <w:r w:rsidRPr="00D304CF">
              <w:rPr>
                <w:rFonts w:ascii="Baskerville Old Face" w:eastAsia="Times New Roman" w:hAnsi="Baskerville Old Face" w:cs="Calibri"/>
                <w:kern w:val="0"/>
                <w:sz w:val="16"/>
                <w:szCs w:val="16"/>
                <w:highlight w:val="red"/>
                <w:lang w:val="zh-CN" w:eastAsia="zh-CN"/>
                <w14:ligatures w14:val="none"/>
              </w:rPr>
              <w:t>43,953)</w:t>
            </w:r>
          </w:p>
        </w:tc>
        <w:tc>
          <w:tcPr>
            <w:tcW w:w="783" w:type="dxa"/>
            <w:tcBorders>
              <w:top w:val="nil"/>
              <w:left w:val="nil"/>
              <w:bottom w:val="single" w:sz="4" w:space="0" w:color="auto"/>
              <w:right w:val="single" w:sz="8" w:space="0" w:color="auto"/>
            </w:tcBorders>
            <w:shd w:val="clear" w:color="auto" w:fill="auto"/>
            <w:noWrap/>
            <w:vAlign w:val="bottom"/>
          </w:tcPr>
          <w:p w14:paraId="4C358387"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-3.0%</w:t>
            </w:r>
          </w:p>
        </w:tc>
      </w:tr>
      <w:tr w:rsidR="00D304CF" w:rsidRPr="00D304CF" w14:paraId="32AECEBC"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74AC25D9"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PIT</w:t>
            </w:r>
          </w:p>
        </w:tc>
        <w:tc>
          <w:tcPr>
            <w:tcW w:w="0" w:type="auto"/>
            <w:tcBorders>
              <w:top w:val="nil"/>
              <w:left w:val="nil"/>
              <w:bottom w:val="single" w:sz="4" w:space="0" w:color="auto"/>
              <w:right w:val="single" w:sz="4" w:space="0" w:color="auto"/>
            </w:tcBorders>
            <w:shd w:val="clear" w:color="000000" w:fill="D9E1F2"/>
            <w:noWrap/>
            <w:vAlign w:val="bottom"/>
          </w:tcPr>
          <w:p w14:paraId="0B34E5C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594,025</w:t>
            </w:r>
          </w:p>
        </w:tc>
        <w:tc>
          <w:tcPr>
            <w:tcW w:w="0" w:type="auto"/>
            <w:tcBorders>
              <w:top w:val="nil"/>
              <w:left w:val="nil"/>
              <w:bottom w:val="single" w:sz="4" w:space="0" w:color="auto"/>
              <w:right w:val="single" w:sz="4" w:space="0" w:color="auto"/>
            </w:tcBorders>
            <w:shd w:val="clear" w:color="000000" w:fill="D9E1F2"/>
            <w:vAlign w:val="bottom"/>
          </w:tcPr>
          <w:p w14:paraId="075FC52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592,203</w:t>
            </w:r>
          </w:p>
        </w:tc>
        <w:tc>
          <w:tcPr>
            <w:tcW w:w="0" w:type="auto"/>
            <w:tcBorders>
              <w:top w:val="nil"/>
              <w:left w:val="nil"/>
              <w:bottom w:val="single" w:sz="4" w:space="0" w:color="auto"/>
              <w:right w:val="single" w:sz="4" w:space="0" w:color="auto"/>
            </w:tcBorders>
            <w:shd w:val="clear" w:color="000000" w:fill="D9E1F2"/>
            <w:vAlign w:val="bottom"/>
          </w:tcPr>
          <w:p w14:paraId="001B5C69"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604,475</w:t>
            </w:r>
          </w:p>
        </w:tc>
        <w:tc>
          <w:tcPr>
            <w:tcW w:w="0" w:type="auto"/>
            <w:tcBorders>
              <w:top w:val="nil"/>
              <w:left w:val="nil"/>
              <w:bottom w:val="single" w:sz="4" w:space="0" w:color="auto"/>
              <w:right w:val="single" w:sz="4" w:space="0" w:color="auto"/>
            </w:tcBorders>
            <w:shd w:val="clear" w:color="000000" w:fill="D9E1F2"/>
            <w:vAlign w:val="bottom"/>
          </w:tcPr>
          <w:p w14:paraId="34B4E98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775,728</w:t>
            </w:r>
          </w:p>
        </w:tc>
        <w:tc>
          <w:tcPr>
            <w:tcW w:w="0" w:type="auto"/>
            <w:tcBorders>
              <w:top w:val="nil"/>
              <w:left w:val="nil"/>
              <w:bottom w:val="single" w:sz="4" w:space="0" w:color="auto"/>
              <w:right w:val="single" w:sz="4" w:space="0" w:color="auto"/>
            </w:tcBorders>
            <w:shd w:val="clear" w:color="000000" w:fill="B4C6E7"/>
            <w:vAlign w:val="bottom"/>
          </w:tcPr>
          <w:p w14:paraId="1B70DC6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2,566,431</w:t>
            </w:r>
          </w:p>
        </w:tc>
        <w:tc>
          <w:tcPr>
            <w:tcW w:w="0" w:type="auto"/>
            <w:tcBorders>
              <w:top w:val="nil"/>
              <w:left w:val="nil"/>
              <w:bottom w:val="single" w:sz="4" w:space="0" w:color="auto"/>
              <w:right w:val="single" w:sz="4" w:space="0" w:color="auto"/>
            </w:tcBorders>
            <w:shd w:val="clear" w:color="000000" w:fill="B4C6E7"/>
            <w:vAlign w:val="bottom"/>
          </w:tcPr>
          <w:p w14:paraId="53C35DC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2,480,812</w:t>
            </w:r>
          </w:p>
        </w:tc>
        <w:tc>
          <w:tcPr>
            <w:tcW w:w="0" w:type="auto"/>
            <w:tcBorders>
              <w:top w:val="nil"/>
              <w:left w:val="nil"/>
              <w:bottom w:val="single" w:sz="4" w:space="0" w:color="auto"/>
              <w:right w:val="single" w:sz="8" w:space="0" w:color="auto"/>
            </w:tcBorders>
            <w:shd w:val="clear" w:color="auto" w:fill="auto"/>
            <w:vAlign w:val="bottom"/>
          </w:tcPr>
          <w:p w14:paraId="08F0EA9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85,619</w:t>
            </w:r>
          </w:p>
        </w:tc>
        <w:tc>
          <w:tcPr>
            <w:tcW w:w="783" w:type="dxa"/>
            <w:tcBorders>
              <w:top w:val="nil"/>
              <w:left w:val="nil"/>
              <w:bottom w:val="single" w:sz="4" w:space="0" w:color="auto"/>
              <w:right w:val="single" w:sz="8" w:space="0" w:color="auto"/>
            </w:tcBorders>
            <w:shd w:val="clear" w:color="auto" w:fill="auto"/>
            <w:noWrap/>
            <w:vAlign w:val="bottom"/>
          </w:tcPr>
          <w:p w14:paraId="1D647A26"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3.5%</w:t>
            </w:r>
          </w:p>
        </w:tc>
      </w:tr>
      <w:tr w:rsidR="00D304CF" w:rsidRPr="00D304CF" w14:paraId="4CF2BBE1"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773DCE59"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en-GB" w:eastAsia="zh-CN"/>
                <w14:ligatures w14:val="none"/>
              </w:rPr>
            </w:pPr>
            <w:r w:rsidRPr="00D304CF">
              <w:rPr>
                <w:rFonts w:ascii="Baskerville Old Face" w:eastAsia="Times New Roman" w:hAnsi="Baskerville Old Face" w:cs="Calibri"/>
                <w:b/>
                <w:bCs/>
                <w:kern w:val="0"/>
                <w:sz w:val="16"/>
                <w:szCs w:val="16"/>
                <w:lang w:val="en-GB" w:eastAsia="zh-CN"/>
                <w14:ligatures w14:val="none"/>
              </w:rPr>
              <w:t>Goods and Services Tax (GST)</w:t>
            </w:r>
          </w:p>
        </w:tc>
        <w:tc>
          <w:tcPr>
            <w:tcW w:w="0" w:type="auto"/>
            <w:tcBorders>
              <w:top w:val="nil"/>
              <w:left w:val="nil"/>
              <w:bottom w:val="single" w:sz="4" w:space="0" w:color="auto"/>
              <w:right w:val="single" w:sz="4" w:space="0" w:color="auto"/>
            </w:tcBorders>
            <w:shd w:val="clear" w:color="000000" w:fill="D9E1F2"/>
            <w:noWrap/>
            <w:vAlign w:val="bottom"/>
          </w:tcPr>
          <w:p w14:paraId="1922142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480,312</w:t>
            </w:r>
          </w:p>
        </w:tc>
        <w:tc>
          <w:tcPr>
            <w:tcW w:w="0" w:type="auto"/>
            <w:tcBorders>
              <w:top w:val="nil"/>
              <w:left w:val="nil"/>
              <w:bottom w:val="single" w:sz="4" w:space="0" w:color="auto"/>
              <w:right w:val="single" w:sz="4" w:space="0" w:color="auto"/>
            </w:tcBorders>
            <w:shd w:val="clear" w:color="000000" w:fill="D9E1F2"/>
            <w:vAlign w:val="bottom"/>
          </w:tcPr>
          <w:p w14:paraId="4B6D1F9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426,981</w:t>
            </w:r>
          </w:p>
        </w:tc>
        <w:tc>
          <w:tcPr>
            <w:tcW w:w="0" w:type="auto"/>
            <w:tcBorders>
              <w:top w:val="nil"/>
              <w:left w:val="nil"/>
              <w:bottom w:val="single" w:sz="4" w:space="0" w:color="auto"/>
              <w:right w:val="single" w:sz="4" w:space="0" w:color="auto"/>
            </w:tcBorders>
            <w:shd w:val="clear" w:color="000000" w:fill="D9E1F2"/>
            <w:vAlign w:val="bottom"/>
          </w:tcPr>
          <w:p w14:paraId="3462FAB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606,778</w:t>
            </w:r>
          </w:p>
        </w:tc>
        <w:tc>
          <w:tcPr>
            <w:tcW w:w="0" w:type="auto"/>
            <w:tcBorders>
              <w:top w:val="nil"/>
              <w:left w:val="nil"/>
              <w:bottom w:val="single" w:sz="4" w:space="0" w:color="auto"/>
              <w:right w:val="single" w:sz="4" w:space="0" w:color="auto"/>
            </w:tcBorders>
            <w:shd w:val="clear" w:color="000000" w:fill="D9E1F2"/>
            <w:vAlign w:val="bottom"/>
          </w:tcPr>
          <w:p w14:paraId="5439242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582,544</w:t>
            </w:r>
          </w:p>
        </w:tc>
        <w:tc>
          <w:tcPr>
            <w:tcW w:w="0" w:type="auto"/>
            <w:tcBorders>
              <w:top w:val="nil"/>
              <w:left w:val="nil"/>
              <w:bottom w:val="single" w:sz="4" w:space="0" w:color="auto"/>
              <w:right w:val="single" w:sz="4" w:space="0" w:color="auto"/>
            </w:tcBorders>
            <w:shd w:val="clear" w:color="000000" w:fill="B4C6E7"/>
            <w:vAlign w:val="bottom"/>
          </w:tcPr>
          <w:p w14:paraId="2F2CFF0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2,096,615</w:t>
            </w:r>
          </w:p>
        </w:tc>
        <w:tc>
          <w:tcPr>
            <w:tcW w:w="0" w:type="auto"/>
            <w:tcBorders>
              <w:top w:val="nil"/>
              <w:left w:val="nil"/>
              <w:bottom w:val="single" w:sz="4" w:space="0" w:color="auto"/>
              <w:right w:val="single" w:sz="4" w:space="0" w:color="auto"/>
            </w:tcBorders>
            <w:shd w:val="clear" w:color="000000" w:fill="B4C6E7"/>
            <w:vAlign w:val="bottom"/>
          </w:tcPr>
          <w:p w14:paraId="6C4089F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2,142,435</w:t>
            </w:r>
          </w:p>
        </w:tc>
        <w:tc>
          <w:tcPr>
            <w:tcW w:w="0" w:type="auto"/>
            <w:tcBorders>
              <w:top w:val="nil"/>
              <w:left w:val="nil"/>
              <w:bottom w:val="single" w:sz="4" w:space="0" w:color="auto"/>
              <w:right w:val="single" w:sz="8" w:space="0" w:color="auto"/>
            </w:tcBorders>
            <w:shd w:val="clear" w:color="auto" w:fill="auto"/>
            <w:vAlign w:val="bottom"/>
          </w:tcPr>
          <w:p w14:paraId="02FA453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(45,820)</w:t>
            </w:r>
          </w:p>
        </w:tc>
        <w:tc>
          <w:tcPr>
            <w:tcW w:w="783" w:type="dxa"/>
            <w:tcBorders>
              <w:top w:val="nil"/>
              <w:left w:val="nil"/>
              <w:bottom w:val="single" w:sz="4" w:space="0" w:color="auto"/>
              <w:right w:val="single" w:sz="8" w:space="0" w:color="auto"/>
            </w:tcBorders>
            <w:shd w:val="clear" w:color="auto" w:fill="auto"/>
            <w:noWrap/>
            <w:vAlign w:val="bottom"/>
          </w:tcPr>
          <w:p w14:paraId="563F1418"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-2.1%</w:t>
            </w:r>
          </w:p>
        </w:tc>
      </w:tr>
      <w:tr w:rsidR="00D304CF" w:rsidRPr="00D304CF" w14:paraId="4D35CDE0"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171E8B72"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Import GST</w:t>
            </w:r>
          </w:p>
        </w:tc>
        <w:tc>
          <w:tcPr>
            <w:tcW w:w="0" w:type="auto"/>
            <w:tcBorders>
              <w:top w:val="nil"/>
              <w:left w:val="nil"/>
              <w:bottom w:val="single" w:sz="4" w:space="0" w:color="auto"/>
              <w:right w:val="single" w:sz="4" w:space="0" w:color="auto"/>
            </w:tcBorders>
            <w:shd w:val="clear" w:color="000000" w:fill="D9E1F2"/>
            <w:noWrap/>
            <w:vAlign w:val="bottom"/>
          </w:tcPr>
          <w:p w14:paraId="09D84CB0"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245,829</w:t>
            </w:r>
          </w:p>
        </w:tc>
        <w:tc>
          <w:tcPr>
            <w:tcW w:w="0" w:type="auto"/>
            <w:tcBorders>
              <w:top w:val="nil"/>
              <w:left w:val="nil"/>
              <w:bottom w:val="single" w:sz="4" w:space="0" w:color="auto"/>
              <w:right w:val="single" w:sz="4" w:space="0" w:color="auto"/>
            </w:tcBorders>
            <w:shd w:val="clear" w:color="000000" w:fill="D9E1F2"/>
            <w:vAlign w:val="bottom"/>
          </w:tcPr>
          <w:p w14:paraId="4A02BF3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248,491</w:t>
            </w:r>
          </w:p>
        </w:tc>
        <w:tc>
          <w:tcPr>
            <w:tcW w:w="0" w:type="auto"/>
            <w:tcBorders>
              <w:top w:val="nil"/>
              <w:left w:val="nil"/>
              <w:bottom w:val="single" w:sz="4" w:space="0" w:color="auto"/>
              <w:right w:val="single" w:sz="4" w:space="0" w:color="auto"/>
            </w:tcBorders>
            <w:shd w:val="clear" w:color="000000" w:fill="D9E1F2"/>
            <w:vAlign w:val="bottom"/>
          </w:tcPr>
          <w:p w14:paraId="666ECBE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292,826</w:t>
            </w:r>
          </w:p>
        </w:tc>
        <w:tc>
          <w:tcPr>
            <w:tcW w:w="0" w:type="auto"/>
            <w:tcBorders>
              <w:top w:val="nil"/>
              <w:left w:val="nil"/>
              <w:bottom w:val="single" w:sz="4" w:space="0" w:color="auto"/>
              <w:right w:val="single" w:sz="4" w:space="0" w:color="auto"/>
            </w:tcBorders>
            <w:shd w:val="clear" w:color="000000" w:fill="D9E1F2"/>
            <w:vAlign w:val="bottom"/>
          </w:tcPr>
          <w:p w14:paraId="4390D00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307,130</w:t>
            </w:r>
          </w:p>
        </w:tc>
        <w:tc>
          <w:tcPr>
            <w:tcW w:w="0" w:type="auto"/>
            <w:tcBorders>
              <w:top w:val="nil"/>
              <w:left w:val="nil"/>
              <w:bottom w:val="single" w:sz="4" w:space="0" w:color="auto"/>
              <w:right w:val="single" w:sz="4" w:space="0" w:color="auto"/>
            </w:tcBorders>
            <w:shd w:val="clear" w:color="000000" w:fill="B4C6E7"/>
            <w:vAlign w:val="bottom"/>
          </w:tcPr>
          <w:p w14:paraId="2589937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1,094,276</w:t>
            </w:r>
          </w:p>
        </w:tc>
        <w:tc>
          <w:tcPr>
            <w:tcW w:w="0" w:type="auto"/>
            <w:tcBorders>
              <w:top w:val="nil"/>
              <w:left w:val="nil"/>
              <w:bottom w:val="single" w:sz="4" w:space="0" w:color="auto"/>
              <w:right w:val="single" w:sz="4" w:space="0" w:color="auto"/>
            </w:tcBorders>
            <w:shd w:val="clear" w:color="000000" w:fill="B4C6E7"/>
            <w:vAlign w:val="bottom"/>
          </w:tcPr>
          <w:p w14:paraId="29EAAD1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1,176,316</w:t>
            </w:r>
          </w:p>
        </w:tc>
        <w:tc>
          <w:tcPr>
            <w:tcW w:w="0" w:type="auto"/>
            <w:tcBorders>
              <w:top w:val="nil"/>
              <w:left w:val="nil"/>
              <w:bottom w:val="single" w:sz="4" w:space="0" w:color="auto"/>
              <w:right w:val="single" w:sz="8" w:space="0" w:color="auto"/>
            </w:tcBorders>
            <w:shd w:val="clear" w:color="auto" w:fill="auto"/>
            <w:vAlign w:val="bottom"/>
          </w:tcPr>
          <w:p w14:paraId="2AFF576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red"/>
                <w:lang w:val="zh-CN" w:eastAsia="zh-CN"/>
                <w14:ligatures w14:val="none"/>
              </w:rPr>
              <w:t>(82,040)</w:t>
            </w:r>
          </w:p>
        </w:tc>
        <w:tc>
          <w:tcPr>
            <w:tcW w:w="783" w:type="dxa"/>
            <w:tcBorders>
              <w:top w:val="nil"/>
              <w:left w:val="nil"/>
              <w:bottom w:val="single" w:sz="4" w:space="0" w:color="auto"/>
              <w:right w:val="single" w:sz="8" w:space="0" w:color="auto"/>
            </w:tcBorders>
            <w:shd w:val="clear" w:color="auto" w:fill="auto"/>
            <w:noWrap/>
            <w:vAlign w:val="bottom"/>
          </w:tcPr>
          <w:p w14:paraId="20C8AA31"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-7.0%</w:t>
            </w:r>
          </w:p>
        </w:tc>
      </w:tr>
      <w:tr w:rsidR="00D304CF" w:rsidRPr="00D304CF" w14:paraId="4FA00CC3"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2427ED6F"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Domestic GST</w:t>
            </w:r>
          </w:p>
        </w:tc>
        <w:tc>
          <w:tcPr>
            <w:tcW w:w="0" w:type="auto"/>
            <w:tcBorders>
              <w:top w:val="nil"/>
              <w:left w:val="nil"/>
              <w:bottom w:val="single" w:sz="4" w:space="0" w:color="auto"/>
              <w:right w:val="single" w:sz="4" w:space="0" w:color="auto"/>
            </w:tcBorders>
            <w:shd w:val="clear" w:color="000000" w:fill="D9E1F2"/>
            <w:noWrap/>
            <w:vAlign w:val="bottom"/>
          </w:tcPr>
          <w:p w14:paraId="2ACC73B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234,482</w:t>
            </w:r>
          </w:p>
        </w:tc>
        <w:tc>
          <w:tcPr>
            <w:tcW w:w="0" w:type="auto"/>
            <w:tcBorders>
              <w:top w:val="nil"/>
              <w:left w:val="nil"/>
              <w:bottom w:val="single" w:sz="4" w:space="0" w:color="auto"/>
              <w:right w:val="single" w:sz="4" w:space="0" w:color="auto"/>
            </w:tcBorders>
            <w:shd w:val="clear" w:color="000000" w:fill="D9E1F2"/>
            <w:vAlign w:val="bottom"/>
          </w:tcPr>
          <w:p w14:paraId="0081379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178,490</w:t>
            </w:r>
          </w:p>
        </w:tc>
        <w:tc>
          <w:tcPr>
            <w:tcW w:w="0" w:type="auto"/>
            <w:tcBorders>
              <w:top w:val="nil"/>
              <w:left w:val="nil"/>
              <w:bottom w:val="single" w:sz="4" w:space="0" w:color="auto"/>
              <w:right w:val="single" w:sz="4" w:space="0" w:color="auto"/>
            </w:tcBorders>
            <w:shd w:val="clear" w:color="000000" w:fill="D9E1F2"/>
            <w:vAlign w:val="bottom"/>
          </w:tcPr>
          <w:p w14:paraId="783F319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313,952</w:t>
            </w:r>
          </w:p>
        </w:tc>
        <w:tc>
          <w:tcPr>
            <w:tcW w:w="0" w:type="auto"/>
            <w:tcBorders>
              <w:top w:val="nil"/>
              <w:left w:val="nil"/>
              <w:bottom w:val="single" w:sz="4" w:space="0" w:color="auto"/>
              <w:right w:val="single" w:sz="4" w:space="0" w:color="auto"/>
            </w:tcBorders>
            <w:shd w:val="clear" w:color="000000" w:fill="D9E1F2"/>
            <w:vAlign w:val="bottom"/>
          </w:tcPr>
          <w:p w14:paraId="2B5F3AF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275,415</w:t>
            </w:r>
          </w:p>
        </w:tc>
        <w:tc>
          <w:tcPr>
            <w:tcW w:w="0" w:type="auto"/>
            <w:tcBorders>
              <w:top w:val="nil"/>
              <w:left w:val="nil"/>
              <w:bottom w:val="single" w:sz="4" w:space="0" w:color="auto"/>
              <w:right w:val="single" w:sz="4" w:space="0" w:color="auto"/>
            </w:tcBorders>
            <w:shd w:val="clear" w:color="000000" w:fill="B4C6E7"/>
            <w:vAlign w:val="bottom"/>
          </w:tcPr>
          <w:p w14:paraId="7F66D0F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1,002,340</w:t>
            </w:r>
          </w:p>
        </w:tc>
        <w:tc>
          <w:tcPr>
            <w:tcW w:w="0" w:type="auto"/>
            <w:tcBorders>
              <w:top w:val="nil"/>
              <w:left w:val="nil"/>
              <w:bottom w:val="single" w:sz="4" w:space="0" w:color="auto"/>
              <w:right w:val="single" w:sz="4" w:space="0" w:color="auto"/>
            </w:tcBorders>
            <w:shd w:val="clear" w:color="000000" w:fill="B4C6E7"/>
            <w:vAlign w:val="bottom"/>
          </w:tcPr>
          <w:p w14:paraId="266B00B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966,119</w:t>
            </w:r>
          </w:p>
        </w:tc>
        <w:tc>
          <w:tcPr>
            <w:tcW w:w="0" w:type="auto"/>
            <w:tcBorders>
              <w:top w:val="nil"/>
              <w:left w:val="nil"/>
              <w:bottom w:val="single" w:sz="4" w:space="0" w:color="auto"/>
              <w:right w:val="single" w:sz="8" w:space="0" w:color="auto"/>
            </w:tcBorders>
            <w:shd w:val="clear" w:color="auto" w:fill="auto"/>
            <w:vAlign w:val="bottom"/>
          </w:tcPr>
          <w:p w14:paraId="7206A7C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36,221</w:t>
            </w:r>
          </w:p>
        </w:tc>
        <w:tc>
          <w:tcPr>
            <w:tcW w:w="783" w:type="dxa"/>
            <w:tcBorders>
              <w:top w:val="nil"/>
              <w:left w:val="nil"/>
              <w:bottom w:val="single" w:sz="4" w:space="0" w:color="auto"/>
              <w:right w:val="single" w:sz="8" w:space="0" w:color="auto"/>
            </w:tcBorders>
            <w:shd w:val="clear" w:color="auto" w:fill="auto"/>
            <w:noWrap/>
            <w:vAlign w:val="bottom"/>
          </w:tcPr>
          <w:p w14:paraId="045F1B1E"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3.7%</w:t>
            </w:r>
          </w:p>
        </w:tc>
      </w:tr>
      <w:tr w:rsidR="00D304CF" w:rsidRPr="00D304CF" w14:paraId="6675170D"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4A167DE4"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u w:val="single"/>
                <w:lang w:val="zh-CN" w:eastAsia="zh-CN"/>
                <w14:ligatures w14:val="none"/>
              </w:rPr>
            </w:pPr>
            <w:r w:rsidRPr="00D304CF">
              <w:rPr>
                <w:rFonts w:ascii="Baskerville Old Face" w:eastAsia="Times New Roman" w:hAnsi="Baskerville Old Face" w:cs="Calibri"/>
                <w:b/>
                <w:bCs/>
                <w:kern w:val="0"/>
                <w:sz w:val="16"/>
                <w:szCs w:val="16"/>
                <w:u w:val="single"/>
                <w:lang w:val="zh-CN" w:eastAsia="zh-CN"/>
                <w14:ligatures w14:val="none"/>
              </w:rPr>
              <w:t>CUSTOMS SERVICE DEPARTMENT (CSD)</w:t>
            </w:r>
          </w:p>
        </w:tc>
        <w:tc>
          <w:tcPr>
            <w:tcW w:w="0" w:type="auto"/>
            <w:tcBorders>
              <w:top w:val="nil"/>
              <w:left w:val="nil"/>
              <w:bottom w:val="single" w:sz="4" w:space="0" w:color="auto"/>
              <w:right w:val="single" w:sz="4" w:space="0" w:color="auto"/>
            </w:tcBorders>
            <w:shd w:val="clear" w:color="000000" w:fill="D9E1F2"/>
            <w:noWrap/>
            <w:vAlign w:val="bottom"/>
          </w:tcPr>
          <w:p w14:paraId="5BE860A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310,971</w:t>
            </w:r>
          </w:p>
        </w:tc>
        <w:tc>
          <w:tcPr>
            <w:tcW w:w="0" w:type="auto"/>
            <w:tcBorders>
              <w:top w:val="nil"/>
              <w:left w:val="nil"/>
              <w:bottom w:val="single" w:sz="4" w:space="0" w:color="auto"/>
              <w:right w:val="single" w:sz="4" w:space="0" w:color="auto"/>
            </w:tcBorders>
            <w:shd w:val="clear" w:color="000000" w:fill="D9E1F2"/>
            <w:vAlign w:val="bottom"/>
          </w:tcPr>
          <w:p w14:paraId="7CCFE14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386,049</w:t>
            </w:r>
          </w:p>
        </w:tc>
        <w:tc>
          <w:tcPr>
            <w:tcW w:w="0" w:type="auto"/>
            <w:tcBorders>
              <w:top w:val="nil"/>
              <w:left w:val="nil"/>
              <w:bottom w:val="single" w:sz="4" w:space="0" w:color="auto"/>
              <w:right w:val="single" w:sz="4" w:space="0" w:color="auto"/>
            </w:tcBorders>
            <w:shd w:val="clear" w:color="000000" w:fill="D9E1F2"/>
            <w:vAlign w:val="bottom"/>
          </w:tcPr>
          <w:p w14:paraId="4E02EE29"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426,403</w:t>
            </w:r>
          </w:p>
        </w:tc>
        <w:tc>
          <w:tcPr>
            <w:tcW w:w="0" w:type="auto"/>
            <w:tcBorders>
              <w:top w:val="nil"/>
              <w:left w:val="nil"/>
              <w:bottom w:val="single" w:sz="4" w:space="0" w:color="auto"/>
              <w:right w:val="single" w:sz="4" w:space="0" w:color="auto"/>
            </w:tcBorders>
            <w:shd w:val="clear" w:color="000000" w:fill="D9E1F2"/>
            <w:vAlign w:val="bottom"/>
          </w:tcPr>
          <w:p w14:paraId="617774B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640,398</w:t>
            </w:r>
          </w:p>
        </w:tc>
        <w:tc>
          <w:tcPr>
            <w:tcW w:w="0" w:type="auto"/>
            <w:tcBorders>
              <w:top w:val="nil"/>
              <w:left w:val="nil"/>
              <w:bottom w:val="single" w:sz="4" w:space="0" w:color="auto"/>
              <w:right w:val="single" w:sz="4" w:space="0" w:color="auto"/>
            </w:tcBorders>
            <w:shd w:val="clear" w:color="000000" w:fill="B4C6E7"/>
            <w:vAlign w:val="bottom"/>
          </w:tcPr>
          <w:p w14:paraId="3EC621F8"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1,763,821</w:t>
            </w:r>
          </w:p>
        </w:tc>
        <w:tc>
          <w:tcPr>
            <w:tcW w:w="0" w:type="auto"/>
            <w:tcBorders>
              <w:top w:val="nil"/>
              <w:left w:val="nil"/>
              <w:bottom w:val="single" w:sz="4" w:space="0" w:color="auto"/>
              <w:right w:val="single" w:sz="4" w:space="0" w:color="auto"/>
            </w:tcBorders>
            <w:shd w:val="clear" w:color="000000" w:fill="B4C6E7"/>
            <w:vAlign w:val="bottom"/>
          </w:tcPr>
          <w:p w14:paraId="5212007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1,827,655</w:t>
            </w:r>
          </w:p>
        </w:tc>
        <w:tc>
          <w:tcPr>
            <w:tcW w:w="0" w:type="auto"/>
            <w:tcBorders>
              <w:top w:val="nil"/>
              <w:left w:val="nil"/>
              <w:bottom w:val="single" w:sz="4" w:space="0" w:color="auto"/>
              <w:right w:val="single" w:sz="8" w:space="0" w:color="auto"/>
            </w:tcBorders>
            <w:shd w:val="clear" w:color="auto" w:fill="auto"/>
            <w:vAlign w:val="bottom"/>
          </w:tcPr>
          <w:p w14:paraId="17A9634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(63,833)</w:t>
            </w:r>
          </w:p>
        </w:tc>
        <w:tc>
          <w:tcPr>
            <w:tcW w:w="783" w:type="dxa"/>
            <w:tcBorders>
              <w:top w:val="nil"/>
              <w:left w:val="nil"/>
              <w:bottom w:val="single" w:sz="4" w:space="0" w:color="auto"/>
              <w:right w:val="single" w:sz="8" w:space="0" w:color="auto"/>
            </w:tcBorders>
            <w:shd w:val="clear" w:color="auto" w:fill="auto"/>
            <w:noWrap/>
            <w:vAlign w:val="bottom"/>
          </w:tcPr>
          <w:p w14:paraId="5852402E"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-3.5%</w:t>
            </w:r>
          </w:p>
        </w:tc>
      </w:tr>
      <w:tr w:rsidR="00D304CF" w:rsidRPr="00D304CF" w14:paraId="718E3AAD"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35022E9B"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 xml:space="preserve"> Import Duties</w:t>
            </w:r>
          </w:p>
        </w:tc>
        <w:tc>
          <w:tcPr>
            <w:tcW w:w="0" w:type="auto"/>
            <w:tcBorders>
              <w:top w:val="nil"/>
              <w:left w:val="nil"/>
              <w:bottom w:val="single" w:sz="4" w:space="0" w:color="auto"/>
              <w:right w:val="single" w:sz="4" w:space="0" w:color="auto"/>
            </w:tcBorders>
            <w:shd w:val="clear" w:color="000000" w:fill="D9E1F2"/>
            <w:noWrap/>
            <w:vAlign w:val="bottom"/>
          </w:tcPr>
          <w:p w14:paraId="2FC2C4D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240,398</w:t>
            </w:r>
          </w:p>
        </w:tc>
        <w:tc>
          <w:tcPr>
            <w:tcW w:w="0" w:type="auto"/>
            <w:tcBorders>
              <w:top w:val="nil"/>
              <w:left w:val="nil"/>
              <w:bottom w:val="single" w:sz="4" w:space="0" w:color="auto"/>
              <w:right w:val="single" w:sz="4" w:space="0" w:color="auto"/>
            </w:tcBorders>
            <w:shd w:val="clear" w:color="000000" w:fill="D9E1F2"/>
            <w:vAlign w:val="bottom"/>
          </w:tcPr>
          <w:p w14:paraId="5E05CEA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278,436</w:t>
            </w:r>
          </w:p>
        </w:tc>
        <w:tc>
          <w:tcPr>
            <w:tcW w:w="0" w:type="auto"/>
            <w:tcBorders>
              <w:top w:val="nil"/>
              <w:left w:val="nil"/>
              <w:bottom w:val="single" w:sz="4" w:space="0" w:color="auto"/>
              <w:right w:val="single" w:sz="4" w:space="0" w:color="auto"/>
            </w:tcBorders>
            <w:shd w:val="clear" w:color="000000" w:fill="D9E1F2"/>
            <w:vAlign w:val="bottom"/>
          </w:tcPr>
          <w:p w14:paraId="1FD5F47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334,818</w:t>
            </w:r>
          </w:p>
        </w:tc>
        <w:tc>
          <w:tcPr>
            <w:tcW w:w="0" w:type="auto"/>
            <w:tcBorders>
              <w:top w:val="nil"/>
              <w:left w:val="single" w:sz="4" w:space="0" w:color="auto"/>
              <w:bottom w:val="single" w:sz="4" w:space="0" w:color="auto"/>
              <w:right w:val="single" w:sz="4" w:space="0" w:color="auto"/>
            </w:tcBorders>
            <w:shd w:val="clear" w:color="000000" w:fill="D9E1F2"/>
            <w:vAlign w:val="bottom"/>
          </w:tcPr>
          <w:p w14:paraId="6E109FF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341,075</w:t>
            </w:r>
          </w:p>
        </w:tc>
        <w:tc>
          <w:tcPr>
            <w:tcW w:w="0" w:type="auto"/>
            <w:tcBorders>
              <w:top w:val="nil"/>
              <w:left w:val="nil"/>
              <w:bottom w:val="single" w:sz="4" w:space="0" w:color="auto"/>
              <w:right w:val="single" w:sz="4" w:space="0" w:color="auto"/>
            </w:tcBorders>
            <w:shd w:val="clear" w:color="000000" w:fill="B4C6E7"/>
            <w:vAlign w:val="bottom"/>
          </w:tcPr>
          <w:p w14:paraId="0ED4E68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1,194,727</w:t>
            </w:r>
          </w:p>
        </w:tc>
        <w:tc>
          <w:tcPr>
            <w:tcW w:w="0" w:type="auto"/>
            <w:tcBorders>
              <w:top w:val="nil"/>
              <w:left w:val="nil"/>
              <w:bottom w:val="single" w:sz="4" w:space="0" w:color="auto"/>
              <w:right w:val="single" w:sz="4" w:space="0" w:color="auto"/>
            </w:tcBorders>
            <w:shd w:val="clear" w:color="000000" w:fill="B4C6E7"/>
            <w:vAlign w:val="bottom"/>
          </w:tcPr>
          <w:p w14:paraId="189C73D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1,176,316</w:t>
            </w:r>
          </w:p>
        </w:tc>
        <w:tc>
          <w:tcPr>
            <w:tcW w:w="0" w:type="auto"/>
            <w:tcBorders>
              <w:top w:val="nil"/>
              <w:left w:val="nil"/>
              <w:bottom w:val="single" w:sz="4" w:space="0" w:color="auto"/>
              <w:right w:val="single" w:sz="8" w:space="0" w:color="auto"/>
            </w:tcBorders>
            <w:shd w:val="clear" w:color="auto" w:fill="auto"/>
            <w:vAlign w:val="bottom"/>
          </w:tcPr>
          <w:p w14:paraId="45145AF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18,411</w:t>
            </w:r>
          </w:p>
        </w:tc>
        <w:tc>
          <w:tcPr>
            <w:tcW w:w="783" w:type="dxa"/>
            <w:tcBorders>
              <w:top w:val="nil"/>
              <w:left w:val="nil"/>
              <w:bottom w:val="single" w:sz="4" w:space="0" w:color="auto"/>
              <w:right w:val="single" w:sz="8" w:space="0" w:color="auto"/>
            </w:tcBorders>
            <w:shd w:val="clear" w:color="auto" w:fill="auto"/>
            <w:noWrap/>
            <w:vAlign w:val="bottom"/>
          </w:tcPr>
          <w:p w14:paraId="38F386FC"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1.6%</w:t>
            </w:r>
          </w:p>
        </w:tc>
      </w:tr>
      <w:tr w:rsidR="00D304CF" w:rsidRPr="00D304CF" w14:paraId="470939CB"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786DE379"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Excise on Petroleum</w:t>
            </w:r>
          </w:p>
        </w:tc>
        <w:tc>
          <w:tcPr>
            <w:tcW w:w="0" w:type="auto"/>
            <w:tcBorders>
              <w:top w:val="nil"/>
              <w:left w:val="nil"/>
              <w:bottom w:val="single" w:sz="4" w:space="0" w:color="auto"/>
              <w:right w:val="single" w:sz="4" w:space="0" w:color="auto"/>
            </w:tcBorders>
            <w:shd w:val="clear" w:color="000000" w:fill="D9E1F2"/>
            <w:noWrap/>
            <w:vAlign w:val="bottom"/>
          </w:tcPr>
          <w:p w14:paraId="2ABC9710"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52,142</w:t>
            </w:r>
          </w:p>
        </w:tc>
        <w:tc>
          <w:tcPr>
            <w:tcW w:w="0" w:type="auto"/>
            <w:tcBorders>
              <w:top w:val="nil"/>
              <w:left w:val="nil"/>
              <w:bottom w:val="single" w:sz="4" w:space="0" w:color="auto"/>
              <w:right w:val="single" w:sz="4" w:space="0" w:color="auto"/>
            </w:tcBorders>
            <w:shd w:val="clear" w:color="000000" w:fill="D9E1F2"/>
            <w:vAlign w:val="bottom"/>
          </w:tcPr>
          <w:p w14:paraId="1FFC0F4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67,226</w:t>
            </w:r>
          </w:p>
        </w:tc>
        <w:tc>
          <w:tcPr>
            <w:tcW w:w="0" w:type="auto"/>
            <w:tcBorders>
              <w:top w:val="nil"/>
              <w:left w:val="nil"/>
              <w:bottom w:val="single" w:sz="4" w:space="0" w:color="auto"/>
              <w:right w:val="single" w:sz="4" w:space="0" w:color="auto"/>
            </w:tcBorders>
            <w:shd w:val="clear" w:color="000000" w:fill="D9E1F2"/>
            <w:vAlign w:val="bottom"/>
          </w:tcPr>
          <w:p w14:paraId="23E25E00"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76,286</w:t>
            </w:r>
          </w:p>
        </w:tc>
        <w:tc>
          <w:tcPr>
            <w:tcW w:w="0" w:type="auto"/>
            <w:tcBorders>
              <w:top w:val="nil"/>
              <w:left w:val="single" w:sz="4" w:space="0" w:color="auto"/>
              <w:bottom w:val="single" w:sz="4" w:space="0" w:color="auto"/>
              <w:right w:val="single" w:sz="4" w:space="0" w:color="auto"/>
            </w:tcBorders>
            <w:shd w:val="clear" w:color="000000" w:fill="D9E1F2"/>
            <w:vAlign w:val="bottom"/>
          </w:tcPr>
          <w:p w14:paraId="3E3CE59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270,630</w:t>
            </w:r>
          </w:p>
        </w:tc>
        <w:tc>
          <w:tcPr>
            <w:tcW w:w="0" w:type="auto"/>
            <w:tcBorders>
              <w:top w:val="nil"/>
              <w:left w:val="nil"/>
              <w:bottom w:val="single" w:sz="4" w:space="0" w:color="auto"/>
              <w:right w:val="single" w:sz="4" w:space="0" w:color="auto"/>
            </w:tcBorders>
            <w:shd w:val="clear" w:color="000000" w:fill="B4C6E7"/>
            <w:vAlign w:val="bottom"/>
          </w:tcPr>
          <w:p w14:paraId="41419A0B"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466,284</w:t>
            </w:r>
          </w:p>
        </w:tc>
        <w:tc>
          <w:tcPr>
            <w:tcW w:w="0" w:type="auto"/>
            <w:tcBorders>
              <w:top w:val="nil"/>
              <w:left w:val="nil"/>
              <w:bottom w:val="single" w:sz="4" w:space="0" w:color="auto"/>
              <w:right w:val="single" w:sz="4" w:space="0" w:color="auto"/>
            </w:tcBorders>
            <w:shd w:val="clear" w:color="000000" w:fill="B4C6E7"/>
            <w:vAlign w:val="bottom"/>
          </w:tcPr>
          <w:p w14:paraId="0CBF61F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516,229</w:t>
            </w:r>
          </w:p>
        </w:tc>
        <w:tc>
          <w:tcPr>
            <w:tcW w:w="0" w:type="auto"/>
            <w:tcBorders>
              <w:top w:val="nil"/>
              <w:left w:val="nil"/>
              <w:bottom w:val="single" w:sz="4" w:space="0" w:color="auto"/>
              <w:right w:val="single" w:sz="8" w:space="0" w:color="auto"/>
            </w:tcBorders>
            <w:shd w:val="clear" w:color="auto" w:fill="auto"/>
            <w:vAlign w:val="bottom"/>
          </w:tcPr>
          <w:p w14:paraId="251D8BD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red"/>
                <w:lang w:val="zh-CN" w:eastAsia="zh-CN"/>
                <w14:ligatures w14:val="none"/>
              </w:rPr>
              <w:t>(49,945)</w:t>
            </w:r>
          </w:p>
        </w:tc>
        <w:tc>
          <w:tcPr>
            <w:tcW w:w="783" w:type="dxa"/>
            <w:tcBorders>
              <w:top w:val="nil"/>
              <w:left w:val="nil"/>
              <w:bottom w:val="single" w:sz="4" w:space="0" w:color="auto"/>
              <w:right w:val="single" w:sz="8" w:space="0" w:color="auto"/>
            </w:tcBorders>
            <w:shd w:val="clear" w:color="auto" w:fill="auto"/>
            <w:noWrap/>
            <w:vAlign w:val="bottom"/>
          </w:tcPr>
          <w:p w14:paraId="798A3B13"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-9.7%</w:t>
            </w:r>
          </w:p>
        </w:tc>
      </w:tr>
      <w:tr w:rsidR="00D304CF" w:rsidRPr="00D304CF" w14:paraId="73C28143"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47FAFE2E" w14:textId="77777777" w:rsidR="00D304CF" w:rsidRPr="00D304CF" w:rsidRDefault="00D304CF" w:rsidP="00D304CF">
            <w:pPr>
              <w:spacing w:after="0" w:line="240" w:lineRule="auto"/>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Other Excise</w:t>
            </w:r>
          </w:p>
        </w:tc>
        <w:tc>
          <w:tcPr>
            <w:tcW w:w="0" w:type="auto"/>
            <w:tcBorders>
              <w:top w:val="nil"/>
              <w:left w:val="nil"/>
              <w:bottom w:val="single" w:sz="4" w:space="0" w:color="auto"/>
              <w:right w:val="single" w:sz="4" w:space="0" w:color="auto"/>
            </w:tcBorders>
            <w:shd w:val="clear" w:color="000000" w:fill="D9E1F2"/>
            <w:noWrap/>
            <w:vAlign w:val="bottom"/>
          </w:tcPr>
          <w:p w14:paraId="02F617F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18,431</w:t>
            </w:r>
          </w:p>
        </w:tc>
        <w:tc>
          <w:tcPr>
            <w:tcW w:w="0" w:type="auto"/>
            <w:tcBorders>
              <w:top w:val="nil"/>
              <w:left w:val="nil"/>
              <w:bottom w:val="single" w:sz="4" w:space="0" w:color="auto"/>
              <w:right w:val="single" w:sz="4" w:space="0" w:color="auto"/>
            </w:tcBorders>
            <w:shd w:val="clear" w:color="000000" w:fill="D9E1F2"/>
            <w:vAlign w:val="bottom"/>
          </w:tcPr>
          <w:p w14:paraId="3601E56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40,386</w:t>
            </w:r>
          </w:p>
        </w:tc>
        <w:tc>
          <w:tcPr>
            <w:tcW w:w="0" w:type="auto"/>
            <w:tcBorders>
              <w:top w:val="nil"/>
              <w:left w:val="nil"/>
              <w:bottom w:val="single" w:sz="4" w:space="0" w:color="auto"/>
              <w:right w:val="single" w:sz="4" w:space="0" w:color="auto"/>
            </w:tcBorders>
            <w:shd w:val="clear" w:color="000000" w:fill="D9E1F2"/>
            <w:vAlign w:val="bottom"/>
          </w:tcPr>
          <w:p w14:paraId="01CA5A4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15,299</w:t>
            </w:r>
          </w:p>
        </w:tc>
        <w:tc>
          <w:tcPr>
            <w:tcW w:w="0" w:type="auto"/>
            <w:tcBorders>
              <w:top w:val="nil"/>
              <w:left w:val="single" w:sz="4" w:space="0" w:color="auto"/>
              <w:bottom w:val="single" w:sz="4" w:space="0" w:color="auto"/>
              <w:right w:val="single" w:sz="4" w:space="0" w:color="auto"/>
            </w:tcBorders>
            <w:shd w:val="clear" w:color="000000" w:fill="D9E1F2"/>
            <w:vAlign w:val="bottom"/>
          </w:tcPr>
          <w:p w14:paraId="4AF5B5E0"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28,693</w:t>
            </w:r>
          </w:p>
        </w:tc>
        <w:tc>
          <w:tcPr>
            <w:tcW w:w="0" w:type="auto"/>
            <w:tcBorders>
              <w:top w:val="nil"/>
              <w:left w:val="nil"/>
              <w:bottom w:val="single" w:sz="4" w:space="0" w:color="auto"/>
              <w:right w:val="single" w:sz="4" w:space="0" w:color="auto"/>
            </w:tcBorders>
            <w:shd w:val="clear" w:color="000000" w:fill="B4C6E7"/>
            <w:vAlign w:val="bottom"/>
          </w:tcPr>
          <w:p w14:paraId="4F4F1DA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102,810</w:t>
            </w:r>
          </w:p>
        </w:tc>
        <w:tc>
          <w:tcPr>
            <w:tcW w:w="0" w:type="auto"/>
            <w:tcBorders>
              <w:top w:val="nil"/>
              <w:left w:val="nil"/>
              <w:bottom w:val="single" w:sz="4" w:space="0" w:color="auto"/>
              <w:right w:val="single" w:sz="4" w:space="0" w:color="auto"/>
            </w:tcBorders>
            <w:shd w:val="clear" w:color="000000" w:fill="B4C6E7"/>
            <w:vAlign w:val="bottom"/>
          </w:tcPr>
          <w:p w14:paraId="29327BB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135,109</w:t>
            </w:r>
          </w:p>
        </w:tc>
        <w:tc>
          <w:tcPr>
            <w:tcW w:w="0" w:type="auto"/>
            <w:tcBorders>
              <w:top w:val="nil"/>
              <w:left w:val="nil"/>
              <w:bottom w:val="single" w:sz="4" w:space="0" w:color="auto"/>
              <w:right w:val="single" w:sz="8" w:space="0" w:color="auto"/>
            </w:tcBorders>
            <w:shd w:val="clear" w:color="auto" w:fill="auto"/>
            <w:vAlign w:val="bottom"/>
          </w:tcPr>
          <w:p w14:paraId="10C2189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red"/>
                <w:lang w:val="zh-CN" w:eastAsia="zh-CN"/>
                <w14:ligatures w14:val="none"/>
              </w:rPr>
              <w:t>(32,299)</w:t>
            </w:r>
          </w:p>
        </w:tc>
        <w:tc>
          <w:tcPr>
            <w:tcW w:w="783" w:type="dxa"/>
            <w:tcBorders>
              <w:top w:val="nil"/>
              <w:left w:val="nil"/>
              <w:bottom w:val="single" w:sz="4" w:space="0" w:color="auto"/>
              <w:right w:val="single" w:sz="8" w:space="0" w:color="auto"/>
            </w:tcBorders>
            <w:shd w:val="clear" w:color="auto" w:fill="auto"/>
            <w:noWrap/>
            <w:vAlign w:val="bottom"/>
          </w:tcPr>
          <w:p w14:paraId="013545C7"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-23.9%</w:t>
            </w:r>
          </w:p>
        </w:tc>
      </w:tr>
      <w:tr w:rsidR="00D304CF" w:rsidRPr="00D304CF" w14:paraId="5DCD4877"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07E5DA5C"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u w:val="single"/>
                <w:lang w:val="zh-CN" w:eastAsia="zh-CN"/>
                <w14:ligatures w14:val="none"/>
              </w:rPr>
            </w:pPr>
            <w:r w:rsidRPr="00D304CF">
              <w:rPr>
                <w:rFonts w:ascii="Baskerville Old Face" w:eastAsia="Times New Roman" w:hAnsi="Baskerville Old Face" w:cs="Calibri"/>
                <w:b/>
                <w:bCs/>
                <w:kern w:val="0"/>
                <w:sz w:val="16"/>
                <w:szCs w:val="16"/>
                <w:u w:val="single"/>
                <w:lang w:val="zh-CN" w:eastAsia="zh-CN"/>
                <w14:ligatures w14:val="none"/>
              </w:rPr>
              <w:t>NON TAX REVENUE DEPARTMENT (NTR)</w:t>
            </w:r>
          </w:p>
        </w:tc>
        <w:tc>
          <w:tcPr>
            <w:tcW w:w="0" w:type="auto"/>
            <w:tcBorders>
              <w:top w:val="nil"/>
              <w:left w:val="nil"/>
              <w:bottom w:val="single" w:sz="4" w:space="0" w:color="auto"/>
              <w:right w:val="single" w:sz="4" w:space="0" w:color="auto"/>
            </w:tcBorders>
            <w:shd w:val="clear" w:color="000000" w:fill="D9E1F2"/>
            <w:noWrap/>
            <w:vAlign w:val="bottom"/>
          </w:tcPr>
          <w:p w14:paraId="17F6B38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610,363</w:t>
            </w:r>
          </w:p>
        </w:tc>
        <w:tc>
          <w:tcPr>
            <w:tcW w:w="0" w:type="auto"/>
            <w:tcBorders>
              <w:top w:val="nil"/>
              <w:left w:val="nil"/>
              <w:bottom w:val="single" w:sz="4" w:space="0" w:color="auto"/>
              <w:right w:val="single" w:sz="4" w:space="0" w:color="auto"/>
            </w:tcBorders>
            <w:shd w:val="clear" w:color="000000" w:fill="D9E1F2"/>
            <w:vAlign w:val="bottom"/>
          </w:tcPr>
          <w:p w14:paraId="6E52B73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552,326</w:t>
            </w:r>
          </w:p>
        </w:tc>
        <w:tc>
          <w:tcPr>
            <w:tcW w:w="0" w:type="auto"/>
            <w:tcBorders>
              <w:top w:val="nil"/>
              <w:left w:val="nil"/>
              <w:bottom w:val="single" w:sz="4" w:space="0" w:color="auto"/>
              <w:right w:val="single" w:sz="4" w:space="0" w:color="auto"/>
            </w:tcBorders>
            <w:shd w:val="clear" w:color="000000" w:fill="D9E1F2"/>
            <w:vAlign w:val="bottom"/>
          </w:tcPr>
          <w:p w14:paraId="764B52A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435,690</w:t>
            </w:r>
          </w:p>
        </w:tc>
        <w:tc>
          <w:tcPr>
            <w:tcW w:w="0" w:type="auto"/>
            <w:tcBorders>
              <w:top w:val="nil"/>
              <w:left w:val="nil"/>
              <w:bottom w:val="single" w:sz="4" w:space="0" w:color="auto"/>
              <w:right w:val="single" w:sz="4" w:space="0" w:color="auto"/>
            </w:tcBorders>
            <w:shd w:val="clear" w:color="000000" w:fill="D9E1F2"/>
            <w:vAlign w:val="bottom"/>
          </w:tcPr>
          <w:p w14:paraId="42AFC2B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443,854</w:t>
            </w:r>
          </w:p>
        </w:tc>
        <w:tc>
          <w:tcPr>
            <w:tcW w:w="0" w:type="auto"/>
            <w:tcBorders>
              <w:top w:val="nil"/>
              <w:left w:val="nil"/>
              <w:bottom w:val="single" w:sz="4" w:space="0" w:color="auto"/>
              <w:right w:val="single" w:sz="4" w:space="0" w:color="auto"/>
            </w:tcBorders>
            <w:shd w:val="clear" w:color="000000" w:fill="B4C6E7"/>
            <w:vAlign w:val="bottom"/>
          </w:tcPr>
          <w:p w14:paraId="6BCEAB4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2,042,234</w:t>
            </w:r>
          </w:p>
        </w:tc>
        <w:tc>
          <w:tcPr>
            <w:tcW w:w="0" w:type="auto"/>
            <w:tcBorders>
              <w:top w:val="nil"/>
              <w:left w:val="nil"/>
              <w:bottom w:val="single" w:sz="4" w:space="0" w:color="auto"/>
              <w:right w:val="single" w:sz="4" w:space="0" w:color="auto"/>
            </w:tcBorders>
            <w:shd w:val="clear" w:color="000000" w:fill="B4C6E7"/>
            <w:vAlign w:val="bottom"/>
          </w:tcPr>
          <w:p w14:paraId="728E45E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2,250,049</w:t>
            </w:r>
          </w:p>
        </w:tc>
        <w:tc>
          <w:tcPr>
            <w:tcW w:w="0" w:type="auto"/>
            <w:tcBorders>
              <w:top w:val="nil"/>
              <w:left w:val="nil"/>
              <w:bottom w:val="single" w:sz="4" w:space="0" w:color="auto"/>
              <w:right w:val="single" w:sz="8" w:space="0" w:color="auto"/>
            </w:tcBorders>
            <w:shd w:val="clear" w:color="auto" w:fill="auto"/>
            <w:vAlign w:val="bottom"/>
          </w:tcPr>
          <w:p w14:paraId="571C408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(207,815)</w:t>
            </w:r>
          </w:p>
        </w:tc>
        <w:tc>
          <w:tcPr>
            <w:tcW w:w="783" w:type="dxa"/>
            <w:tcBorders>
              <w:top w:val="nil"/>
              <w:left w:val="nil"/>
              <w:bottom w:val="single" w:sz="4" w:space="0" w:color="auto"/>
              <w:right w:val="single" w:sz="8" w:space="0" w:color="auto"/>
            </w:tcBorders>
            <w:shd w:val="clear" w:color="auto" w:fill="auto"/>
            <w:noWrap/>
            <w:vAlign w:val="bottom"/>
          </w:tcPr>
          <w:p w14:paraId="71E448E4"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-9.2%</w:t>
            </w:r>
          </w:p>
        </w:tc>
      </w:tr>
      <w:tr w:rsidR="00D304CF" w:rsidRPr="00D304CF" w14:paraId="34558744" w14:textId="77777777" w:rsidTr="006E4F32">
        <w:trPr>
          <w:trHeight w:val="308"/>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2761DDF7"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Mines Revenue</w:t>
            </w:r>
          </w:p>
        </w:tc>
        <w:tc>
          <w:tcPr>
            <w:tcW w:w="0" w:type="auto"/>
            <w:tcBorders>
              <w:top w:val="nil"/>
              <w:left w:val="nil"/>
              <w:bottom w:val="single" w:sz="4" w:space="0" w:color="auto"/>
              <w:right w:val="single" w:sz="4" w:space="0" w:color="auto"/>
            </w:tcBorders>
            <w:shd w:val="clear" w:color="000000" w:fill="D9E1F2"/>
            <w:noWrap/>
            <w:vAlign w:val="bottom"/>
          </w:tcPr>
          <w:p w14:paraId="708D134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170,900</w:t>
            </w:r>
          </w:p>
        </w:tc>
        <w:tc>
          <w:tcPr>
            <w:tcW w:w="0" w:type="auto"/>
            <w:tcBorders>
              <w:top w:val="nil"/>
              <w:left w:val="nil"/>
              <w:bottom w:val="single" w:sz="4" w:space="0" w:color="auto"/>
              <w:right w:val="single" w:sz="4" w:space="0" w:color="auto"/>
            </w:tcBorders>
            <w:shd w:val="clear" w:color="000000" w:fill="D9E1F2"/>
            <w:vAlign w:val="bottom"/>
          </w:tcPr>
          <w:p w14:paraId="6F2AC1F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214,862</w:t>
            </w:r>
          </w:p>
        </w:tc>
        <w:tc>
          <w:tcPr>
            <w:tcW w:w="0" w:type="auto"/>
            <w:tcBorders>
              <w:top w:val="nil"/>
              <w:left w:val="nil"/>
              <w:bottom w:val="single" w:sz="4" w:space="0" w:color="auto"/>
              <w:right w:val="single" w:sz="4" w:space="0" w:color="auto"/>
            </w:tcBorders>
            <w:shd w:val="clear" w:color="000000" w:fill="D9E1F2"/>
            <w:vAlign w:val="bottom"/>
          </w:tcPr>
          <w:p w14:paraId="565F51A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142,635</w:t>
            </w:r>
          </w:p>
        </w:tc>
        <w:tc>
          <w:tcPr>
            <w:tcW w:w="0" w:type="auto"/>
            <w:tcBorders>
              <w:top w:val="nil"/>
              <w:left w:val="nil"/>
              <w:bottom w:val="single" w:sz="4" w:space="0" w:color="auto"/>
              <w:right w:val="single" w:sz="4" w:space="0" w:color="auto"/>
            </w:tcBorders>
            <w:shd w:val="clear" w:color="000000" w:fill="D9E1F2"/>
            <w:vAlign w:val="bottom"/>
          </w:tcPr>
          <w:p w14:paraId="21CD684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143,076</w:t>
            </w:r>
          </w:p>
        </w:tc>
        <w:tc>
          <w:tcPr>
            <w:tcW w:w="0" w:type="auto"/>
            <w:tcBorders>
              <w:top w:val="nil"/>
              <w:left w:val="nil"/>
              <w:bottom w:val="single" w:sz="4" w:space="0" w:color="auto"/>
              <w:right w:val="single" w:sz="4" w:space="0" w:color="auto"/>
            </w:tcBorders>
            <w:shd w:val="clear" w:color="000000" w:fill="B4C6E7"/>
            <w:vAlign w:val="bottom"/>
          </w:tcPr>
          <w:p w14:paraId="60269DD2"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671,472</w:t>
            </w:r>
          </w:p>
        </w:tc>
        <w:tc>
          <w:tcPr>
            <w:tcW w:w="0" w:type="auto"/>
            <w:tcBorders>
              <w:top w:val="nil"/>
              <w:left w:val="nil"/>
              <w:bottom w:val="single" w:sz="4" w:space="0" w:color="auto"/>
              <w:right w:val="single" w:sz="4" w:space="0" w:color="auto"/>
            </w:tcBorders>
            <w:shd w:val="clear" w:color="000000" w:fill="B4C6E7"/>
            <w:vAlign w:val="bottom"/>
          </w:tcPr>
          <w:p w14:paraId="4481714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699,111</w:t>
            </w:r>
          </w:p>
        </w:tc>
        <w:tc>
          <w:tcPr>
            <w:tcW w:w="0" w:type="auto"/>
            <w:tcBorders>
              <w:top w:val="nil"/>
              <w:left w:val="nil"/>
              <w:bottom w:val="single" w:sz="4" w:space="0" w:color="auto"/>
              <w:right w:val="single" w:sz="8" w:space="0" w:color="auto"/>
            </w:tcBorders>
            <w:shd w:val="clear" w:color="auto" w:fill="auto"/>
            <w:vAlign w:val="bottom"/>
          </w:tcPr>
          <w:p w14:paraId="34E4AC6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(27,639)</w:t>
            </w:r>
          </w:p>
        </w:tc>
        <w:tc>
          <w:tcPr>
            <w:tcW w:w="783" w:type="dxa"/>
            <w:tcBorders>
              <w:top w:val="nil"/>
              <w:left w:val="nil"/>
              <w:bottom w:val="single" w:sz="4" w:space="0" w:color="auto"/>
              <w:right w:val="single" w:sz="8" w:space="0" w:color="auto"/>
            </w:tcBorders>
            <w:shd w:val="clear" w:color="auto" w:fill="auto"/>
            <w:noWrap/>
            <w:vAlign w:val="bottom"/>
          </w:tcPr>
          <w:p w14:paraId="43B5E66C"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-4.0%</w:t>
            </w:r>
          </w:p>
        </w:tc>
      </w:tr>
      <w:tr w:rsidR="00D304CF" w:rsidRPr="00D304CF" w14:paraId="26E26431" w14:textId="77777777" w:rsidTr="006E4F32">
        <w:trPr>
          <w:trHeight w:val="315"/>
        </w:trPr>
        <w:tc>
          <w:tcPr>
            <w:tcW w:w="0" w:type="auto"/>
            <w:tcBorders>
              <w:top w:val="nil"/>
              <w:left w:val="single" w:sz="8" w:space="0" w:color="auto"/>
              <w:bottom w:val="nil"/>
              <w:right w:val="single" w:sz="8" w:space="0" w:color="auto"/>
            </w:tcBorders>
            <w:shd w:val="clear" w:color="auto" w:fill="auto"/>
            <w:noWrap/>
            <w:vAlign w:val="bottom"/>
          </w:tcPr>
          <w:p w14:paraId="503300DC"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Royalty on Rutile</w:t>
            </w:r>
          </w:p>
        </w:tc>
        <w:tc>
          <w:tcPr>
            <w:tcW w:w="0" w:type="auto"/>
            <w:tcBorders>
              <w:top w:val="nil"/>
              <w:left w:val="nil"/>
              <w:bottom w:val="single" w:sz="4" w:space="0" w:color="auto"/>
              <w:right w:val="single" w:sz="4" w:space="0" w:color="auto"/>
            </w:tcBorders>
            <w:shd w:val="clear" w:color="000000" w:fill="D9E1F2"/>
            <w:noWrap/>
            <w:vAlign w:val="bottom"/>
          </w:tcPr>
          <w:p w14:paraId="4FB4EADC"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6,734</w:t>
            </w:r>
          </w:p>
        </w:tc>
        <w:tc>
          <w:tcPr>
            <w:tcW w:w="0" w:type="auto"/>
            <w:tcBorders>
              <w:top w:val="nil"/>
              <w:left w:val="nil"/>
              <w:bottom w:val="single" w:sz="4" w:space="0" w:color="auto"/>
              <w:right w:val="single" w:sz="4" w:space="0" w:color="auto"/>
            </w:tcBorders>
            <w:shd w:val="clear" w:color="000000" w:fill="D9E1F2"/>
            <w:vAlign w:val="bottom"/>
          </w:tcPr>
          <w:p w14:paraId="6AA2EC2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4,739</w:t>
            </w:r>
          </w:p>
        </w:tc>
        <w:tc>
          <w:tcPr>
            <w:tcW w:w="0" w:type="auto"/>
            <w:tcBorders>
              <w:top w:val="nil"/>
              <w:left w:val="nil"/>
              <w:bottom w:val="single" w:sz="4" w:space="0" w:color="auto"/>
              <w:right w:val="single" w:sz="4" w:space="0" w:color="auto"/>
            </w:tcBorders>
            <w:shd w:val="clear" w:color="000000" w:fill="D9E1F2"/>
            <w:vAlign w:val="bottom"/>
          </w:tcPr>
          <w:p w14:paraId="074BC75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5,667</w:t>
            </w:r>
          </w:p>
        </w:tc>
        <w:tc>
          <w:tcPr>
            <w:tcW w:w="0" w:type="auto"/>
            <w:tcBorders>
              <w:top w:val="nil"/>
              <w:left w:val="nil"/>
              <w:bottom w:val="single" w:sz="4" w:space="0" w:color="auto"/>
              <w:right w:val="single" w:sz="4" w:space="0" w:color="auto"/>
            </w:tcBorders>
            <w:shd w:val="clear" w:color="000000" w:fill="D9E1F2"/>
            <w:vAlign w:val="bottom"/>
          </w:tcPr>
          <w:p w14:paraId="012BA05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13,294</w:t>
            </w:r>
          </w:p>
        </w:tc>
        <w:tc>
          <w:tcPr>
            <w:tcW w:w="0" w:type="auto"/>
            <w:tcBorders>
              <w:top w:val="nil"/>
              <w:left w:val="nil"/>
              <w:bottom w:val="single" w:sz="4" w:space="0" w:color="auto"/>
              <w:right w:val="single" w:sz="4" w:space="0" w:color="auto"/>
            </w:tcBorders>
            <w:shd w:val="clear" w:color="000000" w:fill="B4C6E7"/>
            <w:vAlign w:val="bottom"/>
          </w:tcPr>
          <w:p w14:paraId="01B2D88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30,434</w:t>
            </w:r>
          </w:p>
        </w:tc>
        <w:tc>
          <w:tcPr>
            <w:tcW w:w="0" w:type="auto"/>
            <w:tcBorders>
              <w:top w:val="nil"/>
              <w:left w:val="nil"/>
              <w:bottom w:val="single" w:sz="4" w:space="0" w:color="auto"/>
              <w:right w:val="single" w:sz="4" w:space="0" w:color="auto"/>
            </w:tcBorders>
            <w:shd w:val="clear" w:color="000000" w:fill="B4C6E7"/>
            <w:vAlign w:val="bottom"/>
          </w:tcPr>
          <w:p w14:paraId="4528E831"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136,726</w:t>
            </w:r>
          </w:p>
        </w:tc>
        <w:tc>
          <w:tcPr>
            <w:tcW w:w="0" w:type="auto"/>
            <w:tcBorders>
              <w:top w:val="nil"/>
              <w:left w:val="nil"/>
              <w:bottom w:val="single" w:sz="4" w:space="0" w:color="auto"/>
              <w:right w:val="single" w:sz="8" w:space="0" w:color="auto"/>
            </w:tcBorders>
            <w:shd w:val="clear" w:color="auto" w:fill="auto"/>
            <w:vAlign w:val="bottom"/>
          </w:tcPr>
          <w:p w14:paraId="4D607388"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(106,292)</w:t>
            </w:r>
          </w:p>
        </w:tc>
        <w:tc>
          <w:tcPr>
            <w:tcW w:w="783" w:type="dxa"/>
            <w:tcBorders>
              <w:top w:val="nil"/>
              <w:left w:val="nil"/>
              <w:bottom w:val="single" w:sz="4" w:space="0" w:color="auto"/>
              <w:right w:val="single" w:sz="8" w:space="0" w:color="auto"/>
            </w:tcBorders>
            <w:shd w:val="clear" w:color="auto" w:fill="auto"/>
            <w:noWrap/>
            <w:vAlign w:val="bottom"/>
          </w:tcPr>
          <w:p w14:paraId="083CFDD4"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-77.7%</w:t>
            </w:r>
          </w:p>
        </w:tc>
      </w:tr>
      <w:tr w:rsidR="00D304CF" w:rsidRPr="00D304CF" w14:paraId="2A1065E4" w14:textId="77777777" w:rsidTr="006E4F32">
        <w:trPr>
          <w:trHeight w:val="315"/>
        </w:trPr>
        <w:tc>
          <w:tcPr>
            <w:tcW w:w="0" w:type="auto"/>
            <w:tcBorders>
              <w:top w:val="nil"/>
              <w:left w:val="single" w:sz="8" w:space="0" w:color="auto"/>
              <w:bottom w:val="nil"/>
              <w:right w:val="single" w:sz="8" w:space="0" w:color="auto"/>
            </w:tcBorders>
            <w:shd w:val="clear" w:color="auto" w:fill="auto"/>
            <w:noWrap/>
            <w:vAlign w:val="bottom"/>
          </w:tcPr>
          <w:p w14:paraId="562A6BCA"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Royalty on Bauxite</w:t>
            </w:r>
          </w:p>
        </w:tc>
        <w:tc>
          <w:tcPr>
            <w:tcW w:w="0" w:type="auto"/>
            <w:tcBorders>
              <w:top w:val="nil"/>
              <w:left w:val="nil"/>
              <w:bottom w:val="single" w:sz="4" w:space="0" w:color="auto"/>
              <w:right w:val="single" w:sz="4" w:space="0" w:color="auto"/>
            </w:tcBorders>
            <w:shd w:val="clear" w:color="000000" w:fill="D9E1F2"/>
            <w:noWrap/>
            <w:vAlign w:val="bottom"/>
          </w:tcPr>
          <w:p w14:paraId="347602D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2E58DA5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2,216</w:t>
            </w:r>
          </w:p>
        </w:tc>
        <w:tc>
          <w:tcPr>
            <w:tcW w:w="0" w:type="auto"/>
            <w:tcBorders>
              <w:top w:val="nil"/>
              <w:left w:val="nil"/>
              <w:bottom w:val="single" w:sz="4" w:space="0" w:color="auto"/>
              <w:right w:val="single" w:sz="4" w:space="0" w:color="auto"/>
            </w:tcBorders>
            <w:shd w:val="clear" w:color="000000" w:fill="D9E1F2"/>
            <w:vAlign w:val="bottom"/>
          </w:tcPr>
          <w:p w14:paraId="21BDE1D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0C8E274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2,343</w:t>
            </w:r>
          </w:p>
        </w:tc>
        <w:tc>
          <w:tcPr>
            <w:tcW w:w="0" w:type="auto"/>
            <w:tcBorders>
              <w:top w:val="nil"/>
              <w:left w:val="nil"/>
              <w:bottom w:val="single" w:sz="4" w:space="0" w:color="auto"/>
              <w:right w:val="single" w:sz="4" w:space="0" w:color="auto"/>
            </w:tcBorders>
            <w:shd w:val="clear" w:color="000000" w:fill="B4C6E7"/>
            <w:vAlign w:val="bottom"/>
          </w:tcPr>
          <w:p w14:paraId="4485F31C"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4,560</w:t>
            </w:r>
          </w:p>
        </w:tc>
        <w:tc>
          <w:tcPr>
            <w:tcW w:w="0" w:type="auto"/>
            <w:tcBorders>
              <w:top w:val="nil"/>
              <w:left w:val="nil"/>
              <w:bottom w:val="single" w:sz="4" w:space="0" w:color="auto"/>
              <w:right w:val="single" w:sz="4" w:space="0" w:color="auto"/>
            </w:tcBorders>
            <w:shd w:val="clear" w:color="000000" w:fill="B4C6E7"/>
            <w:vAlign w:val="bottom"/>
          </w:tcPr>
          <w:p w14:paraId="61CC5FF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27,629</w:t>
            </w:r>
          </w:p>
        </w:tc>
        <w:tc>
          <w:tcPr>
            <w:tcW w:w="0" w:type="auto"/>
            <w:tcBorders>
              <w:top w:val="nil"/>
              <w:left w:val="nil"/>
              <w:bottom w:val="single" w:sz="4" w:space="0" w:color="auto"/>
              <w:right w:val="single" w:sz="8" w:space="0" w:color="auto"/>
            </w:tcBorders>
            <w:shd w:val="clear" w:color="auto" w:fill="auto"/>
            <w:vAlign w:val="bottom"/>
          </w:tcPr>
          <w:p w14:paraId="788AB563"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(23,069)</w:t>
            </w:r>
          </w:p>
        </w:tc>
        <w:tc>
          <w:tcPr>
            <w:tcW w:w="783" w:type="dxa"/>
            <w:tcBorders>
              <w:top w:val="nil"/>
              <w:left w:val="nil"/>
              <w:bottom w:val="single" w:sz="4" w:space="0" w:color="auto"/>
              <w:right w:val="single" w:sz="8" w:space="0" w:color="auto"/>
            </w:tcBorders>
            <w:shd w:val="clear" w:color="auto" w:fill="auto"/>
            <w:noWrap/>
            <w:vAlign w:val="bottom"/>
          </w:tcPr>
          <w:p w14:paraId="7C5D8050"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-83.5%</w:t>
            </w:r>
          </w:p>
        </w:tc>
      </w:tr>
      <w:tr w:rsidR="00D304CF" w:rsidRPr="00D304CF" w14:paraId="190D2A50" w14:textId="77777777" w:rsidTr="006E4F32">
        <w:trPr>
          <w:trHeight w:val="315"/>
        </w:trPr>
        <w:tc>
          <w:tcPr>
            <w:tcW w:w="0" w:type="auto"/>
            <w:tcBorders>
              <w:top w:val="nil"/>
              <w:left w:val="single" w:sz="8" w:space="0" w:color="auto"/>
              <w:bottom w:val="nil"/>
              <w:right w:val="single" w:sz="8" w:space="0" w:color="auto"/>
            </w:tcBorders>
            <w:shd w:val="clear" w:color="auto" w:fill="auto"/>
            <w:noWrap/>
            <w:vAlign w:val="bottom"/>
          </w:tcPr>
          <w:p w14:paraId="522193CC"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en-GB" w:eastAsia="zh-CN"/>
                <w14:ligatures w14:val="none"/>
              </w:rPr>
            </w:pPr>
            <w:r w:rsidRPr="00D304CF">
              <w:rPr>
                <w:rFonts w:ascii="Baskerville Old Face" w:eastAsia="Times New Roman" w:hAnsi="Baskerville Old Face" w:cs="Calibri"/>
                <w:i/>
                <w:iCs/>
                <w:kern w:val="0"/>
                <w:sz w:val="16"/>
                <w:szCs w:val="16"/>
                <w:lang w:val="en-GB" w:eastAsia="zh-CN"/>
                <w14:ligatures w14:val="none"/>
              </w:rPr>
              <w:t>Royalties on Diamond and Gold</w:t>
            </w:r>
          </w:p>
        </w:tc>
        <w:tc>
          <w:tcPr>
            <w:tcW w:w="0" w:type="auto"/>
            <w:tcBorders>
              <w:top w:val="nil"/>
              <w:left w:val="nil"/>
              <w:bottom w:val="single" w:sz="4" w:space="0" w:color="auto"/>
              <w:right w:val="single" w:sz="4" w:space="0" w:color="auto"/>
            </w:tcBorders>
            <w:shd w:val="clear" w:color="000000" w:fill="D9E1F2"/>
            <w:noWrap/>
            <w:vAlign w:val="bottom"/>
          </w:tcPr>
          <w:p w14:paraId="6D2FED3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31,551</w:t>
            </w:r>
          </w:p>
        </w:tc>
        <w:tc>
          <w:tcPr>
            <w:tcW w:w="0" w:type="auto"/>
            <w:tcBorders>
              <w:top w:val="nil"/>
              <w:left w:val="nil"/>
              <w:bottom w:val="single" w:sz="4" w:space="0" w:color="auto"/>
              <w:right w:val="single" w:sz="4" w:space="0" w:color="auto"/>
            </w:tcBorders>
            <w:shd w:val="clear" w:color="000000" w:fill="D9E1F2"/>
            <w:vAlign w:val="bottom"/>
          </w:tcPr>
          <w:p w14:paraId="62AD788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39,158</w:t>
            </w:r>
          </w:p>
        </w:tc>
        <w:tc>
          <w:tcPr>
            <w:tcW w:w="0" w:type="auto"/>
            <w:tcBorders>
              <w:top w:val="nil"/>
              <w:left w:val="nil"/>
              <w:bottom w:val="single" w:sz="4" w:space="0" w:color="auto"/>
              <w:right w:val="single" w:sz="4" w:space="0" w:color="auto"/>
            </w:tcBorders>
            <w:shd w:val="clear" w:color="000000" w:fill="D9E1F2"/>
            <w:vAlign w:val="bottom"/>
          </w:tcPr>
          <w:p w14:paraId="33F6C45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53,287</w:t>
            </w:r>
          </w:p>
        </w:tc>
        <w:tc>
          <w:tcPr>
            <w:tcW w:w="0" w:type="auto"/>
            <w:tcBorders>
              <w:top w:val="nil"/>
              <w:left w:val="nil"/>
              <w:bottom w:val="single" w:sz="4" w:space="0" w:color="auto"/>
              <w:right w:val="single" w:sz="4" w:space="0" w:color="auto"/>
            </w:tcBorders>
            <w:shd w:val="clear" w:color="000000" w:fill="D9E1F2"/>
            <w:vAlign w:val="bottom"/>
          </w:tcPr>
          <w:p w14:paraId="1CD80964"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33,504</w:t>
            </w:r>
          </w:p>
        </w:tc>
        <w:tc>
          <w:tcPr>
            <w:tcW w:w="0" w:type="auto"/>
            <w:tcBorders>
              <w:top w:val="nil"/>
              <w:left w:val="nil"/>
              <w:bottom w:val="single" w:sz="4" w:space="0" w:color="auto"/>
              <w:right w:val="single" w:sz="4" w:space="0" w:color="auto"/>
            </w:tcBorders>
            <w:shd w:val="clear" w:color="000000" w:fill="B4C6E7"/>
            <w:vAlign w:val="bottom"/>
          </w:tcPr>
          <w:p w14:paraId="26ED007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157,500</w:t>
            </w:r>
          </w:p>
        </w:tc>
        <w:tc>
          <w:tcPr>
            <w:tcW w:w="0" w:type="auto"/>
            <w:tcBorders>
              <w:top w:val="nil"/>
              <w:left w:val="nil"/>
              <w:bottom w:val="single" w:sz="4" w:space="0" w:color="auto"/>
              <w:right w:val="single" w:sz="4" w:space="0" w:color="auto"/>
            </w:tcBorders>
            <w:shd w:val="clear" w:color="000000" w:fill="B4C6E7"/>
            <w:vAlign w:val="bottom"/>
          </w:tcPr>
          <w:p w14:paraId="6D38C05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208,847</w:t>
            </w:r>
          </w:p>
        </w:tc>
        <w:tc>
          <w:tcPr>
            <w:tcW w:w="0" w:type="auto"/>
            <w:tcBorders>
              <w:top w:val="nil"/>
              <w:left w:val="nil"/>
              <w:bottom w:val="single" w:sz="4" w:space="0" w:color="auto"/>
              <w:right w:val="single" w:sz="8" w:space="0" w:color="auto"/>
            </w:tcBorders>
            <w:shd w:val="clear" w:color="auto" w:fill="auto"/>
            <w:vAlign w:val="bottom"/>
          </w:tcPr>
          <w:p w14:paraId="35375F8F"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(51,347)</w:t>
            </w:r>
          </w:p>
        </w:tc>
        <w:tc>
          <w:tcPr>
            <w:tcW w:w="783" w:type="dxa"/>
            <w:tcBorders>
              <w:top w:val="nil"/>
              <w:left w:val="nil"/>
              <w:bottom w:val="single" w:sz="4" w:space="0" w:color="auto"/>
              <w:right w:val="single" w:sz="8" w:space="0" w:color="auto"/>
            </w:tcBorders>
            <w:shd w:val="clear" w:color="auto" w:fill="auto"/>
            <w:noWrap/>
            <w:vAlign w:val="bottom"/>
          </w:tcPr>
          <w:p w14:paraId="2859D355"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-24.6%</w:t>
            </w:r>
          </w:p>
        </w:tc>
      </w:tr>
      <w:tr w:rsidR="00D304CF" w:rsidRPr="00D304CF" w14:paraId="38F436CA" w14:textId="77777777" w:rsidTr="006E4F32">
        <w:trPr>
          <w:trHeight w:val="315"/>
        </w:trPr>
        <w:tc>
          <w:tcPr>
            <w:tcW w:w="0" w:type="auto"/>
            <w:tcBorders>
              <w:top w:val="nil"/>
              <w:left w:val="single" w:sz="8" w:space="0" w:color="auto"/>
              <w:bottom w:val="nil"/>
              <w:right w:val="single" w:sz="8" w:space="0" w:color="auto"/>
            </w:tcBorders>
            <w:shd w:val="clear" w:color="auto" w:fill="auto"/>
            <w:noWrap/>
            <w:vAlign w:val="bottom"/>
          </w:tcPr>
          <w:p w14:paraId="291D0F03"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 xml:space="preserve">Royalty on Iron Ore </w:t>
            </w:r>
          </w:p>
        </w:tc>
        <w:tc>
          <w:tcPr>
            <w:tcW w:w="0" w:type="auto"/>
            <w:tcBorders>
              <w:top w:val="nil"/>
              <w:left w:val="nil"/>
              <w:bottom w:val="single" w:sz="4" w:space="0" w:color="auto"/>
              <w:right w:val="single" w:sz="4" w:space="0" w:color="auto"/>
            </w:tcBorders>
            <w:shd w:val="clear" w:color="000000" w:fill="D9E1F2"/>
            <w:noWrap/>
            <w:vAlign w:val="bottom"/>
          </w:tcPr>
          <w:p w14:paraId="5AD5B8A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39,212</w:t>
            </w:r>
          </w:p>
        </w:tc>
        <w:tc>
          <w:tcPr>
            <w:tcW w:w="0" w:type="auto"/>
            <w:tcBorders>
              <w:top w:val="nil"/>
              <w:left w:val="nil"/>
              <w:bottom w:val="single" w:sz="4" w:space="0" w:color="auto"/>
              <w:right w:val="single" w:sz="4" w:space="0" w:color="auto"/>
            </w:tcBorders>
            <w:shd w:val="clear" w:color="000000" w:fill="D9E1F2"/>
            <w:vAlign w:val="bottom"/>
          </w:tcPr>
          <w:p w14:paraId="541A0BA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116,050</w:t>
            </w:r>
          </w:p>
        </w:tc>
        <w:tc>
          <w:tcPr>
            <w:tcW w:w="0" w:type="auto"/>
            <w:tcBorders>
              <w:top w:val="nil"/>
              <w:left w:val="nil"/>
              <w:bottom w:val="single" w:sz="4" w:space="0" w:color="auto"/>
              <w:right w:val="single" w:sz="4" w:space="0" w:color="auto"/>
            </w:tcBorders>
            <w:shd w:val="clear" w:color="000000" w:fill="D9E1F2"/>
            <w:vAlign w:val="bottom"/>
          </w:tcPr>
          <w:p w14:paraId="063ED55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69,722</w:t>
            </w:r>
          </w:p>
        </w:tc>
        <w:tc>
          <w:tcPr>
            <w:tcW w:w="0" w:type="auto"/>
            <w:tcBorders>
              <w:top w:val="nil"/>
              <w:left w:val="nil"/>
              <w:bottom w:val="single" w:sz="4" w:space="0" w:color="auto"/>
              <w:right w:val="single" w:sz="4" w:space="0" w:color="auto"/>
            </w:tcBorders>
            <w:shd w:val="clear" w:color="000000" w:fill="D9E1F2"/>
            <w:vAlign w:val="bottom"/>
          </w:tcPr>
          <w:p w14:paraId="338B879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38,895</w:t>
            </w:r>
          </w:p>
        </w:tc>
        <w:tc>
          <w:tcPr>
            <w:tcW w:w="0" w:type="auto"/>
            <w:tcBorders>
              <w:top w:val="nil"/>
              <w:left w:val="nil"/>
              <w:bottom w:val="single" w:sz="4" w:space="0" w:color="auto"/>
              <w:right w:val="single" w:sz="4" w:space="0" w:color="auto"/>
            </w:tcBorders>
            <w:shd w:val="clear" w:color="000000" w:fill="B4C6E7"/>
            <w:vAlign w:val="bottom"/>
          </w:tcPr>
          <w:p w14:paraId="0ADD2737"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263,880</w:t>
            </w:r>
          </w:p>
        </w:tc>
        <w:tc>
          <w:tcPr>
            <w:tcW w:w="0" w:type="auto"/>
            <w:tcBorders>
              <w:top w:val="nil"/>
              <w:left w:val="nil"/>
              <w:bottom w:val="single" w:sz="4" w:space="0" w:color="auto"/>
              <w:right w:val="single" w:sz="4" w:space="0" w:color="auto"/>
            </w:tcBorders>
            <w:shd w:val="clear" w:color="000000" w:fill="B4C6E7"/>
            <w:vAlign w:val="bottom"/>
          </w:tcPr>
          <w:p w14:paraId="6136126A"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147,633</w:t>
            </w:r>
          </w:p>
        </w:tc>
        <w:tc>
          <w:tcPr>
            <w:tcW w:w="0" w:type="auto"/>
            <w:tcBorders>
              <w:top w:val="nil"/>
              <w:left w:val="nil"/>
              <w:bottom w:val="single" w:sz="4" w:space="0" w:color="auto"/>
              <w:right w:val="single" w:sz="8" w:space="0" w:color="auto"/>
            </w:tcBorders>
            <w:shd w:val="clear" w:color="auto" w:fill="auto"/>
            <w:vAlign w:val="bottom"/>
          </w:tcPr>
          <w:p w14:paraId="726D5781"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green"/>
                <w:lang w:val="zh-CN" w:eastAsia="zh-CN"/>
                <w14:ligatures w14:val="none"/>
              </w:rPr>
              <w:t>116,247</w:t>
            </w:r>
          </w:p>
        </w:tc>
        <w:tc>
          <w:tcPr>
            <w:tcW w:w="783" w:type="dxa"/>
            <w:tcBorders>
              <w:top w:val="nil"/>
              <w:left w:val="nil"/>
              <w:bottom w:val="single" w:sz="4" w:space="0" w:color="auto"/>
              <w:right w:val="single" w:sz="8" w:space="0" w:color="auto"/>
            </w:tcBorders>
            <w:shd w:val="clear" w:color="auto" w:fill="auto"/>
            <w:noWrap/>
            <w:vAlign w:val="bottom"/>
          </w:tcPr>
          <w:p w14:paraId="67C2D863"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78.7%</w:t>
            </w:r>
          </w:p>
        </w:tc>
      </w:tr>
      <w:tr w:rsidR="00D304CF" w:rsidRPr="00D304CF" w14:paraId="7EFDB18E" w14:textId="77777777" w:rsidTr="006E4F32">
        <w:trPr>
          <w:trHeight w:val="315"/>
        </w:trPr>
        <w:tc>
          <w:tcPr>
            <w:tcW w:w="0" w:type="auto"/>
            <w:tcBorders>
              <w:top w:val="nil"/>
              <w:left w:val="single" w:sz="8" w:space="0" w:color="auto"/>
              <w:bottom w:val="nil"/>
              <w:right w:val="single" w:sz="8" w:space="0" w:color="auto"/>
            </w:tcBorders>
            <w:shd w:val="clear" w:color="auto" w:fill="auto"/>
            <w:noWrap/>
            <w:vAlign w:val="bottom"/>
          </w:tcPr>
          <w:p w14:paraId="0BE6C1A5" w14:textId="77777777" w:rsidR="00D304CF" w:rsidRPr="00D304CF" w:rsidRDefault="00D304CF" w:rsidP="00D304CF">
            <w:pPr>
              <w:spacing w:after="0" w:line="240" w:lineRule="auto"/>
              <w:ind w:firstLineChars="100" w:firstLine="160"/>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Licences</w:t>
            </w:r>
          </w:p>
        </w:tc>
        <w:tc>
          <w:tcPr>
            <w:tcW w:w="0" w:type="auto"/>
            <w:tcBorders>
              <w:top w:val="nil"/>
              <w:left w:val="nil"/>
              <w:bottom w:val="single" w:sz="4" w:space="0" w:color="auto"/>
              <w:right w:val="single" w:sz="4" w:space="0" w:color="auto"/>
            </w:tcBorders>
            <w:shd w:val="clear" w:color="000000" w:fill="D9E1F2"/>
            <w:noWrap/>
            <w:vAlign w:val="bottom"/>
          </w:tcPr>
          <w:p w14:paraId="2E9F9DC0"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93,403</w:t>
            </w:r>
          </w:p>
        </w:tc>
        <w:tc>
          <w:tcPr>
            <w:tcW w:w="0" w:type="auto"/>
            <w:tcBorders>
              <w:top w:val="nil"/>
              <w:left w:val="nil"/>
              <w:bottom w:val="single" w:sz="4" w:space="0" w:color="auto"/>
              <w:right w:val="single" w:sz="4" w:space="0" w:color="auto"/>
            </w:tcBorders>
            <w:shd w:val="clear" w:color="000000" w:fill="D9E1F2"/>
            <w:vAlign w:val="bottom"/>
          </w:tcPr>
          <w:p w14:paraId="3C739B2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52,697</w:t>
            </w:r>
          </w:p>
        </w:tc>
        <w:tc>
          <w:tcPr>
            <w:tcW w:w="0" w:type="auto"/>
            <w:tcBorders>
              <w:top w:val="nil"/>
              <w:left w:val="nil"/>
              <w:bottom w:val="single" w:sz="4" w:space="0" w:color="auto"/>
              <w:right w:val="single" w:sz="4" w:space="0" w:color="auto"/>
            </w:tcBorders>
            <w:shd w:val="clear" w:color="000000" w:fill="D9E1F2"/>
            <w:vAlign w:val="bottom"/>
          </w:tcPr>
          <w:p w14:paraId="3A14F1A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13,959</w:t>
            </w:r>
          </w:p>
        </w:tc>
        <w:tc>
          <w:tcPr>
            <w:tcW w:w="0" w:type="auto"/>
            <w:tcBorders>
              <w:top w:val="nil"/>
              <w:left w:val="nil"/>
              <w:bottom w:val="single" w:sz="4" w:space="0" w:color="auto"/>
              <w:right w:val="single" w:sz="4" w:space="0" w:color="auto"/>
            </w:tcBorders>
            <w:shd w:val="clear" w:color="000000" w:fill="D9E1F2"/>
            <w:vAlign w:val="bottom"/>
          </w:tcPr>
          <w:p w14:paraId="50885C0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55,040</w:t>
            </w:r>
          </w:p>
        </w:tc>
        <w:tc>
          <w:tcPr>
            <w:tcW w:w="0" w:type="auto"/>
            <w:tcBorders>
              <w:top w:val="nil"/>
              <w:left w:val="nil"/>
              <w:bottom w:val="single" w:sz="4" w:space="0" w:color="auto"/>
              <w:right w:val="single" w:sz="4" w:space="0" w:color="auto"/>
            </w:tcBorders>
            <w:shd w:val="clear" w:color="000000" w:fill="B4C6E7"/>
            <w:vAlign w:val="bottom"/>
          </w:tcPr>
          <w:p w14:paraId="1A3E6A4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215,100</w:t>
            </w:r>
          </w:p>
        </w:tc>
        <w:tc>
          <w:tcPr>
            <w:tcW w:w="0" w:type="auto"/>
            <w:tcBorders>
              <w:top w:val="nil"/>
              <w:left w:val="nil"/>
              <w:bottom w:val="single" w:sz="4" w:space="0" w:color="auto"/>
              <w:right w:val="single" w:sz="4" w:space="0" w:color="auto"/>
            </w:tcBorders>
            <w:shd w:val="clear" w:color="000000" w:fill="B4C6E7"/>
            <w:vAlign w:val="bottom"/>
          </w:tcPr>
          <w:p w14:paraId="677F1BEC"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178,277</w:t>
            </w:r>
          </w:p>
        </w:tc>
        <w:tc>
          <w:tcPr>
            <w:tcW w:w="0" w:type="auto"/>
            <w:tcBorders>
              <w:top w:val="nil"/>
              <w:left w:val="nil"/>
              <w:bottom w:val="single" w:sz="4" w:space="0" w:color="auto"/>
              <w:right w:val="single" w:sz="8" w:space="0" w:color="auto"/>
            </w:tcBorders>
            <w:shd w:val="clear" w:color="auto" w:fill="auto"/>
            <w:vAlign w:val="bottom"/>
          </w:tcPr>
          <w:p w14:paraId="125F248C"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36,822</w:t>
            </w:r>
          </w:p>
        </w:tc>
        <w:tc>
          <w:tcPr>
            <w:tcW w:w="783" w:type="dxa"/>
            <w:tcBorders>
              <w:top w:val="nil"/>
              <w:left w:val="nil"/>
              <w:bottom w:val="single" w:sz="4" w:space="0" w:color="auto"/>
              <w:right w:val="single" w:sz="8" w:space="0" w:color="auto"/>
            </w:tcBorders>
            <w:shd w:val="clear" w:color="auto" w:fill="auto"/>
            <w:noWrap/>
            <w:vAlign w:val="bottom"/>
          </w:tcPr>
          <w:p w14:paraId="6709D357"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20.7%</w:t>
            </w:r>
          </w:p>
        </w:tc>
      </w:tr>
      <w:tr w:rsidR="00D304CF" w:rsidRPr="00D304CF" w14:paraId="3D6EC6CD" w14:textId="77777777" w:rsidTr="006E4F32">
        <w:trPr>
          <w:trHeight w:val="308"/>
        </w:trPr>
        <w:tc>
          <w:tcPr>
            <w:tcW w:w="0" w:type="auto"/>
            <w:tcBorders>
              <w:top w:val="single" w:sz="4" w:space="0" w:color="auto"/>
              <w:left w:val="single" w:sz="8" w:space="0" w:color="auto"/>
              <w:bottom w:val="single" w:sz="4" w:space="0" w:color="auto"/>
              <w:right w:val="single" w:sz="8" w:space="0" w:color="auto"/>
            </w:tcBorders>
            <w:shd w:val="clear" w:color="000000" w:fill="FFFFFF"/>
            <w:noWrap/>
            <w:vAlign w:val="bottom"/>
          </w:tcPr>
          <w:p w14:paraId="65918593"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Other Departments</w:t>
            </w:r>
          </w:p>
        </w:tc>
        <w:tc>
          <w:tcPr>
            <w:tcW w:w="0" w:type="auto"/>
            <w:tcBorders>
              <w:top w:val="nil"/>
              <w:left w:val="nil"/>
              <w:bottom w:val="single" w:sz="4" w:space="0" w:color="auto"/>
              <w:right w:val="single" w:sz="4" w:space="0" w:color="auto"/>
            </w:tcBorders>
            <w:shd w:val="clear" w:color="000000" w:fill="D9E1F2"/>
            <w:noWrap/>
            <w:vAlign w:val="bottom"/>
          </w:tcPr>
          <w:p w14:paraId="1ABE554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439,463</w:t>
            </w:r>
          </w:p>
        </w:tc>
        <w:tc>
          <w:tcPr>
            <w:tcW w:w="0" w:type="auto"/>
            <w:tcBorders>
              <w:top w:val="nil"/>
              <w:left w:val="nil"/>
              <w:bottom w:val="single" w:sz="4" w:space="0" w:color="auto"/>
              <w:right w:val="single" w:sz="4" w:space="0" w:color="auto"/>
            </w:tcBorders>
            <w:shd w:val="clear" w:color="000000" w:fill="D9E1F2"/>
            <w:vAlign w:val="bottom"/>
          </w:tcPr>
          <w:p w14:paraId="12DB89A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337,464</w:t>
            </w:r>
          </w:p>
        </w:tc>
        <w:tc>
          <w:tcPr>
            <w:tcW w:w="0" w:type="auto"/>
            <w:tcBorders>
              <w:top w:val="nil"/>
              <w:left w:val="nil"/>
              <w:bottom w:val="single" w:sz="4" w:space="0" w:color="auto"/>
              <w:right w:val="single" w:sz="4" w:space="0" w:color="auto"/>
            </w:tcBorders>
            <w:shd w:val="clear" w:color="000000" w:fill="D9E1F2"/>
            <w:vAlign w:val="bottom"/>
          </w:tcPr>
          <w:p w14:paraId="0B3D5A63"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293,055</w:t>
            </w:r>
          </w:p>
        </w:tc>
        <w:tc>
          <w:tcPr>
            <w:tcW w:w="0" w:type="auto"/>
            <w:tcBorders>
              <w:top w:val="nil"/>
              <w:left w:val="nil"/>
              <w:bottom w:val="single" w:sz="4" w:space="0" w:color="auto"/>
              <w:right w:val="single" w:sz="4" w:space="0" w:color="auto"/>
            </w:tcBorders>
            <w:shd w:val="clear" w:color="000000" w:fill="D9E1F2"/>
            <w:vAlign w:val="bottom"/>
          </w:tcPr>
          <w:p w14:paraId="4BC145B5"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300,779</w:t>
            </w:r>
          </w:p>
        </w:tc>
        <w:tc>
          <w:tcPr>
            <w:tcW w:w="0" w:type="auto"/>
            <w:tcBorders>
              <w:top w:val="nil"/>
              <w:left w:val="nil"/>
              <w:bottom w:val="single" w:sz="4" w:space="0" w:color="auto"/>
              <w:right w:val="single" w:sz="4" w:space="0" w:color="auto"/>
            </w:tcBorders>
            <w:shd w:val="clear" w:color="000000" w:fill="B4C6E7"/>
            <w:vAlign w:val="bottom"/>
          </w:tcPr>
          <w:p w14:paraId="509BFE01"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1,370,761</w:t>
            </w:r>
          </w:p>
        </w:tc>
        <w:tc>
          <w:tcPr>
            <w:tcW w:w="0" w:type="auto"/>
            <w:tcBorders>
              <w:top w:val="nil"/>
              <w:left w:val="nil"/>
              <w:bottom w:val="single" w:sz="4" w:space="0" w:color="auto"/>
              <w:right w:val="single" w:sz="4" w:space="0" w:color="auto"/>
            </w:tcBorders>
            <w:shd w:val="clear" w:color="000000" w:fill="B4C6E7"/>
            <w:vAlign w:val="bottom"/>
          </w:tcPr>
          <w:p w14:paraId="0B6C509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1,550,938</w:t>
            </w:r>
          </w:p>
        </w:tc>
        <w:tc>
          <w:tcPr>
            <w:tcW w:w="0" w:type="auto"/>
            <w:tcBorders>
              <w:top w:val="nil"/>
              <w:left w:val="nil"/>
              <w:bottom w:val="single" w:sz="4" w:space="0" w:color="auto"/>
              <w:right w:val="single" w:sz="8" w:space="0" w:color="auto"/>
            </w:tcBorders>
            <w:shd w:val="clear" w:color="auto" w:fill="auto"/>
            <w:vAlign w:val="bottom"/>
          </w:tcPr>
          <w:p w14:paraId="555D989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(180,177)</w:t>
            </w:r>
          </w:p>
        </w:tc>
        <w:tc>
          <w:tcPr>
            <w:tcW w:w="783" w:type="dxa"/>
            <w:tcBorders>
              <w:top w:val="nil"/>
              <w:left w:val="nil"/>
              <w:bottom w:val="single" w:sz="4" w:space="0" w:color="auto"/>
              <w:right w:val="single" w:sz="8" w:space="0" w:color="auto"/>
            </w:tcBorders>
            <w:shd w:val="clear" w:color="auto" w:fill="auto"/>
            <w:noWrap/>
            <w:vAlign w:val="bottom"/>
          </w:tcPr>
          <w:p w14:paraId="02B38E82"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-11.6%</w:t>
            </w:r>
          </w:p>
        </w:tc>
      </w:tr>
      <w:tr w:rsidR="00D304CF" w:rsidRPr="00D304CF" w14:paraId="1E906B0E"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5DCD7B71"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 xml:space="preserve"> Royalty on Fisheries etc</w:t>
            </w:r>
          </w:p>
        </w:tc>
        <w:tc>
          <w:tcPr>
            <w:tcW w:w="0" w:type="auto"/>
            <w:tcBorders>
              <w:top w:val="nil"/>
              <w:left w:val="nil"/>
              <w:bottom w:val="single" w:sz="4" w:space="0" w:color="auto"/>
              <w:right w:val="single" w:sz="4" w:space="0" w:color="auto"/>
            </w:tcBorders>
            <w:shd w:val="clear" w:color="000000" w:fill="D9E1F2"/>
            <w:noWrap/>
            <w:vAlign w:val="bottom"/>
          </w:tcPr>
          <w:p w14:paraId="2F058E25"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15,156</w:t>
            </w:r>
          </w:p>
        </w:tc>
        <w:tc>
          <w:tcPr>
            <w:tcW w:w="0" w:type="auto"/>
            <w:tcBorders>
              <w:top w:val="nil"/>
              <w:left w:val="nil"/>
              <w:bottom w:val="single" w:sz="4" w:space="0" w:color="auto"/>
              <w:right w:val="single" w:sz="4" w:space="0" w:color="auto"/>
            </w:tcBorders>
            <w:shd w:val="clear" w:color="000000" w:fill="D9E1F2"/>
            <w:vAlign w:val="bottom"/>
          </w:tcPr>
          <w:p w14:paraId="032AF11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49,580</w:t>
            </w:r>
          </w:p>
        </w:tc>
        <w:tc>
          <w:tcPr>
            <w:tcW w:w="0" w:type="auto"/>
            <w:tcBorders>
              <w:top w:val="nil"/>
              <w:left w:val="nil"/>
              <w:bottom w:val="single" w:sz="4" w:space="0" w:color="auto"/>
              <w:right w:val="single" w:sz="4" w:space="0" w:color="auto"/>
            </w:tcBorders>
            <w:shd w:val="clear" w:color="000000" w:fill="D9E1F2"/>
            <w:vAlign w:val="bottom"/>
          </w:tcPr>
          <w:p w14:paraId="216FDC6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21,274</w:t>
            </w:r>
          </w:p>
        </w:tc>
        <w:tc>
          <w:tcPr>
            <w:tcW w:w="0" w:type="auto"/>
            <w:tcBorders>
              <w:top w:val="nil"/>
              <w:left w:val="nil"/>
              <w:bottom w:val="single" w:sz="4" w:space="0" w:color="auto"/>
              <w:right w:val="single" w:sz="4" w:space="0" w:color="auto"/>
            </w:tcBorders>
            <w:shd w:val="clear" w:color="000000" w:fill="D9E1F2"/>
            <w:vAlign w:val="bottom"/>
          </w:tcPr>
          <w:p w14:paraId="5B67BF4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32,142</w:t>
            </w:r>
          </w:p>
        </w:tc>
        <w:tc>
          <w:tcPr>
            <w:tcW w:w="0" w:type="auto"/>
            <w:tcBorders>
              <w:top w:val="nil"/>
              <w:left w:val="nil"/>
              <w:bottom w:val="single" w:sz="4" w:space="0" w:color="auto"/>
              <w:right w:val="single" w:sz="4" w:space="0" w:color="auto"/>
            </w:tcBorders>
            <w:shd w:val="clear" w:color="000000" w:fill="B4C6E7"/>
            <w:vAlign w:val="bottom"/>
          </w:tcPr>
          <w:p w14:paraId="3621DF6F"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118,151</w:t>
            </w:r>
          </w:p>
        </w:tc>
        <w:tc>
          <w:tcPr>
            <w:tcW w:w="0" w:type="auto"/>
            <w:tcBorders>
              <w:top w:val="nil"/>
              <w:left w:val="nil"/>
              <w:bottom w:val="single" w:sz="4" w:space="0" w:color="auto"/>
              <w:right w:val="single" w:sz="4" w:space="0" w:color="auto"/>
            </w:tcBorders>
            <w:shd w:val="clear" w:color="000000" w:fill="B4C6E7"/>
            <w:vAlign w:val="bottom"/>
          </w:tcPr>
          <w:p w14:paraId="4C857A98"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113,060</w:t>
            </w:r>
          </w:p>
        </w:tc>
        <w:tc>
          <w:tcPr>
            <w:tcW w:w="0" w:type="auto"/>
            <w:tcBorders>
              <w:top w:val="nil"/>
              <w:left w:val="nil"/>
              <w:bottom w:val="single" w:sz="4" w:space="0" w:color="auto"/>
              <w:right w:val="single" w:sz="8" w:space="0" w:color="auto"/>
            </w:tcBorders>
            <w:shd w:val="clear" w:color="auto" w:fill="auto"/>
            <w:vAlign w:val="bottom"/>
          </w:tcPr>
          <w:p w14:paraId="37BCE7D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5,091</w:t>
            </w:r>
          </w:p>
        </w:tc>
        <w:tc>
          <w:tcPr>
            <w:tcW w:w="783" w:type="dxa"/>
            <w:tcBorders>
              <w:top w:val="nil"/>
              <w:left w:val="nil"/>
              <w:bottom w:val="single" w:sz="4" w:space="0" w:color="auto"/>
              <w:right w:val="single" w:sz="8" w:space="0" w:color="auto"/>
            </w:tcBorders>
            <w:shd w:val="clear" w:color="auto" w:fill="auto"/>
            <w:noWrap/>
            <w:vAlign w:val="bottom"/>
          </w:tcPr>
          <w:p w14:paraId="65162B85"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4.5%</w:t>
            </w:r>
          </w:p>
        </w:tc>
      </w:tr>
      <w:tr w:rsidR="00D304CF" w:rsidRPr="00D304CF" w14:paraId="45F6A690" w14:textId="77777777" w:rsidTr="006E4F32">
        <w:trPr>
          <w:trHeight w:val="315"/>
        </w:trPr>
        <w:tc>
          <w:tcPr>
            <w:tcW w:w="0" w:type="auto"/>
            <w:tcBorders>
              <w:top w:val="nil"/>
              <w:left w:val="single" w:sz="8" w:space="0" w:color="auto"/>
              <w:bottom w:val="single" w:sz="4" w:space="0" w:color="auto"/>
              <w:right w:val="single" w:sz="8" w:space="0" w:color="auto"/>
            </w:tcBorders>
            <w:shd w:val="clear" w:color="000000" w:fill="FFFFFF"/>
            <w:noWrap/>
            <w:vAlign w:val="bottom"/>
          </w:tcPr>
          <w:p w14:paraId="2567B47B"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Parastatals (Cargo Tracking)</w:t>
            </w:r>
          </w:p>
        </w:tc>
        <w:tc>
          <w:tcPr>
            <w:tcW w:w="0" w:type="auto"/>
            <w:tcBorders>
              <w:top w:val="nil"/>
              <w:left w:val="nil"/>
              <w:bottom w:val="single" w:sz="4" w:space="0" w:color="auto"/>
              <w:right w:val="single" w:sz="4" w:space="0" w:color="auto"/>
            </w:tcBorders>
            <w:shd w:val="clear" w:color="000000" w:fill="D9E1F2"/>
            <w:noWrap/>
            <w:vAlign w:val="bottom"/>
          </w:tcPr>
          <w:p w14:paraId="16839599"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144,338</w:t>
            </w:r>
          </w:p>
        </w:tc>
        <w:tc>
          <w:tcPr>
            <w:tcW w:w="0" w:type="auto"/>
            <w:tcBorders>
              <w:top w:val="nil"/>
              <w:left w:val="nil"/>
              <w:bottom w:val="single" w:sz="4" w:space="0" w:color="auto"/>
              <w:right w:val="single" w:sz="4" w:space="0" w:color="auto"/>
            </w:tcBorders>
            <w:shd w:val="clear" w:color="000000" w:fill="D9E1F2"/>
            <w:vAlign w:val="bottom"/>
          </w:tcPr>
          <w:p w14:paraId="510EC9E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56,057</w:t>
            </w:r>
          </w:p>
        </w:tc>
        <w:tc>
          <w:tcPr>
            <w:tcW w:w="0" w:type="auto"/>
            <w:tcBorders>
              <w:top w:val="nil"/>
              <w:left w:val="nil"/>
              <w:bottom w:val="single" w:sz="4" w:space="0" w:color="auto"/>
              <w:right w:val="single" w:sz="4" w:space="0" w:color="auto"/>
            </w:tcBorders>
            <w:shd w:val="clear" w:color="000000" w:fill="D9E1F2"/>
            <w:vAlign w:val="bottom"/>
          </w:tcPr>
          <w:p w14:paraId="3F655D8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57,299</w:t>
            </w:r>
          </w:p>
        </w:tc>
        <w:tc>
          <w:tcPr>
            <w:tcW w:w="0" w:type="auto"/>
            <w:tcBorders>
              <w:top w:val="nil"/>
              <w:left w:val="nil"/>
              <w:bottom w:val="single" w:sz="4" w:space="0" w:color="auto"/>
              <w:right w:val="single" w:sz="4" w:space="0" w:color="auto"/>
            </w:tcBorders>
            <w:shd w:val="clear" w:color="000000" w:fill="D9E1F2"/>
            <w:vAlign w:val="bottom"/>
          </w:tcPr>
          <w:p w14:paraId="2EC26C2C"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54,706</w:t>
            </w:r>
          </w:p>
        </w:tc>
        <w:tc>
          <w:tcPr>
            <w:tcW w:w="0" w:type="auto"/>
            <w:tcBorders>
              <w:top w:val="nil"/>
              <w:left w:val="nil"/>
              <w:bottom w:val="single" w:sz="4" w:space="0" w:color="auto"/>
              <w:right w:val="single" w:sz="4" w:space="0" w:color="auto"/>
            </w:tcBorders>
            <w:shd w:val="clear" w:color="000000" w:fill="B4C6E7"/>
            <w:vAlign w:val="bottom"/>
          </w:tcPr>
          <w:p w14:paraId="73BCA32E"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312,400</w:t>
            </w:r>
          </w:p>
        </w:tc>
        <w:tc>
          <w:tcPr>
            <w:tcW w:w="0" w:type="auto"/>
            <w:tcBorders>
              <w:top w:val="nil"/>
              <w:left w:val="nil"/>
              <w:bottom w:val="single" w:sz="4" w:space="0" w:color="auto"/>
              <w:right w:val="single" w:sz="4" w:space="0" w:color="auto"/>
            </w:tcBorders>
            <w:shd w:val="clear" w:color="000000" w:fill="B4C6E7"/>
            <w:vAlign w:val="bottom"/>
          </w:tcPr>
          <w:p w14:paraId="26CD1BB1"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251,795</w:t>
            </w:r>
          </w:p>
        </w:tc>
        <w:tc>
          <w:tcPr>
            <w:tcW w:w="0" w:type="auto"/>
            <w:tcBorders>
              <w:top w:val="nil"/>
              <w:left w:val="nil"/>
              <w:bottom w:val="single" w:sz="4" w:space="0" w:color="auto"/>
              <w:right w:val="single" w:sz="8" w:space="0" w:color="auto"/>
            </w:tcBorders>
            <w:shd w:val="clear" w:color="auto" w:fill="auto"/>
            <w:vAlign w:val="bottom"/>
          </w:tcPr>
          <w:p w14:paraId="25AC1212"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highlight w:val="green"/>
                <w:lang w:val="zh-CN" w:eastAsia="zh-CN"/>
                <w14:ligatures w14:val="none"/>
              </w:rPr>
              <w:t>60,605</w:t>
            </w:r>
          </w:p>
        </w:tc>
        <w:tc>
          <w:tcPr>
            <w:tcW w:w="783" w:type="dxa"/>
            <w:tcBorders>
              <w:top w:val="nil"/>
              <w:left w:val="nil"/>
              <w:bottom w:val="single" w:sz="4" w:space="0" w:color="auto"/>
              <w:right w:val="single" w:sz="8" w:space="0" w:color="auto"/>
            </w:tcBorders>
            <w:shd w:val="clear" w:color="auto" w:fill="auto"/>
            <w:noWrap/>
            <w:vAlign w:val="bottom"/>
          </w:tcPr>
          <w:p w14:paraId="553DFBED"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24.1%</w:t>
            </w:r>
          </w:p>
        </w:tc>
      </w:tr>
      <w:tr w:rsidR="00D304CF" w:rsidRPr="00D304CF" w14:paraId="29CD51AF" w14:textId="77777777" w:rsidTr="006E4F32">
        <w:trPr>
          <w:trHeight w:val="323"/>
        </w:trPr>
        <w:tc>
          <w:tcPr>
            <w:tcW w:w="0" w:type="auto"/>
            <w:tcBorders>
              <w:top w:val="nil"/>
              <w:left w:val="single" w:sz="8" w:space="0" w:color="auto"/>
              <w:bottom w:val="single" w:sz="8" w:space="0" w:color="auto"/>
              <w:right w:val="single" w:sz="8" w:space="0" w:color="auto"/>
            </w:tcBorders>
            <w:shd w:val="clear" w:color="000000" w:fill="FFFFFF"/>
            <w:noWrap/>
            <w:vAlign w:val="bottom"/>
          </w:tcPr>
          <w:p w14:paraId="2260B8A2"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Other Revenues</w:t>
            </w:r>
          </w:p>
        </w:tc>
        <w:tc>
          <w:tcPr>
            <w:tcW w:w="0" w:type="auto"/>
            <w:tcBorders>
              <w:top w:val="nil"/>
              <w:left w:val="nil"/>
              <w:bottom w:val="nil"/>
              <w:right w:val="single" w:sz="4" w:space="0" w:color="auto"/>
            </w:tcBorders>
            <w:shd w:val="clear" w:color="000000" w:fill="D9E1F2"/>
            <w:noWrap/>
            <w:vAlign w:val="bottom"/>
          </w:tcPr>
          <w:p w14:paraId="7397DBEA"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279,969</w:t>
            </w:r>
          </w:p>
        </w:tc>
        <w:tc>
          <w:tcPr>
            <w:tcW w:w="0" w:type="auto"/>
            <w:tcBorders>
              <w:top w:val="nil"/>
              <w:left w:val="nil"/>
              <w:bottom w:val="nil"/>
              <w:right w:val="single" w:sz="4" w:space="0" w:color="auto"/>
            </w:tcBorders>
            <w:shd w:val="clear" w:color="000000" w:fill="D9E1F2"/>
            <w:vAlign w:val="bottom"/>
          </w:tcPr>
          <w:p w14:paraId="23DCA1A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231,828</w:t>
            </w:r>
          </w:p>
        </w:tc>
        <w:tc>
          <w:tcPr>
            <w:tcW w:w="0" w:type="auto"/>
            <w:tcBorders>
              <w:top w:val="nil"/>
              <w:left w:val="nil"/>
              <w:bottom w:val="nil"/>
              <w:right w:val="single" w:sz="4" w:space="0" w:color="auto"/>
            </w:tcBorders>
            <w:shd w:val="clear" w:color="000000" w:fill="D9E1F2"/>
            <w:vAlign w:val="bottom"/>
          </w:tcPr>
          <w:p w14:paraId="6231A6FB"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214,482</w:t>
            </w:r>
          </w:p>
        </w:tc>
        <w:tc>
          <w:tcPr>
            <w:tcW w:w="0" w:type="auto"/>
            <w:tcBorders>
              <w:top w:val="nil"/>
              <w:left w:val="nil"/>
              <w:bottom w:val="nil"/>
              <w:right w:val="single" w:sz="4" w:space="0" w:color="auto"/>
            </w:tcBorders>
            <w:shd w:val="clear" w:color="000000" w:fill="D9E1F2"/>
            <w:vAlign w:val="bottom"/>
          </w:tcPr>
          <w:p w14:paraId="25DFD0F0"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213,931</w:t>
            </w:r>
          </w:p>
        </w:tc>
        <w:tc>
          <w:tcPr>
            <w:tcW w:w="0" w:type="auto"/>
            <w:tcBorders>
              <w:top w:val="nil"/>
              <w:left w:val="nil"/>
              <w:bottom w:val="nil"/>
              <w:right w:val="single" w:sz="4" w:space="0" w:color="auto"/>
            </w:tcBorders>
            <w:shd w:val="clear" w:color="000000" w:fill="B4C6E7"/>
            <w:vAlign w:val="bottom"/>
          </w:tcPr>
          <w:p w14:paraId="165F544B"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940,210</w:t>
            </w:r>
          </w:p>
        </w:tc>
        <w:tc>
          <w:tcPr>
            <w:tcW w:w="0" w:type="auto"/>
            <w:tcBorders>
              <w:top w:val="nil"/>
              <w:left w:val="nil"/>
              <w:bottom w:val="nil"/>
              <w:right w:val="single" w:sz="4" w:space="0" w:color="auto"/>
            </w:tcBorders>
            <w:shd w:val="clear" w:color="000000" w:fill="B4C6E7"/>
            <w:vAlign w:val="bottom"/>
          </w:tcPr>
          <w:p w14:paraId="6231713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1,186,083</w:t>
            </w:r>
          </w:p>
        </w:tc>
        <w:tc>
          <w:tcPr>
            <w:tcW w:w="0" w:type="auto"/>
            <w:tcBorders>
              <w:top w:val="nil"/>
              <w:left w:val="nil"/>
              <w:bottom w:val="nil"/>
              <w:right w:val="single" w:sz="8" w:space="0" w:color="auto"/>
            </w:tcBorders>
            <w:shd w:val="clear" w:color="auto" w:fill="auto"/>
            <w:vAlign w:val="bottom"/>
          </w:tcPr>
          <w:p w14:paraId="1DD094F6"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(245,873)</w:t>
            </w:r>
          </w:p>
        </w:tc>
        <w:tc>
          <w:tcPr>
            <w:tcW w:w="783" w:type="dxa"/>
            <w:tcBorders>
              <w:top w:val="nil"/>
              <w:left w:val="nil"/>
              <w:bottom w:val="nil"/>
              <w:right w:val="single" w:sz="8" w:space="0" w:color="auto"/>
            </w:tcBorders>
            <w:shd w:val="clear" w:color="auto" w:fill="auto"/>
            <w:noWrap/>
            <w:vAlign w:val="bottom"/>
          </w:tcPr>
          <w:p w14:paraId="65EF5644"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-20.7%</w:t>
            </w:r>
          </w:p>
        </w:tc>
      </w:tr>
      <w:tr w:rsidR="00D304CF" w:rsidRPr="00D304CF" w14:paraId="7F04778A" w14:textId="77777777" w:rsidTr="006E4F32">
        <w:trPr>
          <w:trHeight w:val="315"/>
        </w:trPr>
        <w:tc>
          <w:tcPr>
            <w:tcW w:w="0" w:type="auto"/>
            <w:tcBorders>
              <w:top w:val="nil"/>
              <w:left w:val="single" w:sz="8" w:space="0" w:color="auto"/>
              <w:bottom w:val="nil"/>
              <w:right w:val="single" w:sz="8" w:space="0" w:color="auto"/>
            </w:tcBorders>
            <w:shd w:val="clear" w:color="000000" w:fill="FFFFFF"/>
            <w:noWrap/>
            <w:vAlign w:val="bottom"/>
          </w:tcPr>
          <w:p w14:paraId="44C37E64"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o/w TSA</w:t>
            </w:r>
          </w:p>
        </w:tc>
        <w:tc>
          <w:tcPr>
            <w:tcW w:w="0" w:type="auto"/>
            <w:tcBorders>
              <w:top w:val="single" w:sz="8" w:space="0" w:color="auto"/>
              <w:left w:val="nil"/>
              <w:bottom w:val="single" w:sz="4" w:space="0" w:color="auto"/>
              <w:right w:val="single" w:sz="4" w:space="0" w:color="auto"/>
            </w:tcBorders>
            <w:shd w:val="clear" w:color="000000" w:fill="D9E1F2"/>
            <w:noWrap/>
            <w:vAlign w:val="bottom"/>
          </w:tcPr>
          <w:p w14:paraId="1AD497AD" w14:textId="77777777" w:rsidR="00D304CF" w:rsidRPr="00D304CF" w:rsidRDefault="00D304CF" w:rsidP="00D304CF">
            <w:pPr>
              <w:spacing w:after="0" w:line="240" w:lineRule="auto"/>
              <w:jc w:val="center"/>
              <w:rPr>
                <w:rFonts w:ascii="Baskerville Old Face" w:eastAsia="Times New Roman" w:hAnsi="Baskerville Old Face" w:cs="Calibri"/>
                <w:i/>
                <w:iCs/>
                <w:color w:val="000000"/>
                <w:kern w:val="0"/>
                <w:sz w:val="16"/>
                <w:szCs w:val="16"/>
                <w:lang w:val="zh-CN" w:eastAsia="zh-CN"/>
                <w14:ligatures w14:val="none"/>
              </w:rPr>
            </w:pPr>
            <w:r w:rsidRPr="00D304CF">
              <w:rPr>
                <w:rFonts w:ascii="Baskerville Old Face" w:eastAsia="Times New Roman" w:hAnsi="Baskerville Old Face" w:cs="Calibri"/>
                <w:i/>
                <w:iCs/>
                <w:color w:val="000000"/>
                <w:kern w:val="0"/>
                <w:sz w:val="16"/>
                <w:szCs w:val="16"/>
                <w:lang w:val="zh-CN" w:eastAsia="zh-CN"/>
                <w14:ligatures w14:val="none"/>
              </w:rPr>
              <w:t>234,402</w:t>
            </w:r>
          </w:p>
        </w:tc>
        <w:tc>
          <w:tcPr>
            <w:tcW w:w="0" w:type="auto"/>
            <w:tcBorders>
              <w:top w:val="single" w:sz="8" w:space="0" w:color="auto"/>
              <w:left w:val="nil"/>
              <w:bottom w:val="single" w:sz="4" w:space="0" w:color="auto"/>
              <w:right w:val="single" w:sz="4" w:space="0" w:color="auto"/>
            </w:tcBorders>
            <w:shd w:val="clear" w:color="000000" w:fill="D9E1F2"/>
            <w:vAlign w:val="bottom"/>
          </w:tcPr>
          <w:p w14:paraId="68CB770D"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216,170</w:t>
            </w:r>
          </w:p>
        </w:tc>
        <w:tc>
          <w:tcPr>
            <w:tcW w:w="0" w:type="auto"/>
            <w:tcBorders>
              <w:top w:val="single" w:sz="8" w:space="0" w:color="auto"/>
              <w:left w:val="nil"/>
              <w:bottom w:val="single" w:sz="4" w:space="0" w:color="auto"/>
              <w:right w:val="single" w:sz="4" w:space="0" w:color="auto"/>
            </w:tcBorders>
            <w:shd w:val="clear" w:color="000000" w:fill="D9E1F2"/>
            <w:vAlign w:val="bottom"/>
          </w:tcPr>
          <w:p w14:paraId="60A31832"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183,741</w:t>
            </w:r>
          </w:p>
        </w:tc>
        <w:tc>
          <w:tcPr>
            <w:tcW w:w="0" w:type="auto"/>
            <w:tcBorders>
              <w:top w:val="single" w:sz="8" w:space="0" w:color="auto"/>
              <w:left w:val="nil"/>
              <w:bottom w:val="single" w:sz="4" w:space="0" w:color="auto"/>
              <w:right w:val="single" w:sz="4" w:space="0" w:color="auto"/>
            </w:tcBorders>
            <w:shd w:val="clear" w:color="000000" w:fill="D9E1F2"/>
            <w:vAlign w:val="bottom"/>
          </w:tcPr>
          <w:p w14:paraId="6BE41446"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192,793</w:t>
            </w:r>
          </w:p>
        </w:tc>
        <w:tc>
          <w:tcPr>
            <w:tcW w:w="0" w:type="auto"/>
            <w:tcBorders>
              <w:top w:val="single" w:sz="8" w:space="0" w:color="auto"/>
              <w:left w:val="nil"/>
              <w:bottom w:val="single" w:sz="4" w:space="0" w:color="auto"/>
              <w:right w:val="single" w:sz="4" w:space="0" w:color="auto"/>
            </w:tcBorders>
            <w:shd w:val="clear" w:color="000000" w:fill="B4C6E7"/>
            <w:vAlign w:val="bottom"/>
          </w:tcPr>
          <w:p w14:paraId="27EAA0AA"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827,107</w:t>
            </w:r>
          </w:p>
        </w:tc>
        <w:tc>
          <w:tcPr>
            <w:tcW w:w="0" w:type="auto"/>
            <w:tcBorders>
              <w:top w:val="single" w:sz="8" w:space="0" w:color="auto"/>
              <w:left w:val="nil"/>
              <w:bottom w:val="single" w:sz="4" w:space="0" w:color="auto"/>
              <w:right w:val="single" w:sz="4" w:space="0" w:color="auto"/>
            </w:tcBorders>
            <w:shd w:val="clear" w:color="000000" w:fill="B4C6E7"/>
            <w:vAlign w:val="bottom"/>
          </w:tcPr>
          <w:p w14:paraId="6F226E80"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960,426</w:t>
            </w:r>
          </w:p>
        </w:tc>
        <w:tc>
          <w:tcPr>
            <w:tcW w:w="0" w:type="auto"/>
            <w:tcBorders>
              <w:top w:val="single" w:sz="8" w:space="0" w:color="auto"/>
              <w:left w:val="nil"/>
              <w:bottom w:val="single" w:sz="4" w:space="0" w:color="auto"/>
              <w:right w:val="single" w:sz="8" w:space="0" w:color="auto"/>
            </w:tcBorders>
            <w:shd w:val="clear" w:color="auto" w:fill="auto"/>
            <w:vAlign w:val="bottom"/>
          </w:tcPr>
          <w:p w14:paraId="16F60F0D"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(133,319)</w:t>
            </w:r>
          </w:p>
        </w:tc>
        <w:tc>
          <w:tcPr>
            <w:tcW w:w="783" w:type="dxa"/>
            <w:tcBorders>
              <w:top w:val="single" w:sz="8" w:space="0" w:color="auto"/>
              <w:left w:val="nil"/>
              <w:bottom w:val="single" w:sz="4" w:space="0" w:color="auto"/>
              <w:right w:val="single" w:sz="8" w:space="0" w:color="auto"/>
            </w:tcBorders>
            <w:shd w:val="clear" w:color="auto" w:fill="auto"/>
            <w:noWrap/>
            <w:vAlign w:val="bottom"/>
          </w:tcPr>
          <w:p w14:paraId="78AC2496"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-13.9%</w:t>
            </w:r>
          </w:p>
        </w:tc>
      </w:tr>
      <w:tr w:rsidR="00D304CF" w:rsidRPr="00D304CF" w14:paraId="4FBED7B2" w14:textId="77777777" w:rsidTr="006E4F32">
        <w:trPr>
          <w:trHeight w:val="315"/>
        </w:trPr>
        <w:tc>
          <w:tcPr>
            <w:tcW w:w="0" w:type="auto"/>
            <w:tcBorders>
              <w:top w:val="nil"/>
              <w:left w:val="single" w:sz="8" w:space="0" w:color="auto"/>
              <w:bottom w:val="nil"/>
              <w:right w:val="single" w:sz="8" w:space="0" w:color="auto"/>
            </w:tcBorders>
            <w:shd w:val="clear" w:color="000000" w:fill="FFFFFF"/>
            <w:noWrap/>
            <w:vAlign w:val="bottom"/>
          </w:tcPr>
          <w:p w14:paraId="696ADC72"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o/w Timber</w:t>
            </w:r>
          </w:p>
        </w:tc>
        <w:tc>
          <w:tcPr>
            <w:tcW w:w="0" w:type="auto"/>
            <w:tcBorders>
              <w:top w:val="nil"/>
              <w:left w:val="nil"/>
              <w:bottom w:val="single" w:sz="4" w:space="0" w:color="auto"/>
              <w:right w:val="single" w:sz="4" w:space="0" w:color="auto"/>
            </w:tcBorders>
            <w:shd w:val="clear" w:color="000000" w:fill="D9E1F2"/>
            <w:noWrap/>
            <w:vAlign w:val="bottom"/>
          </w:tcPr>
          <w:p w14:paraId="4397F03C" w14:textId="77777777" w:rsidR="00D304CF" w:rsidRPr="00D304CF" w:rsidRDefault="00D304CF" w:rsidP="00D304CF">
            <w:pPr>
              <w:spacing w:after="0" w:line="240" w:lineRule="auto"/>
              <w:jc w:val="center"/>
              <w:rPr>
                <w:rFonts w:ascii="Baskerville Old Face" w:eastAsia="Times New Roman" w:hAnsi="Baskerville Old Face" w:cs="Calibri"/>
                <w:i/>
                <w:iCs/>
                <w:color w:val="000000"/>
                <w:kern w:val="0"/>
                <w:sz w:val="16"/>
                <w:szCs w:val="16"/>
                <w:lang w:val="zh-CN" w:eastAsia="zh-CN"/>
                <w14:ligatures w14:val="none"/>
              </w:rPr>
            </w:pPr>
            <w:r w:rsidRPr="00D304CF">
              <w:rPr>
                <w:rFonts w:ascii="Baskerville Old Face" w:eastAsia="Times New Roman" w:hAnsi="Baskerville Old Face" w:cs="Calibri"/>
                <w:i/>
                <w:iCs/>
                <w:color w:val="000000"/>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36E7FA13"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w:t>
            </w:r>
          </w:p>
        </w:tc>
        <w:tc>
          <w:tcPr>
            <w:tcW w:w="0" w:type="auto"/>
            <w:tcBorders>
              <w:top w:val="nil"/>
              <w:left w:val="nil"/>
              <w:bottom w:val="single" w:sz="4" w:space="0" w:color="auto"/>
              <w:right w:val="single" w:sz="4" w:space="0" w:color="auto"/>
            </w:tcBorders>
            <w:shd w:val="clear" w:color="000000" w:fill="D9E1F2"/>
            <w:vAlign w:val="bottom"/>
          </w:tcPr>
          <w:p w14:paraId="7C71814B"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11,786</w:t>
            </w:r>
          </w:p>
        </w:tc>
        <w:tc>
          <w:tcPr>
            <w:tcW w:w="0" w:type="auto"/>
            <w:tcBorders>
              <w:top w:val="nil"/>
              <w:left w:val="nil"/>
              <w:bottom w:val="single" w:sz="4" w:space="0" w:color="auto"/>
              <w:right w:val="single" w:sz="4" w:space="0" w:color="auto"/>
            </w:tcBorders>
            <w:shd w:val="clear" w:color="000000" w:fill="D9E1F2"/>
            <w:vAlign w:val="bottom"/>
          </w:tcPr>
          <w:p w14:paraId="297A04A5"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6,072</w:t>
            </w:r>
          </w:p>
        </w:tc>
        <w:tc>
          <w:tcPr>
            <w:tcW w:w="0" w:type="auto"/>
            <w:tcBorders>
              <w:top w:val="nil"/>
              <w:left w:val="nil"/>
              <w:bottom w:val="single" w:sz="4" w:space="0" w:color="auto"/>
              <w:right w:val="single" w:sz="4" w:space="0" w:color="auto"/>
            </w:tcBorders>
            <w:shd w:val="clear" w:color="000000" w:fill="B4C6E7"/>
            <w:vAlign w:val="bottom"/>
          </w:tcPr>
          <w:p w14:paraId="49110515"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17,858</w:t>
            </w:r>
          </w:p>
        </w:tc>
        <w:tc>
          <w:tcPr>
            <w:tcW w:w="0" w:type="auto"/>
            <w:tcBorders>
              <w:top w:val="nil"/>
              <w:left w:val="nil"/>
              <w:bottom w:val="single" w:sz="4" w:space="0" w:color="auto"/>
              <w:right w:val="single" w:sz="4" w:space="0" w:color="auto"/>
            </w:tcBorders>
            <w:shd w:val="clear" w:color="000000" w:fill="B4C6E7"/>
            <w:vAlign w:val="bottom"/>
          </w:tcPr>
          <w:p w14:paraId="2CFCD9FC"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25,000</w:t>
            </w:r>
          </w:p>
        </w:tc>
        <w:tc>
          <w:tcPr>
            <w:tcW w:w="0" w:type="auto"/>
            <w:tcBorders>
              <w:top w:val="nil"/>
              <w:left w:val="nil"/>
              <w:bottom w:val="single" w:sz="4" w:space="0" w:color="auto"/>
              <w:right w:val="single" w:sz="8" w:space="0" w:color="auto"/>
            </w:tcBorders>
            <w:shd w:val="clear" w:color="auto" w:fill="auto"/>
            <w:vAlign w:val="bottom"/>
          </w:tcPr>
          <w:p w14:paraId="7B436CD7"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(7,142)</w:t>
            </w:r>
          </w:p>
        </w:tc>
        <w:tc>
          <w:tcPr>
            <w:tcW w:w="783" w:type="dxa"/>
            <w:tcBorders>
              <w:top w:val="nil"/>
              <w:left w:val="nil"/>
              <w:bottom w:val="single" w:sz="4" w:space="0" w:color="auto"/>
              <w:right w:val="single" w:sz="8" w:space="0" w:color="auto"/>
            </w:tcBorders>
            <w:shd w:val="clear" w:color="auto" w:fill="auto"/>
            <w:noWrap/>
            <w:vAlign w:val="bottom"/>
          </w:tcPr>
          <w:p w14:paraId="64B35B34"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-28.6%</w:t>
            </w:r>
          </w:p>
        </w:tc>
      </w:tr>
      <w:tr w:rsidR="00D304CF" w:rsidRPr="00D304CF" w14:paraId="432AA964" w14:textId="77777777" w:rsidTr="006E4F32">
        <w:trPr>
          <w:trHeight w:val="323"/>
        </w:trPr>
        <w:tc>
          <w:tcPr>
            <w:tcW w:w="0" w:type="auto"/>
            <w:tcBorders>
              <w:top w:val="nil"/>
              <w:left w:val="single" w:sz="8" w:space="0" w:color="auto"/>
              <w:bottom w:val="single" w:sz="8" w:space="0" w:color="auto"/>
              <w:right w:val="single" w:sz="8" w:space="0" w:color="auto"/>
            </w:tcBorders>
            <w:shd w:val="clear" w:color="000000" w:fill="FFFFFF"/>
            <w:noWrap/>
            <w:vAlign w:val="bottom"/>
          </w:tcPr>
          <w:p w14:paraId="6765A087" w14:textId="77777777" w:rsidR="00D304CF" w:rsidRPr="00D304CF" w:rsidRDefault="00D304CF" w:rsidP="00D304CF">
            <w:pPr>
              <w:spacing w:after="0" w:line="240" w:lineRule="auto"/>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o/w Other MDAs</w:t>
            </w:r>
          </w:p>
        </w:tc>
        <w:tc>
          <w:tcPr>
            <w:tcW w:w="0" w:type="auto"/>
            <w:tcBorders>
              <w:top w:val="nil"/>
              <w:left w:val="nil"/>
              <w:bottom w:val="single" w:sz="8" w:space="0" w:color="auto"/>
              <w:right w:val="single" w:sz="4" w:space="0" w:color="auto"/>
            </w:tcBorders>
            <w:shd w:val="clear" w:color="000000" w:fill="D9E1F2"/>
            <w:noWrap/>
            <w:vAlign w:val="bottom"/>
          </w:tcPr>
          <w:p w14:paraId="40CC4537" w14:textId="77777777" w:rsidR="00D304CF" w:rsidRPr="00D304CF" w:rsidRDefault="00D304CF" w:rsidP="00D304CF">
            <w:pPr>
              <w:spacing w:after="0" w:line="240" w:lineRule="auto"/>
              <w:jc w:val="center"/>
              <w:rPr>
                <w:rFonts w:ascii="Baskerville Old Face" w:eastAsia="Times New Roman" w:hAnsi="Baskerville Old Face" w:cs="Calibri"/>
                <w:i/>
                <w:iCs/>
                <w:color w:val="000000"/>
                <w:kern w:val="0"/>
                <w:sz w:val="16"/>
                <w:szCs w:val="16"/>
                <w:lang w:val="zh-CN" w:eastAsia="zh-CN"/>
                <w14:ligatures w14:val="none"/>
              </w:rPr>
            </w:pPr>
            <w:r w:rsidRPr="00D304CF">
              <w:rPr>
                <w:rFonts w:ascii="Baskerville Old Face" w:eastAsia="Times New Roman" w:hAnsi="Baskerville Old Face" w:cs="Calibri"/>
                <w:i/>
                <w:iCs/>
                <w:color w:val="000000"/>
                <w:kern w:val="0"/>
                <w:sz w:val="16"/>
                <w:szCs w:val="16"/>
                <w:lang w:val="zh-CN" w:eastAsia="zh-CN"/>
                <w14:ligatures w14:val="none"/>
              </w:rPr>
              <w:t>45,566</w:t>
            </w:r>
          </w:p>
        </w:tc>
        <w:tc>
          <w:tcPr>
            <w:tcW w:w="0" w:type="auto"/>
            <w:tcBorders>
              <w:top w:val="nil"/>
              <w:left w:val="nil"/>
              <w:bottom w:val="single" w:sz="8" w:space="0" w:color="auto"/>
              <w:right w:val="single" w:sz="4" w:space="0" w:color="auto"/>
            </w:tcBorders>
            <w:shd w:val="clear" w:color="000000" w:fill="D9E1F2"/>
            <w:vAlign w:val="bottom"/>
          </w:tcPr>
          <w:p w14:paraId="77883794" w14:textId="77777777" w:rsidR="00D304CF" w:rsidRPr="00D304CF" w:rsidRDefault="00D304CF" w:rsidP="00D304CF">
            <w:pPr>
              <w:spacing w:after="0" w:line="240" w:lineRule="auto"/>
              <w:jc w:val="center"/>
              <w:rPr>
                <w:rFonts w:ascii="Baskerville Old Face" w:eastAsia="Times New Roman" w:hAnsi="Baskerville Old Face" w:cs="Calibri"/>
                <w:kern w:val="0"/>
                <w:sz w:val="16"/>
                <w:szCs w:val="16"/>
                <w:lang w:val="zh-CN" w:eastAsia="zh-CN"/>
                <w14:ligatures w14:val="none"/>
              </w:rPr>
            </w:pPr>
            <w:r w:rsidRPr="00D304CF">
              <w:rPr>
                <w:rFonts w:ascii="Baskerville Old Face" w:eastAsia="Times New Roman" w:hAnsi="Baskerville Old Face" w:cs="Calibri"/>
                <w:kern w:val="0"/>
                <w:sz w:val="16"/>
                <w:szCs w:val="16"/>
                <w:lang w:val="zh-CN" w:eastAsia="zh-CN"/>
                <w14:ligatures w14:val="none"/>
              </w:rPr>
              <w:t>15,657</w:t>
            </w:r>
          </w:p>
        </w:tc>
        <w:tc>
          <w:tcPr>
            <w:tcW w:w="0" w:type="auto"/>
            <w:tcBorders>
              <w:top w:val="nil"/>
              <w:left w:val="nil"/>
              <w:bottom w:val="single" w:sz="8" w:space="0" w:color="auto"/>
              <w:right w:val="single" w:sz="4" w:space="0" w:color="auto"/>
            </w:tcBorders>
            <w:shd w:val="clear" w:color="000000" w:fill="D9E1F2"/>
            <w:vAlign w:val="bottom"/>
          </w:tcPr>
          <w:p w14:paraId="3FC9187C"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18,955</w:t>
            </w:r>
          </w:p>
        </w:tc>
        <w:tc>
          <w:tcPr>
            <w:tcW w:w="0" w:type="auto"/>
            <w:tcBorders>
              <w:top w:val="nil"/>
              <w:left w:val="nil"/>
              <w:bottom w:val="single" w:sz="8" w:space="0" w:color="auto"/>
              <w:right w:val="single" w:sz="4" w:space="0" w:color="auto"/>
            </w:tcBorders>
            <w:shd w:val="clear" w:color="000000" w:fill="D9E1F2"/>
            <w:vAlign w:val="bottom"/>
          </w:tcPr>
          <w:p w14:paraId="20BD204B" w14:textId="77777777" w:rsidR="00D304CF" w:rsidRPr="00D304CF" w:rsidRDefault="00D304CF" w:rsidP="00D304CF">
            <w:pPr>
              <w:spacing w:after="0" w:line="240" w:lineRule="auto"/>
              <w:jc w:val="center"/>
              <w:rPr>
                <w:rFonts w:ascii="Baskerville Old Face" w:eastAsia="Times New Roman" w:hAnsi="Baskerville Old Face" w:cs="Calibri"/>
                <w:b/>
                <w:bCs/>
                <w:i/>
                <w:iCs/>
                <w:kern w:val="0"/>
                <w:sz w:val="16"/>
                <w:szCs w:val="16"/>
                <w:lang w:val="zh-CN" w:eastAsia="zh-CN"/>
                <w14:ligatures w14:val="none"/>
              </w:rPr>
            </w:pPr>
            <w:r w:rsidRPr="00D304CF">
              <w:rPr>
                <w:rFonts w:ascii="Baskerville Old Face" w:eastAsia="Times New Roman" w:hAnsi="Baskerville Old Face" w:cs="Calibri"/>
                <w:b/>
                <w:bCs/>
                <w:i/>
                <w:iCs/>
                <w:kern w:val="0"/>
                <w:sz w:val="16"/>
                <w:szCs w:val="16"/>
                <w:lang w:val="zh-CN" w:eastAsia="zh-CN"/>
                <w14:ligatures w14:val="none"/>
              </w:rPr>
              <w:t>15,066</w:t>
            </w:r>
          </w:p>
        </w:tc>
        <w:tc>
          <w:tcPr>
            <w:tcW w:w="0" w:type="auto"/>
            <w:tcBorders>
              <w:top w:val="nil"/>
              <w:left w:val="nil"/>
              <w:bottom w:val="single" w:sz="8" w:space="0" w:color="auto"/>
              <w:right w:val="single" w:sz="4" w:space="0" w:color="auto"/>
            </w:tcBorders>
            <w:shd w:val="clear" w:color="000000" w:fill="B4C6E7"/>
            <w:vAlign w:val="bottom"/>
          </w:tcPr>
          <w:p w14:paraId="128CAF85"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95,245</w:t>
            </w:r>
          </w:p>
        </w:tc>
        <w:tc>
          <w:tcPr>
            <w:tcW w:w="0" w:type="auto"/>
            <w:tcBorders>
              <w:top w:val="nil"/>
              <w:left w:val="nil"/>
              <w:bottom w:val="single" w:sz="8" w:space="0" w:color="auto"/>
              <w:right w:val="single" w:sz="4" w:space="0" w:color="auto"/>
            </w:tcBorders>
            <w:shd w:val="clear" w:color="000000" w:fill="B4C6E7"/>
            <w:vAlign w:val="bottom"/>
          </w:tcPr>
          <w:p w14:paraId="3A3645BA"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lang w:val="zh-CN" w:eastAsia="zh-CN"/>
                <w14:ligatures w14:val="none"/>
              </w:rPr>
              <w:t>200,657</w:t>
            </w:r>
          </w:p>
        </w:tc>
        <w:tc>
          <w:tcPr>
            <w:tcW w:w="0" w:type="auto"/>
            <w:tcBorders>
              <w:top w:val="nil"/>
              <w:left w:val="nil"/>
              <w:bottom w:val="single" w:sz="8" w:space="0" w:color="auto"/>
              <w:right w:val="single" w:sz="8" w:space="0" w:color="auto"/>
            </w:tcBorders>
            <w:shd w:val="clear" w:color="auto" w:fill="auto"/>
            <w:vAlign w:val="bottom"/>
          </w:tcPr>
          <w:p w14:paraId="4F1DC431" w14:textId="77777777" w:rsidR="00D304CF" w:rsidRPr="00D304CF" w:rsidRDefault="00D304CF" w:rsidP="00D304CF">
            <w:pPr>
              <w:spacing w:after="0" w:line="240" w:lineRule="auto"/>
              <w:jc w:val="center"/>
              <w:rPr>
                <w:rFonts w:ascii="Baskerville Old Face" w:eastAsia="Times New Roman" w:hAnsi="Baskerville Old Face" w:cs="Calibri"/>
                <w:i/>
                <w:iCs/>
                <w:kern w:val="0"/>
                <w:sz w:val="16"/>
                <w:szCs w:val="16"/>
                <w:lang w:val="zh-CN" w:eastAsia="zh-CN"/>
                <w14:ligatures w14:val="none"/>
              </w:rPr>
            </w:pPr>
            <w:r w:rsidRPr="00D304CF">
              <w:rPr>
                <w:rFonts w:ascii="Baskerville Old Face" w:eastAsia="Times New Roman" w:hAnsi="Baskerville Old Face" w:cs="Calibri"/>
                <w:i/>
                <w:iCs/>
                <w:kern w:val="0"/>
                <w:sz w:val="16"/>
                <w:szCs w:val="16"/>
                <w:highlight w:val="red"/>
                <w:lang w:val="zh-CN" w:eastAsia="zh-CN"/>
                <w14:ligatures w14:val="none"/>
              </w:rPr>
              <w:t>(105,413)</w:t>
            </w:r>
          </w:p>
        </w:tc>
        <w:tc>
          <w:tcPr>
            <w:tcW w:w="783" w:type="dxa"/>
            <w:tcBorders>
              <w:top w:val="nil"/>
              <w:left w:val="nil"/>
              <w:bottom w:val="single" w:sz="8" w:space="0" w:color="auto"/>
              <w:right w:val="single" w:sz="8" w:space="0" w:color="auto"/>
            </w:tcBorders>
            <w:shd w:val="clear" w:color="auto" w:fill="auto"/>
            <w:noWrap/>
            <w:vAlign w:val="bottom"/>
          </w:tcPr>
          <w:p w14:paraId="43FC5A8D" w14:textId="77777777" w:rsidR="00D304CF" w:rsidRPr="00D304CF" w:rsidRDefault="00D304CF" w:rsidP="00D304CF">
            <w:pPr>
              <w:spacing w:after="0" w:line="240" w:lineRule="auto"/>
              <w:jc w:val="center"/>
              <w:rPr>
                <w:rFonts w:ascii="Baskerville Old Face" w:eastAsia="Times New Roman" w:hAnsi="Baskerville Old Face" w:cs="Calibri"/>
                <w:color w:val="000000"/>
                <w:kern w:val="0"/>
                <w:sz w:val="16"/>
                <w:szCs w:val="16"/>
                <w:lang w:val="zh-CN" w:eastAsia="zh-CN"/>
                <w14:ligatures w14:val="none"/>
              </w:rPr>
            </w:pPr>
            <w:r w:rsidRPr="00D304CF">
              <w:rPr>
                <w:rFonts w:ascii="Baskerville Old Face" w:eastAsia="Times New Roman" w:hAnsi="Baskerville Old Face" w:cs="Calibri"/>
                <w:color w:val="000000"/>
                <w:kern w:val="0"/>
                <w:sz w:val="16"/>
                <w:szCs w:val="16"/>
                <w:lang w:val="zh-CN" w:eastAsia="zh-CN"/>
                <w14:ligatures w14:val="none"/>
              </w:rPr>
              <w:t>-52.5%</w:t>
            </w:r>
          </w:p>
        </w:tc>
      </w:tr>
      <w:tr w:rsidR="00D304CF" w:rsidRPr="00D304CF" w14:paraId="1F88E566" w14:textId="77777777" w:rsidTr="006E4F32">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tcPr>
          <w:p w14:paraId="56B136D2" w14:textId="77777777" w:rsidR="00D304CF" w:rsidRPr="00D304CF" w:rsidRDefault="00D304CF" w:rsidP="00D304CF">
            <w:pPr>
              <w:spacing w:after="0" w:line="240" w:lineRule="auto"/>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RUC</w:t>
            </w:r>
          </w:p>
        </w:tc>
        <w:tc>
          <w:tcPr>
            <w:tcW w:w="0" w:type="auto"/>
            <w:tcBorders>
              <w:top w:val="nil"/>
              <w:left w:val="nil"/>
              <w:bottom w:val="single" w:sz="8" w:space="0" w:color="auto"/>
              <w:right w:val="single" w:sz="4" w:space="0" w:color="auto"/>
            </w:tcBorders>
            <w:shd w:val="clear" w:color="000000" w:fill="D9E1F2"/>
            <w:noWrap/>
            <w:vAlign w:val="bottom"/>
          </w:tcPr>
          <w:p w14:paraId="6790F9CB"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58,782</w:t>
            </w:r>
          </w:p>
        </w:tc>
        <w:tc>
          <w:tcPr>
            <w:tcW w:w="0" w:type="auto"/>
            <w:tcBorders>
              <w:top w:val="nil"/>
              <w:left w:val="nil"/>
              <w:bottom w:val="single" w:sz="8" w:space="0" w:color="auto"/>
              <w:right w:val="single" w:sz="4" w:space="0" w:color="auto"/>
            </w:tcBorders>
            <w:shd w:val="clear" w:color="000000" w:fill="D9E1F2"/>
            <w:vAlign w:val="bottom"/>
          </w:tcPr>
          <w:p w14:paraId="3FCBC2FA"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59,411</w:t>
            </w:r>
          </w:p>
        </w:tc>
        <w:tc>
          <w:tcPr>
            <w:tcW w:w="0" w:type="auto"/>
            <w:tcBorders>
              <w:top w:val="nil"/>
              <w:left w:val="nil"/>
              <w:bottom w:val="single" w:sz="8" w:space="0" w:color="auto"/>
              <w:right w:val="single" w:sz="4" w:space="0" w:color="auto"/>
            </w:tcBorders>
            <w:shd w:val="clear" w:color="000000" w:fill="D9E1F2"/>
            <w:vAlign w:val="bottom"/>
          </w:tcPr>
          <w:p w14:paraId="0703CFAF"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46,297</w:t>
            </w:r>
          </w:p>
        </w:tc>
        <w:tc>
          <w:tcPr>
            <w:tcW w:w="0" w:type="auto"/>
            <w:tcBorders>
              <w:top w:val="nil"/>
              <w:left w:val="nil"/>
              <w:bottom w:val="single" w:sz="8" w:space="0" w:color="auto"/>
              <w:right w:val="single" w:sz="4" w:space="0" w:color="auto"/>
            </w:tcBorders>
            <w:shd w:val="clear" w:color="000000" w:fill="D9E1F2"/>
            <w:vAlign w:val="bottom"/>
          </w:tcPr>
          <w:p w14:paraId="38431E67"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42,179</w:t>
            </w:r>
          </w:p>
        </w:tc>
        <w:tc>
          <w:tcPr>
            <w:tcW w:w="0" w:type="auto"/>
            <w:tcBorders>
              <w:top w:val="nil"/>
              <w:left w:val="nil"/>
              <w:bottom w:val="single" w:sz="8" w:space="0" w:color="auto"/>
              <w:right w:val="single" w:sz="4" w:space="0" w:color="auto"/>
            </w:tcBorders>
            <w:shd w:val="clear" w:color="000000" w:fill="B4C6E7"/>
            <w:vAlign w:val="bottom"/>
          </w:tcPr>
          <w:p w14:paraId="01F2273E"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206,669</w:t>
            </w:r>
          </w:p>
        </w:tc>
        <w:tc>
          <w:tcPr>
            <w:tcW w:w="0" w:type="auto"/>
            <w:tcBorders>
              <w:top w:val="nil"/>
              <w:left w:val="nil"/>
              <w:bottom w:val="single" w:sz="8" w:space="0" w:color="auto"/>
              <w:right w:val="single" w:sz="4" w:space="0" w:color="auto"/>
            </w:tcBorders>
            <w:shd w:val="clear" w:color="000000" w:fill="B4C6E7"/>
            <w:vAlign w:val="bottom"/>
          </w:tcPr>
          <w:p w14:paraId="41D8367D"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lang w:val="zh-CN" w:eastAsia="zh-CN"/>
                <w14:ligatures w14:val="none"/>
              </w:rPr>
              <w:t>107,200</w:t>
            </w:r>
          </w:p>
        </w:tc>
        <w:tc>
          <w:tcPr>
            <w:tcW w:w="0" w:type="auto"/>
            <w:tcBorders>
              <w:top w:val="nil"/>
              <w:left w:val="nil"/>
              <w:bottom w:val="single" w:sz="8" w:space="0" w:color="auto"/>
              <w:right w:val="single" w:sz="8" w:space="0" w:color="auto"/>
            </w:tcBorders>
            <w:shd w:val="clear" w:color="auto" w:fill="auto"/>
            <w:vAlign w:val="bottom"/>
          </w:tcPr>
          <w:p w14:paraId="1EAF1F66" w14:textId="77777777" w:rsidR="00D304CF" w:rsidRPr="00D304CF" w:rsidRDefault="00D304CF" w:rsidP="00D304CF">
            <w:pPr>
              <w:spacing w:after="0" w:line="240" w:lineRule="auto"/>
              <w:jc w:val="center"/>
              <w:rPr>
                <w:rFonts w:ascii="Baskerville Old Face" w:eastAsia="Times New Roman" w:hAnsi="Baskerville Old Face" w:cs="Calibri"/>
                <w:b/>
                <w:bCs/>
                <w:kern w:val="0"/>
                <w:sz w:val="16"/>
                <w:szCs w:val="16"/>
                <w:lang w:val="zh-CN" w:eastAsia="zh-CN"/>
                <w14:ligatures w14:val="none"/>
              </w:rPr>
            </w:pPr>
            <w:r w:rsidRPr="00D304CF">
              <w:rPr>
                <w:rFonts w:ascii="Baskerville Old Face" w:eastAsia="Times New Roman" w:hAnsi="Baskerville Old Face" w:cs="Calibri"/>
                <w:b/>
                <w:bCs/>
                <w:kern w:val="0"/>
                <w:sz w:val="16"/>
                <w:szCs w:val="16"/>
                <w:highlight w:val="green"/>
                <w:lang w:val="zh-CN" w:eastAsia="zh-CN"/>
                <w14:ligatures w14:val="none"/>
              </w:rPr>
              <w:t>99,469</w:t>
            </w:r>
          </w:p>
        </w:tc>
        <w:tc>
          <w:tcPr>
            <w:tcW w:w="783" w:type="dxa"/>
            <w:tcBorders>
              <w:top w:val="nil"/>
              <w:left w:val="nil"/>
              <w:bottom w:val="single" w:sz="8" w:space="0" w:color="auto"/>
              <w:right w:val="single" w:sz="8" w:space="0" w:color="auto"/>
            </w:tcBorders>
            <w:shd w:val="clear" w:color="auto" w:fill="auto"/>
            <w:noWrap/>
            <w:vAlign w:val="bottom"/>
          </w:tcPr>
          <w:p w14:paraId="3F544932" w14:textId="77777777" w:rsidR="00D304CF" w:rsidRPr="00D304CF" w:rsidRDefault="00D304CF" w:rsidP="00D304CF">
            <w:pPr>
              <w:spacing w:after="0" w:line="240" w:lineRule="auto"/>
              <w:jc w:val="center"/>
              <w:rPr>
                <w:rFonts w:ascii="Baskerville Old Face" w:eastAsia="Times New Roman" w:hAnsi="Baskerville Old Face" w:cs="Calibri"/>
                <w:b/>
                <w:bCs/>
                <w:color w:val="000000"/>
                <w:kern w:val="0"/>
                <w:sz w:val="16"/>
                <w:szCs w:val="16"/>
                <w:lang w:val="zh-CN" w:eastAsia="zh-CN"/>
                <w14:ligatures w14:val="none"/>
              </w:rPr>
            </w:pPr>
            <w:r w:rsidRPr="00D304CF">
              <w:rPr>
                <w:rFonts w:ascii="Baskerville Old Face" w:eastAsia="Times New Roman" w:hAnsi="Baskerville Old Face" w:cs="Calibri"/>
                <w:b/>
                <w:bCs/>
                <w:color w:val="000000"/>
                <w:kern w:val="0"/>
                <w:sz w:val="16"/>
                <w:szCs w:val="16"/>
                <w:lang w:val="zh-CN" w:eastAsia="zh-CN"/>
                <w14:ligatures w14:val="none"/>
              </w:rPr>
              <w:t>92.8%</w:t>
            </w:r>
          </w:p>
        </w:tc>
      </w:tr>
    </w:tbl>
    <w:p w14:paraId="61D5328D"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p>
    <w:p w14:paraId="123512BC" w14:textId="1BF6674A" w:rsidR="0092264C" w:rsidRPr="00D304CF" w:rsidRDefault="00D12652" w:rsidP="0092264C">
      <w:pPr>
        <w:jc w:val="both"/>
        <w:rPr>
          <w:rFonts w:ascii="Baskerville Old Face" w:eastAsia="DengXian" w:hAnsi="Baskerville Old Face" w:cs="Arial"/>
          <w:kern w:val="0"/>
          <w:sz w:val="24"/>
          <w:szCs w:val="24"/>
          <w:lang w:val="en-GB"/>
          <w14:ligatures w14:val="none"/>
        </w:rPr>
      </w:pPr>
      <w:r>
        <w:rPr>
          <w:rFonts w:ascii="Baskerville Old Face" w:eastAsia="DengXian" w:hAnsi="Baskerville Old Face" w:cs="Arial"/>
          <w:kern w:val="0"/>
          <w:sz w:val="24"/>
          <w:szCs w:val="24"/>
          <w:lang w:val="en-GB"/>
          <w14:ligatures w14:val="none"/>
        </w:rPr>
        <w:t xml:space="preserve">Key revenue streams such as Income Tax, </w:t>
      </w:r>
      <w:r w:rsidR="00215500">
        <w:rPr>
          <w:rFonts w:ascii="Baskerville Old Face" w:eastAsia="DengXian" w:hAnsi="Baskerville Old Face" w:cs="Arial"/>
          <w:kern w:val="0"/>
          <w:sz w:val="24"/>
          <w:szCs w:val="24"/>
          <w:lang w:val="en-GB"/>
          <w14:ligatures w14:val="none"/>
        </w:rPr>
        <w:t xml:space="preserve">Import </w:t>
      </w:r>
      <w:r w:rsidR="00E90529">
        <w:rPr>
          <w:rFonts w:ascii="Baskerville Old Face" w:eastAsia="DengXian" w:hAnsi="Baskerville Old Face" w:cs="Arial"/>
          <w:kern w:val="0"/>
          <w:sz w:val="24"/>
          <w:szCs w:val="24"/>
          <w:lang w:val="en-GB"/>
          <w14:ligatures w14:val="none"/>
        </w:rPr>
        <w:t>Duties</w:t>
      </w:r>
      <w:r w:rsidR="00215500">
        <w:rPr>
          <w:rFonts w:ascii="Baskerville Old Face" w:eastAsia="DengXian" w:hAnsi="Baskerville Old Face" w:cs="Arial"/>
          <w:kern w:val="0"/>
          <w:sz w:val="24"/>
          <w:szCs w:val="24"/>
          <w:lang w:val="en-GB"/>
          <w14:ligatures w14:val="none"/>
        </w:rPr>
        <w:t>, Parastatal Dividends and RUC</w:t>
      </w:r>
      <w:r w:rsidR="00E90529">
        <w:rPr>
          <w:rFonts w:ascii="Baskerville Old Face" w:eastAsia="DengXian" w:hAnsi="Baskerville Old Face" w:cs="Arial"/>
          <w:kern w:val="0"/>
          <w:sz w:val="24"/>
          <w:szCs w:val="24"/>
          <w:lang w:val="en-GB"/>
          <w14:ligatures w14:val="none"/>
        </w:rPr>
        <w:t xml:space="preserve"> met </w:t>
      </w:r>
      <w:proofErr w:type="spellStart"/>
      <w:r w:rsidR="00E90529">
        <w:rPr>
          <w:rFonts w:ascii="Baskerville Old Face" w:eastAsia="DengXian" w:hAnsi="Baskerville Old Face" w:cs="Arial"/>
          <w:kern w:val="0"/>
          <w:sz w:val="24"/>
          <w:szCs w:val="24"/>
          <w:lang w:val="en-GB"/>
          <w14:ligatures w14:val="none"/>
        </w:rPr>
        <w:t>an</w:t>
      </w:r>
      <w:proofErr w:type="spellEnd"/>
      <w:r w:rsidR="00E90529">
        <w:rPr>
          <w:rFonts w:ascii="Baskerville Old Face" w:eastAsia="DengXian" w:hAnsi="Baskerville Old Face" w:cs="Arial"/>
          <w:kern w:val="0"/>
          <w:sz w:val="24"/>
          <w:szCs w:val="24"/>
          <w:lang w:val="en-GB"/>
          <w14:ligatures w14:val="none"/>
        </w:rPr>
        <w:t xml:space="preserve"> exceeded their annual revised targets. </w:t>
      </w:r>
      <w:r w:rsidR="0092264C" w:rsidRPr="00D304CF">
        <w:rPr>
          <w:rFonts w:ascii="Baskerville Old Face" w:eastAsia="DengXian" w:hAnsi="Baskerville Old Face" w:cs="Arial"/>
          <w:kern w:val="0"/>
          <w:sz w:val="24"/>
          <w:szCs w:val="24"/>
          <w:lang w:val="en-GB"/>
          <w14:ligatures w14:val="none"/>
        </w:rPr>
        <w:t xml:space="preserve">It is important to </w:t>
      </w:r>
      <w:r w:rsidR="000B56EA">
        <w:rPr>
          <w:rFonts w:ascii="Baskerville Old Face" w:eastAsia="DengXian" w:hAnsi="Baskerville Old Face" w:cs="Arial"/>
          <w:kern w:val="0"/>
          <w:sz w:val="24"/>
          <w:szCs w:val="24"/>
          <w:lang w:val="en-GB"/>
          <w14:ligatures w14:val="none"/>
        </w:rPr>
        <w:t xml:space="preserve">also </w:t>
      </w:r>
      <w:r w:rsidR="0092264C" w:rsidRPr="00D304CF">
        <w:rPr>
          <w:rFonts w:ascii="Baskerville Old Face" w:eastAsia="DengXian" w:hAnsi="Baskerville Old Face" w:cs="Arial"/>
          <w:kern w:val="0"/>
          <w:sz w:val="24"/>
          <w:szCs w:val="24"/>
          <w:lang w:val="en-GB"/>
          <w14:ligatures w14:val="none"/>
        </w:rPr>
        <w:t>note that</w:t>
      </w:r>
      <w:r w:rsidR="000B56EA">
        <w:rPr>
          <w:rFonts w:ascii="Baskerville Old Face" w:eastAsia="DengXian" w:hAnsi="Baskerville Old Face" w:cs="Arial"/>
          <w:kern w:val="0"/>
          <w:sz w:val="24"/>
          <w:szCs w:val="24"/>
          <w:lang w:val="en-GB"/>
          <w14:ligatures w14:val="none"/>
        </w:rPr>
        <w:t xml:space="preserve"> even those that missed their targets only</w:t>
      </w:r>
      <w:r w:rsidR="0092264C" w:rsidRPr="00D304CF">
        <w:rPr>
          <w:rFonts w:ascii="Baskerville Old Face" w:eastAsia="DengXian" w:hAnsi="Baskerville Old Face" w:cs="Arial"/>
          <w:kern w:val="0"/>
          <w:sz w:val="24"/>
          <w:szCs w:val="24"/>
          <w:lang w:val="en-GB"/>
          <w14:ligatures w14:val="none"/>
        </w:rPr>
        <w:t xml:space="preserve"> missed marginally and include GST (-2.</w:t>
      </w:r>
      <w:r w:rsidR="00FE7D21">
        <w:rPr>
          <w:rFonts w:ascii="Baskerville Old Face" w:eastAsia="DengXian" w:hAnsi="Baskerville Old Face" w:cs="Arial"/>
          <w:kern w:val="0"/>
          <w:sz w:val="24"/>
          <w:szCs w:val="24"/>
          <w:lang w:val="en-GB"/>
          <w14:ligatures w14:val="none"/>
        </w:rPr>
        <w:t>1</w:t>
      </w:r>
      <w:r w:rsidR="0092264C" w:rsidRPr="00D304CF">
        <w:rPr>
          <w:rFonts w:ascii="Baskerville Old Face" w:eastAsia="DengXian" w:hAnsi="Baskerville Old Face" w:cs="Arial"/>
          <w:kern w:val="0"/>
          <w:sz w:val="24"/>
          <w:szCs w:val="24"/>
          <w:lang w:val="en-GB"/>
          <w14:ligatures w14:val="none"/>
        </w:rPr>
        <w:t>%), Mines Revenue (-</w:t>
      </w:r>
      <w:r w:rsidR="003C5A0A">
        <w:rPr>
          <w:rFonts w:ascii="Baskerville Old Face" w:eastAsia="DengXian" w:hAnsi="Baskerville Old Face" w:cs="Arial"/>
          <w:kern w:val="0"/>
          <w:sz w:val="24"/>
          <w:szCs w:val="24"/>
          <w:lang w:val="en-GB"/>
          <w14:ligatures w14:val="none"/>
        </w:rPr>
        <w:t>4</w:t>
      </w:r>
      <w:r w:rsidR="0092264C" w:rsidRPr="00D304CF">
        <w:rPr>
          <w:rFonts w:ascii="Baskerville Old Face" w:eastAsia="DengXian" w:hAnsi="Baskerville Old Face" w:cs="Arial"/>
          <w:kern w:val="0"/>
          <w:sz w:val="24"/>
          <w:szCs w:val="24"/>
          <w:lang w:val="en-GB"/>
          <w14:ligatures w14:val="none"/>
        </w:rPr>
        <w:t>.</w:t>
      </w:r>
      <w:r w:rsidR="003C5A0A">
        <w:rPr>
          <w:rFonts w:ascii="Baskerville Old Face" w:eastAsia="DengXian" w:hAnsi="Baskerville Old Face" w:cs="Arial"/>
          <w:kern w:val="0"/>
          <w:sz w:val="24"/>
          <w:szCs w:val="24"/>
          <w:lang w:val="en-GB"/>
          <w14:ligatures w14:val="none"/>
        </w:rPr>
        <w:t>0</w:t>
      </w:r>
      <w:r w:rsidR="0092264C" w:rsidRPr="00D304CF">
        <w:rPr>
          <w:rFonts w:ascii="Baskerville Old Face" w:eastAsia="DengXian" w:hAnsi="Baskerville Old Face" w:cs="Arial"/>
          <w:kern w:val="0"/>
          <w:sz w:val="24"/>
          <w:szCs w:val="24"/>
          <w:lang w:val="en-GB"/>
          <w14:ligatures w14:val="none"/>
        </w:rPr>
        <w:t xml:space="preserve">%), </w:t>
      </w:r>
      <w:r w:rsidR="003C5A0A" w:rsidRPr="00D304CF">
        <w:rPr>
          <w:rFonts w:ascii="Baskerville Old Face" w:eastAsia="DengXian" w:hAnsi="Baskerville Old Face" w:cs="Arial"/>
          <w:kern w:val="0"/>
          <w:sz w:val="24"/>
          <w:szCs w:val="24"/>
          <w:lang w:val="en-GB"/>
          <w14:ligatures w14:val="none"/>
        </w:rPr>
        <w:t>Petroleum Excise (-9.</w:t>
      </w:r>
      <w:r w:rsidR="003C5A0A">
        <w:rPr>
          <w:rFonts w:ascii="Baskerville Old Face" w:eastAsia="DengXian" w:hAnsi="Baskerville Old Face" w:cs="Arial"/>
          <w:kern w:val="0"/>
          <w:sz w:val="24"/>
          <w:szCs w:val="24"/>
          <w:lang w:val="en-GB"/>
          <w14:ligatures w14:val="none"/>
        </w:rPr>
        <w:t>7</w:t>
      </w:r>
      <w:r w:rsidR="003C5A0A" w:rsidRPr="00D304CF">
        <w:rPr>
          <w:rFonts w:ascii="Baskerville Old Face" w:eastAsia="DengXian" w:hAnsi="Baskerville Old Face" w:cs="Arial"/>
          <w:kern w:val="0"/>
          <w:sz w:val="24"/>
          <w:szCs w:val="24"/>
          <w:lang w:val="en-GB"/>
          <w14:ligatures w14:val="none"/>
        </w:rPr>
        <w:t>%)</w:t>
      </w:r>
      <w:r>
        <w:rPr>
          <w:rFonts w:ascii="Baskerville Old Face" w:eastAsia="DengXian" w:hAnsi="Baskerville Old Face" w:cs="Arial"/>
          <w:kern w:val="0"/>
          <w:sz w:val="24"/>
          <w:szCs w:val="24"/>
          <w:lang w:val="en-GB"/>
          <w14:ligatures w14:val="none"/>
        </w:rPr>
        <w:t xml:space="preserve"> and </w:t>
      </w:r>
      <w:r w:rsidR="002B2D39">
        <w:rPr>
          <w:rFonts w:ascii="Baskerville Old Face" w:eastAsia="DengXian" w:hAnsi="Baskerville Old Face" w:cs="Arial"/>
          <w:kern w:val="0"/>
          <w:sz w:val="24"/>
          <w:szCs w:val="24"/>
          <w:lang w:val="en-GB"/>
          <w14:ligatures w14:val="none"/>
        </w:rPr>
        <w:t>TSA</w:t>
      </w:r>
      <w:r w:rsidR="0092264C" w:rsidRPr="00D304CF">
        <w:rPr>
          <w:rFonts w:ascii="Baskerville Old Face" w:eastAsia="DengXian" w:hAnsi="Baskerville Old Face" w:cs="Arial"/>
          <w:kern w:val="0"/>
          <w:sz w:val="24"/>
          <w:szCs w:val="24"/>
          <w:lang w:val="en-GB"/>
          <w14:ligatures w14:val="none"/>
        </w:rPr>
        <w:t xml:space="preserve"> (-</w:t>
      </w:r>
      <w:r w:rsidR="002B2D39">
        <w:rPr>
          <w:rFonts w:ascii="Baskerville Old Face" w:eastAsia="DengXian" w:hAnsi="Baskerville Old Face" w:cs="Arial"/>
          <w:kern w:val="0"/>
          <w:sz w:val="24"/>
          <w:szCs w:val="24"/>
          <w:lang w:val="en-GB"/>
          <w14:ligatures w14:val="none"/>
        </w:rPr>
        <w:t>13.9</w:t>
      </w:r>
      <w:r w:rsidR="0092264C" w:rsidRPr="00D304CF">
        <w:rPr>
          <w:rFonts w:ascii="Baskerville Old Face" w:eastAsia="DengXian" w:hAnsi="Baskerville Old Face" w:cs="Arial"/>
          <w:kern w:val="0"/>
          <w:sz w:val="24"/>
          <w:szCs w:val="24"/>
          <w:lang w:val="en-GB"/>
          <w14:ligatures w14:val="none"/>
        </w:rPr>
        <w:t>%)</w:t>
      </w:r>
      <w:r>
        <w:rPr>
          <w:rFonts w:ascii="Baskerville Old Face" w:eastAsia="DengXian" w:hAnsi="Baskerville Old Face" w:cs="Arial"/>
          <w:kern w:val="0"/>
          <w:sz w:val="24"/>
          <w:szCs w:val="24"/>
          <w:lang w:val="en-GB"/>
          <w14:ligatures w14:val="none"/>
        </w:rPr>
        <w:t>.</w:t>
      </w:r>
    </w:p>
    <w:p w14:paraId="1A4441AA" w14:textId="775C99ED" w:rsidR="00DF4412" w:rsidRPr="00D304CF" w:rsidRDefault="00750264" w:rsidP="00DF4412">
      <w:pPr>
        <w:jc w:val="both"/>
        <w:rPr>
          <w:rFonts w:ascii="Baskerville Old Face" w:eastAsia="DengXian" w:hAnsi="Baskerville Old Face" w:cs="Arial"/>
          <w:kern w:val="0"/>
          <w:sz w:val="24"/>
          <w:szCs w:val="24"/>
          <w:lang w:val="en-GB"/>
          <w14:ligatures w14:val="none"/>
        </w:rPr>
      </w:pPr>
      <w:r>
        <w:rPr>
          <w:rFonts w:ascii="Baskerville Old Face" w:eastAsia="DengXian" w:hAnsi="Baskerville Old Face" w:cs="Arial"/>
          <w:kern w:val="0"/>
          <w:sz w:val="24"/>
          <w:szCs w:val="24"/>
          <w:lang w:val="en-GB"/>
          <w14:ligatures w14:val="none"/>
        </w:rPr>
        <w:lastRenderedPageBreak/>
        <w:t xml:space="preserve">For revenue streams that missed their annual target, the following </w:t>
      </w:r>
      <w:r w:rsidR="00A007C3">
        <w:rPr>
          <w:rFonts w:ascii="Baskerville Old Face" w:eastAsia="DengXian" w:hAnsi="Baskerville Old Face" w:cs="Arial"/>
          <w:kern w:val="0"/>
          <w:sz w:val="24"/>
          <w:szCs w:val="24"/>
          <w:lang w:val="en-GB"/>
          <w14:ligatures w14:val="none"/>
        </w:rPr>
        <w:t xml:space="preserve">were reasons associated with the </w:t>
      </w:r>
      <w:proofErr w:type="gramStart"/>
      <w:r w:rsidR="00A007C3">
        <w:rPr>
          <w:rFonts w:ascii="Baskerville Old Face" w:eastAsia="DengXian" w:hAnsi="Baskerville Old Face" w:cs="Arial"/>
          <w:kern w:val="0"/>
          <w:sz w:val="24"/>
          <w:szCs w:val="24"/>
          <w:lang w:val="en-GB"/>
          <w14:ligatures w14:val="none"/>
        </w:rPr>
        <w:t>shortfall:</w:t>
      </w:r>
      <w:r w:rsidR="00DF4412" w:rsidRPr="00D304CF">
        <w:rPr>
          <w:rFonts w:ascii="Baskerville Old Face" w:eastAsia="DengXian" w:hAnsi="Baskerville Old Face" w:cs="Arial"/>
          <w:kern w:val="0"/>
          <w:sz w:val="24"/>
          <w:szCs w:val="24"/>
          <w:lang w:val="en-GB"/>
          <w14:ligatures w14:val="none"/>
        </w:rPr>
        <w:t>:</w:t>
      </w:r>
      <w:proofErr w:type="gramEnd"/>
      <w:r w:rsidR="00DF4412" w:rsidRPr="00D304CF">
        <w:rPr>
          <w:rFonts w:ascii="Baskerville Old Face" w:eastAsia="DengXian" w:hAnsi="Baskerville Old Face" w:cs="Arial"/>
          <w:kern w:val="0"/>
          <w:sz w:val="24"/>
          <w:szCs w:val="24"/>
          <w:lang w:val="en-GB"/>
          <w14:ligatures w14:val="none"/>
        </w:rPr>
        <w:t xml:space="preserve"> </w:t>
      </w:r>
    </w:p>
    <w:tbl>
      <w:tblPr>
        <w:tblStyle w:val="PlainTable41"/>
        <w:tblW w:w="0" w:type="auto"/>
        <w:tblLook w:val="04A0" w:firstRow="1" w:lastRow="0" w:firstColumn="1" w:lastColumn="0" w:noHBand="0" w:noVBand="1"/>
      </w:tblPr>
      <w:tblGrid>
        <w:gridCol w:w="4508"/>
        <w:gridCol w:w="4508"/>
      </w:tblGrid>
      <w:tr w:rsidR="00DF4412" w:rsidRPr="00D304CF" w14:paraId="304CD9C0" w14:textId="77777777" w:rsidTr="006E4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97E5CF" w14:textId="77777777" w:rsidR="00DF4412" w:rsidRPr="00D304CF" w:rsidRDefault="00DF4412" w:rsidP="006E4F32">
            <w:pPr>
              <w:jc w:val="center"/>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Revenue Stream</w:t>
            </w:r>
          </w:p>
        </w:tc>
        <w:tc>
          <w:tcPr>
            <w:tcW w:w="4508" w:type="dxa"/>
          </w:tcPr>
          <w:p w14:paraId="295801E1" w14:textId="77777777" w:rsidR="00DF4412" w:rsidRPr="00D304CF" w:rsidRDefault="00DF4412" w:rsidP="006E4F32">
            <w:pPr>
              <w:jc w:val="center"/>
              <w:cnfStyle w:val="100000000000" w:firstRow="1"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Associated reasons for shortfall</w:t>
            </w:r>
          </w:p>
        </w:tc>
      </w:tr>
      <w:tr w:rsidR="00DF4412" w:rsidRPr="00D304CF" w14:paraId="612E6C1F"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0F4A5965"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CIT</w:t>
            </w:r>
          </w:p>
        </w:tc>
        <w:tc>
          <w:tcPr>
            <w:tcW w:w="4508" w:type="dxa"/>
            <w:shd w:val="clear" w:color="auto" w:fill="F2F2F2"/>
          </w:tcPr>
          <w:p w14:paraId="32542579"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MAT provision of FA 2023</w:t>
            </w:r>
          </w:p>
        </w:tc>
      </w:tr>
      <w:tr w:rsidR="00DF4412" w:rsidRPr="00D304CF" w14:paraId="1F89E9C3" w14:textId="77777777" w:rsidTr="006E4F32">
        <w:tc>
          <w:tcPr>
            <w:cnfStyle w:val="001000000000" w:firstRow="0" w:lastRow="0" w:firstColumn="1" w:lastColumn="0" w:oddVBand="0" w:evenVBand="0" w:oddHBand="0" w:evenHBand="0" w:firstRowFirstColumn="0" w:firstRowLastColumn="0" w:lastRowFirstColumn="0" w:lastRowLastColumn="0"/>
            <w:tcW w:w="4508" w:type="dxa"/>
          </w:tcPr>
          <w:p w14:paraId="4CF6C0F2"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Import GST</w:t>
            </w:r>
          </w:p>
        </w:tc>
        <w:tc>
          <w:tcPr>
            <w:tcW w:w="4508" w:type="dxa"/>
          </w:tcPr>
          <w:p w14:paraId="3154DC08"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GST provisions in the FA 2023 that removed many exemptions</w:t>
            </w:r>
          </w:p>
        </w:tc>
      </w:tr>
      <w:tr w:rsidR="00DF4412" w:rsidRPr="00D304CF" w14:paraId="2402A6C8"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08D9A2ED"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Petroleum Excise</w:t>
            </w:r>
          </w:p>
        </w:tc>
        <w:tc>
          <w:tcPr>
            <w:tcW w:w="4508" w:type="dxa"/>
            <w:shd w:val="clear" w:color="auto" w:fill="F2F2F2"/>
          </w:tcPr>
          <w:p w14:paraId="204C23B5"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Delay in full liberalisation of the fuel pricing formular until September 2023</w:t>
            </w:r>
          </w:p>
        </w:tc>
      </w:tr>
      <w:tr w:rsidR="00DF4412" w:rsidRPr="00D304CF" w14:paraId="216C6402" w14:textId="77777777" w:rsidTr="006E4F32">
        <w:tc>
          <w:tcPr>
            <w:cnfStyle w:val="001000000000" w:firstRow="0" w:lastRow="0" w:firstColumn="1" w:lastColumn="0" w:oddVBand="0" w:evenVBand="0" w:oddHBand="0" w:evenHBand="0" w:firstRowFirstColumn="0" w:firstRowLastColumn="0" w:lastRowFirstColumn="0" w:lastRowLastColumn="0"/>
            <w:tcW w:w="4508" w:type="dxa"/>
          </w:tcPr>
          <w:p w14:paraId="14C4F9D6"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Import Excise</w:t>
            </w:r>
          </w:p>
        </w:tc>
        <w:tc>
          <w:tcPr>
            <w:tcW w:w="4508" w:type="dxa"/>
          </w:tcPr>
          <w:p w14:paraId="63B13C8A"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the excise harmonisation and specific duties as per FA 2023</w:t>
            </w:r>
          </w:p>
        </w:tc>
      </w:tr>
      <w:tr w:rsidR="00DF4412" w:rsidRPr="00D304CF" w14:paraId="42EB72DB"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56456D74"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Mining Royalties and Licences</w:t>
            </w:r>
          </w:p>
        </w:tc>
        <w:tc>
          <w:tcPr>
            <w:tcW w:w="4508" w:type="dxa"/>
            <w:shd w:val="clear" w:color="auto" w:fill="F2F2F2"/>
          </w:tcPr>
          <w:p w14:paraId="4084D4FB"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Non-reversal of the Sierra Rutile Rest Agreement</w:t>
            </w:r>
          </w:p>
        </w:tc>
      </w:tr>
      <w:tr w:rsidR="00DF4412" w:rsidRPr="00D304CF" w14:paraId="530F1AFF" w14:textId="77777777" w:rsidTr="006E4F32">
        <w:tc>
          <w:tcPr>
            <w:cnfStyle w:val="001000000000" w:firstRow="0" w:lastRow="0" w:firstColumn="1" w:lastColumn="0" w:oddVBand="0" w:evenVBand="0" w:oddHBand="0" w:evenHBand="0" w:firstRowFirstColumn="0" w:firstRowLastColumn="0" w:lastRowFirstColumn="0" w:lastRowLastColumn="0"/>
            <w:tcW w:w="4508" w:type="dxa"/>
            <w:shd w:val="clear" w:color="auto" w:fill="F2F2F2"/>
          </w:tcPr>
          <w:p w14:paraId="22577561"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TSA</w:t>
            </w:r>
          </w:p>
        </w:tc>
        <w:tc>
          <w:tcPr>
            <w:tcW w:w="4508" w:type="dxa"/>
            <w:shd w:val="clear" w:color="auto" w:fill="F2F2F2"/>
          </w:tcPr>
          <w:p w14:paraId="103EC4C3"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Earlier and full payment of key annual license fee prior to elections.</w:t>
            </w:r>
          </w:p>
        </w:tc>
      </w:tr>
      <w:tr w:rsidR="00DF4412" w:rsidRPr="00D304CF" w14:paraId="4B50E6C9" w14:textId="77777777" w:rsidTr="006E4F32">
        <w:tc>
          <w:tcPr>
            <w:cnfStyle w:val="001000000000" w:firstRow="0" w:lastRow="0" w:firstColumn="1" w:lastColumn="0" w:oddVBand="0" w:evenVBand="0" w:oddHBand="0" w:evenHBand="0" w:firstRowFirstColumn="0" w:firstRowLastColumn="0" w:lastRowFirstColumn="0" w:lastRowLastColumn="0"/>
            <w:tcW w:w="4508" w:type="dxa"/>
          </w:tcPr>
          <w:p w14:paraId="058B7E49" w14:textId="77777777" w:rsidR="00DF4412" w:rsidRPr="00D304CF" w:rsidRDefault="00DF4412" w:rsidP="006E4F32">
            <w:pPr>
              <w:jc w:val="both"/>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Other MDAs</w:t>
            </w:r>
          </w:p>
        </w:tc>
        <w:tc>
          <w:tcPr>
            <w:tcW w:w="4508" w:type="dxa"/>
          </w:tcPr>
          <w:p w14:paraId="53785B3C" w14:textId="77777777" w:rsidR="00DF4412" w:rsidRPr="00D304CF" w:rsidRDefault="00DF4412" w:rsidP="006E4F32">
            <w:pPr>
              <w:jc w:val="both"/>
              <w:cnfStyle w:val="000000000000" w:firstRow="0" w:lastRow="0" w:firstColumn="0" w:lastColumn="0" w:oddVBand="0" w:evenVBand="0" w:oddHBand="0" w:evenHBand="0" w:firstRowFirstColumn="0" w:firstRowLastColumn="0" w:lastRowFirstColumn="0" w:lastRowLastColumn="0"/>
              <w:rPr>
                <w:rFonts w:ascii="Baskerville Old Face" w:eastAsia="DengXian" w:hAnsi="Baskerville Old Face" w:cs="Arial"/>
                <w:sz w:val="24"/>
                <w:szCs w:val="24"/>
                <w:lang w:val="en-GB"/>
              </w:rPr>
            </w:pPr>
            <w:r w:rsidRPr="00D304CF">
              <w:rPr>
                <w:rFonts w:ascii="Baskerville Old Face" w:eastAsia="DengXian" w:hAnsi="Baskerville Old Face" w:cs="Arial"/>
                <w:sz w:val="24"/>
                <w:szCs w:val="24"/>
                <w:lang w:val="en-GB"/>
              </w:rPr>
              <w:t>Non-implementation of key provisions in the FA 2023 including vehicle circulation levy</w:t>
            </w:r>
          </w:p>
        </w:tc>
      </w:tr>
    </w:tbl>
    <w:p w14:paraId="2550BD62" w14:textId="77777777" w:rsidR="00DF4412" w:rsidRPr="00D304CF" w:rsidRDefault="00DF4412" w:rsidP="00DF4412">
      <w:pPr>
        <w:jc w:val="both"/>
        <w:rPr>
          <w:rFonts w:ascii="Baskerville Old Face" w:eastAsia="DengXian" w:hAnsi="Baskerville Old Face" w:cs="Arial"/>
          <w:kern w:val="0"/>
          <w:sz w:val="24"/>
          <w:szCs w:val="24"/>
          <w:lang w:val="en-GB"/>
          <w14:ligatures w14:val="none"/>
        </w:rPr>
      </w:pPr>
    </w:p>
    <w:p w14:paraId="4B01236A" w14:textId="0849EE3B" w:rsid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Relative to the original target set by Parliament, the collection of NLe10.1 billion in FY2023 met and exceeded that target by a margin of NLe755 million or 8% (Table </w:t>
      </w:r>
      <w:r w:rsidR="00414C40">
        <w:rPr>
          <w:rFonts w:ascii="Baskerville Old Face" w:eastAsia="DengXian" w:hAnsi="Baskerville Old Face" w:cs="Arial"/>
          <w:kern w:val="0"/>
          <w:sz w:val="24"/>
          <w:szCs w:val="24"/>
          <w:lang w:val="en-GB"/>
          <w14:ligatures w14:val="none"/>
        </w:rPr>
        <w:t>4</w:t>
      </w:r>
      <w:r w:rsidRPr="00D304CF">
        <w:rPr>
          <w:rFonts w:ascii="Baskerville Old Face" w:eastAsia="DengXian" w:hAnsi="Baskerville Old Face" w:cs="Arial"/>
          <w:kern w:val="0"/>
          <w:sz w:val="24"/>
          <w:szCs w:val="24"/>
          <w:lang w:val="en-GB"/>
          <w14:ligatures w14:val="none"/>
        </w:rPr>
        <w:t xml:space="preserve">). This implies, even though the revised targets may have been missed, the original target was comfortably surpassed by a significant margin. </w:t>
      </w:r>
    </w:p>
    <w:p w14:paraId="04693459"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3D5142C1"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0B3FDB0B"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F96B90A"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004B9219"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5507AD0B"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A2FB735"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540DE08E"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44688EC"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E84A36D"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E9075E6"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6FB81A09"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9273442" w14:textId="77777777" w:rsidR="00AA51A6" w:rsidRPr="00D304CF" w:rsidRDefault="00AA51A6" w:rsidP="00D304CF">
      <w:pPr>
        <w:jc w:val="both"/>
        <w:rPr>
          <w:rFonts w:ascii="Baskerville Old Face" w:eastAsia="DengXian" w:hAnsi="Baskerville Old Face" w:cs="Arial"/>
          <w:kern w:val="0"/>
          <w:sz w:val="24"/>
          <w:szCs w:val="24"/>
          <w:lang w:val="en-GB"/>
          <w14:ligatures w14:val="none"/>
        </w:rPr>
      </w:pPr>
    </w:p>
    <w:tbl>
      <w:tblPr>
        <w:tblStyle w:val="GridTable4-Accent51"/>
        <w:tblW w:w="0" w:type="auto"/>
        <w:tblLook w:val="04A0" w:firstRow="1" w:lastRow="0" w:firstColumn="1" w:lastColumn="0" w:noHBand="0" w:noVBand="1"/>
      </w:tblPr>
      <w:tblGrid>
        <w:gridCol w:w="4172"/>
        <w:gridCol w:w="2000"/>
        <w:gridCol w:w="1566"/>
        <w:gridCol w:w="972"/>
        <w:gridCol w:w="640"/>
      </w:tblGrid>
      <w:tr w:rsidR="00D304CF" w:rsidRPr="00D304CF" w14:paraId="001F4B6A" w14:textId="77777777" w:rsidTr="00D304C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5A942369" w14:textId="502D475A" w:rsidR="00D304CF" w:rsidRPr="00D304CF" w:rsidRDefault="00D304CF" w:rsidP="00D304CF">
            <w:pPr>
              <w:jc w:val="cente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lastRenderedPageBreak/>
              <w:t xml:space="preserve">Table </w:t>
            </w:r>
            <w:r w:rsidR="00AD11B8">
              <w:rPr>
                <w:rFonts w:ascii="Baskerville Old Face" w:eastAsia="Times New Roman" w:hAnsi="Baskerville Old Face" w:cs="Calibri"/>
                <w:color w:val="000000"/>
                <w:lang w:val="en-GB"/>
              </w:rPr>
              <w:t>4</w:t>
            </w:r>
            <w:r w:rsidRPr="00D304CF">
              <w:rPr>
                <w:rFonts w:ascii="Baskerville Old Face" w:eastAsia="Times New Roman" w:hAnsi="Baskerville Old Face" w:cs="Calibri"/>
                <w:color w:val="000000"/>
                <w:lang w:val="en-GB"/>
              </w:rPr>
              <w:t>: 2023 Domestic Revenue Collection Relative to Original Target (NLe Thousand)</w:t>
            </w:r>
          </w:p>
        </w:tc>
      </w:tr>
      <w:tr w:rsidR="00D304CF" w:rsidRPr="00D304CF" w14:paraId="4CE2B08B" w14:textId="77777777" w:rsidTr="00D304CF">
        <w:trPr>
          <w:trHeight w:val="523"/>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4B9CD3EF" w14:textId="77777777" w:rsidR="00D304CF" w:rsidRPr="00D304CF" w:rsidRDefault="00D304CF" w:rsidP="00D304CF">
            <w:pP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t> </w:t>
            </w:r>
          </w:p>
        </w:tc>
        <w:tc>
          <w:tcPr>
            <w:tcW w:w="0" w:type="auto"/>
            <w:shd w:val="clear" w:color="auto" w:fill="DEEAF6"/>
          </w:tcPr>
          <w:p w14:paraId="5A7B5B0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2023         Q1-Q4       Actual</w:t>
            </w:r>
          </w:p>
        </w:tc>
        <w:tc>
          <w:tcPr>
            <w:tcW w:w="0" w:type="auto"/>
            <w:shd w:val="clear" w:color="auto" w:fill="DEEAF6"/>
          </w:tcPr>
          <w:p w14:paraId="496016A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2023 Original Target</w:t>
            </w:r>
          </w:p>
        </w:tc>
        <w:tc>
          <w:tcPr>
            <w:tcW w:w="0" w:type="auto"/>
            <w:shd w:val="clear" w:color="auto" w:fill="DEEAF6"/>
          </w:tcPr>
          <w:p w14:paraId="0651C8D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Balance</w:t>
            </w:r>
          </w:p>
        </w:tc>
        <w:tc>
          <w:tcPr>
            <w:tcW w:w="0" w:type="auto"/>
            <w:shd w:val="clear" w:color="auto" w:fill="DEEAF6"/>
          </w:tcPr>
          <w:p w14:paraId="0A93384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 Bal</w:t>
            </w:r>
          </w:p>
        </w:tc>
      </w:tr>
      <w:tr w:rsidR="00D304CF" w:rsidRPr="00D304CF" w14:paraId="01DE6281"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2F9B998B"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TOTAL DOMESTIC REVENUE</w:t>
            </w:r>
          </w:p>
        </w:tc>
        <w:tc>
          <w:tcPr>
            <w:tcW w:w="0" w:type="auto"/>
          </w:tcPr>
          <w:p w14:paraId="7F5E233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10,100,463</w:t>
            </w:r>
          </w:p>
        </w:tc>
        <w:tc>
          <w:tcPr>
            <w:tcW w:w="0" w:type="auto"/>
          </w:tcPr>
          <w:p w14:paraId="5978E36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9,345,667</w:t>
            </w:r>
          </w:p>
        </w:tc>
        <w:tc>
          <w:tcPr>
            <w:tcW w:w="0" w:type="auto"/>
          </w:tcPr>
          <w:p w14:paraId="0DB8766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754,796</w:t>
            </w:r>
          </w:p>
        </w:tc>
        <w:tc>
          <w:tcPr>
            <w:tcW w:w="0" w:type="auto"/>
          </w:tcPr>
          <w:p w14:paraId="78A235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w:t>
            </w:r>
          </w:p>
        </w:tc>
      </w:tr>
      <w:tr w:rsidR="00D304CF" w:rsidRPr="00D304CF" w14:paraId="2D82BA6E"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cPr>
          <w:p w14:paraId="4B75A509"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DOMESTIC TAX DEPARTMENT</w:t>
            </w:r>
          </w:p>
        </w:tc>
        <w:tc>
          <w:tcPr>
            <w:tcW w:w="0" w:type="auto"/>
            <w:shd w:val="clear" w:color="auto" w:fill="DEEAF6"/>
          </w:tcPr>
          <w:p w14:paraId="7B49309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6,087,739</w:t>
            </w:r>
          </w:p>
        </w:tc>
        <w:tc>
          <w:tcPr>
            <w:tcW w:w="0" w:type="auto"/>
            <w:shd w:val="clear" w:color="auto" w:fill="DEEAF6"/>
          </w:tcPr>
          <w:p w14:paraId="41DB394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5,529,382</w:t>
            </w:r>
          </w:p>
        </w:tc>
        <w:tc>
          <w:tcPr>
            <w:tcW w:w="0" w:type="auto"/>
            <w:shd w:val="clear" w:color="auto" w:fill="DEEAF6"/>
          </w:tcPr>
          <w:p w14:paraId="12301EE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558,357</w:t>
            </w:r>
          </w:p>
        </w:tc>
        <w:tc>
          <w:tcPr>
            <w:tcW w:w="0" w:type="auto"/>
            <w:shd w:val="clear" w:color="auto" w:fill="DEEAF6"/>
          </w:tcPr>
          <w:p w14:paraId="5B1E1E7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w:t>
            </w:r>
          </w:p>
        </w:tc>
      </w:tr>
      <w:tr w:rsidR="00D304CF" w:rsidRPr="00D304CF" w14:paraId="629EF44C"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0B36DE96"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Income Tax </w:t>
            </w:r>
          </w:p>
        </w:tc>
        <w:tc>
          <w:tcPr>
            <w:tcW w:w="0" w:type="auto"/>
          </w:tcPr>
          <w:p w14:paraId="5305E50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3,991,124</w:t>
            </w:r>
          </w:p>
        </w:tc>
        <w:tc>
          <w:tcPr>
            <w:tcW w:w="0" w:type="auto"/>
          </w:tcPr>
          <w:p w14:paraId="2431054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3,690,035</w:t>
            </w:r>
          </w:p>
        </w:tc>
        <w:tc>
          <w:tcPr>
            <w:tcW w:w="0" w:type="auto"/>
          </w:tcPr>
          <w:p w14:paraId="07A461A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301,090</w:t>
            </w:r>
          </w:p>
        </w:tc>
        <w:tc>
          <w:tcPr>
            <w:tcW w:w="0" w:type="auto"/>
          </w:tcPr>
          <w:p w14:paraId="48438DA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w:t>
            </w:r>
          </w:p>
        </w:tc>
      </w:tr>
      <w:tr w:rsidR="00D304CF" w:rsidRPr="00D304CF" w14:paraId="7F36E91A"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070EE845" w14:textId="77777777" w:rsidR="00D304CF" w:rsidRPr="00D304CF" w:rsidRDefault="00D304CF" w:rsidP="00D304CF">
            <w:pPr>
              <w:rPr>
                <w:rFonts w:ascii="Baskerville Old Face" w:eastAsia="Times New Roman" w:hAnsi="Baskerville Old Face" w:cs="Calibri"/>
                <w:b w:val="0"/>
                <w:bCs w:val="0"/>
                <w:lang w:val="en-GB"/>
              </w:rPr>
            </w:pPr>
            <w:r w:rsidRPr="00D304CF">
              <w:rPr>
                <w:rFonts w:ascii="Baskerville Old Face" w:eastAsia="Times New Roman" w:hAnsi="Baskerville Old Face" w:cs="Calibri"/>
                <w:lang w:val="en-GB"/>
              </w:rPr>
              <w:t>Goods and Services Tax (GST)</w:t>
            </w:r>
          </w:p>
        </w:tc>
        <w:tc>
          <w:tcPr>
            <w:tcW w:w="0" w:type="auto"/>
            <w:shd w:val="clear" w:color="auto" w:fill="DEEAF6"/>
          </w:tcPr>
          <w:p w14:paraId="61F15EA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2,096,615</w:t>
            </w:r>
          </w:p>
        </w:tc>
        <w:tc>
          <w:tcPr>
            <w:tcW w:w="0" w:type="auto"/>
            <w:shd w:val="clear" w:color="auto" w:fill="DEEAF6"/>
          </w:tcPr>
          <w:p w14:paraId="03CA1B3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1,839,347</w:t>
            </w:r>
          </w:p>
        </w:tc>
        <w:tc>
          <w:tcPr>
            <w:tcW w:w="0" w:type="auto"/>
            <w:shd w:val="clear" w:color="auto" w:fill="DEEAF6"/>
          </w:tcPr>
          <w:p w14:paraId="7B82FD4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257,268</w:t>
            </w:r>
          </w:p>
        </w:tc>
        <w:tc>
          <w:tcPr>
            <w:tcW w:w="0" w:type="auto"/>
            <w:shd w:val="clear" w:color="auto" w:fill="DEEAF6"/>
          </w:tcPr>
          <w:p w14:paraId="6B3C31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w:t>
            </w:r>
          </w:p>
        </w:tc>
      </w:tr>
      <w:tr w:rsidR="00D304CF" w:rsidRPr="00D304CF" w14:paraId="107B54A2"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78998A58"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Import GST</w:t>
            </w:r>
          </w:p>
        </w:tc>
        <w:tc>
          <w:tcPr>
            <w:tcW w:w="0" w:type="auto"/>
          </w:tcPr>
          <w:p w14:paraId="355D549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1,094,276</w:t>
            </w:r>
          </w:p>
        </w:tc>
        <w:tc>
          <w:tcPr>
            <w:tcW w:w="0" w:type="auto"/>
          </w:tcPr>
          <w:p w14:paraId="58822F9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1,091,934</w:t>
            </w:r>
          </w:p>
        </w:tc>
        <w:tc>
          <w:tcPr>
            <w:tcW w:w="0" w:type="auto"/>
          </w:tcPr>
          <w:p w14:paraId="1568A9C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2,341</w:t>
            </w:r>
          </w:p>
        </w:tc>
        <w:tc>
          <w:tcPr>
            <w:tcW w:w="0" w:type="auto"/>
          </w:tcPr>
          <w:p w14:paraId="6B46A6D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0%</w:t>
            </w:r>
          </w:p>
        </w:tc>
      </w:tr>
      <w:tr w:rsidR="00D304CF" w:rsidRPr="00D304CF" w14:paraId="1D50AFA2"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666A8C1D"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Domestic GST</w:t>
            </w:r>
          </w:p>
        </w:tc>
        <w:tc>
          <w:tcPr>
            <w:tcW w:w="0" w:type="auto"/>
            <w:shd w:val="clear" w:color="auto" w:fill="DEEAF6"/>
          </w:tcPr>
          <w:p w14:paraId="208E166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1,002,340</w:t>
            </w:r>
          </w:p>
        </w:tc>
        <w:tc>
          <w:tcPr>
            <w:tcW w:w="0" w:type="auto"/>
            <w:shd w:val="clear" w:color="auto" w:fill="DEEAF6"/>
          </w:tcPr>
          <w:p w14:paraId="05FDDCB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747,413</w:t>
            </w:r>
          </w:p>
        </w:tc>
        <w:tc>
          <w:tcPr>
            <w:tcW w:w="0" w:type="auto"/>
            <w:shd w:val="clear" w:color="auto" w:fill="DEEAF6"/>
          </w:tcPr>
          <w:p w14:paraId="7708F88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254,926</w:t>
            </w:r>
          </w:p>
        </w:tc>
        <w:tc>
          <w:tcPr>
            <w:tcW w:w="0" w:type="auto"/>
            <w:shd w:val="clear" w:color="auto" w:fill="DEEAF6"/>
          </w:tcPr>
          <w:p w14:paraId="2E34092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w:t>
            </w:r>
          </w:p>
        </w:tc>
      </w:tr>
      <w:tr w:rsidR="00D304CF" w:rsidRPr="00D304CF" w14:paraId="15174407"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3B6E9ABD"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CUSTOMS SERVICE DEPARTMENT (CSD)</w:t>
            </w:r>
          </w:p>
        </w:tc>
        <w:tc>
          <w:tcPr>
            <w:tcW w:w="0" w:type="auto"/>
          </w:tcPr>
          <w:p w14:paraId="1D332A0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1,763,821</w:t>
            </w:r>
          </w:p>
        </w:tc>
        <w:tc>
          <w:tcPr>
            <w:tcW w:w="0" w:type="auto"/>
          </w:tcPr>
          <w:p w14:paraId="4EE0924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1,667,458</w:t>
            </w:r>
          </w:p>
        </w:tc>
        <w:tc>
          <w:tcPr>
            <w:tcW w:w="0" w:type="auto"/>
          </w:tcPr>
          <w:p w14:paraId="1857B28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96,363</w:t>
            </w:r>
          </w:p>
        </w:tc>
        <w:tc>
          <w:tcPr>
            <w:tcW w:w="0" w:type="auto"/>
          </w:tcPr>
          <w:p w14:paraId="7769135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w:t>
            </w:r>
          </w:p>
        </w:tc>
      </w:tr>
      <w:tr w:rsidR="00D304CF" w:rsidRPr="00D304CF" w14:paraId="441E8514"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3899712C"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 Import Duties</w:t>
            </w:r>
          </w:p>
        </w:tc>
        <w:tc>
          <w:tcPr>
            <w:tcW w:w="0" w:type="auto"/>
            <w:shd w:val="clear" w:color="auto" w:fill="DEEAF6"/>
          </w:tcPr>
          <w:p w14:paraId="71977A6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1,194,727</w:t>
            </w:r>
          </w:p>
        </w:tc>
        <w:tc>
          <w:tcPr>
            <w:tcW w:w="0" w:type="auto"/>
            <w:shd w:val="clear" w:color="auto" w:fill="DEEAF6"/>
          </w:tcPr>
          <w:p w14:paraId="5B3F9DF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1,092,238</w:t>
            </w:r>
          </w:p>
        </w:tc>
        <w:tc>
          <w:tcPr>
            <w:tcW w:w="0" w:type="auto"/>
            <w:shd w:val="clear" w:color="auto" w:fill="DEEAF6"/>
          </w:tcPr>
          <w:p w14:paraId="329B801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102,490</w:t>
            </w:r>
          </w:p>
        </w:tc>
        <w:tc>
          <w:tcPr>
            <w:tcW w:w="0" w:type="auto"/>
            <w:shd w:val="clear" w:color="auto" w:fill="DEEAF6"/>
          </w:tcPr>
          <w:p w14:paraId="128CF1A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w:t>
            </w:r>
          </w:p>
        </w:tc>
      </w:tr>
      <w:tr w:rsidR="00D304CF" w:rsidRPr="00D304CF" w14:paraId="72F7FAD0"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61E43711"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Excise on Petroleum</w:t>
            </w:r>
          </w:p>
        </w:tc>
        <w:tc>
          <w:tcPr>
            <w:tcW w:w="0" w:type="auto"/>
          </w:tcPr>
          <w:p w14:paraId="0B21691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466,284</w:t>
            </w:r>
          </w:p>
        </w:tc>
        <w:tc>
          <w:tcPr>
            <w:tcW w:w="0" w:type="auto"/>
          </w:tcPr>
          <w:p w14:paraId="1BCA1A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470,112</w:t>
            </w:r>
          </w:p>
        </w:tc>
        <w:tc>
          <w:tcPr>
            <w:tcW w:w="0" w:type="auto"/>
          </w:tcPr>
          <w:p w14:paraId="335A593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(3,827)</w:t>
            </w:r>
          </w:p>
        </w:tc>
        <w:tc>
          <w:tcPr>
            <w:tcW w:w="0" w:type="auto"/>
          </w:tcPr>
          <w:p w14:paraId="2C1D169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w:t>
            </w:r>
          </w:p>
        </w:tc>
      </w:tr>
      <w:tr w:rsidR="00D304CF" w:rsidRPr="00D304CF" w14:paraId="29B61CE1"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2E5DEF9B"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Excise</w:t>
            </w:r>
          </w:p>
        </w:tc>
        <w:tc>
          <w:tcPr>
            <w:tcW w:w="0" w:type="auto"/>
            <w:shd w:val="clear" w:color="auto" w:fill="DEEAF6"/>
          </w:tcPr>
          <w:p w14:paraId="64BDD27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102,810</w:t>
            </w:r>
          </w:p>
        </w:tc>
        <w:tc>
          <w:tcPr>
            <w:tcW w:w="0" w:type="auto"/>
            <w:shd w:val="clear" w:color="auto" w:fill="DEEAF6"/>
          </w:tcPr>
          <w:p w14:paraId="6140122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105,109</w:t>
            </w:r>
          </w:p>
        </w:tc>
        <w:tc>
          <w:tcPr>
            <w:tcW w:w="0" w:type="auto"/>
            <w:shd w:val="clear" w:color="auto" w:fill="DEEAF6"/>
          </w:tcPr>
          <w:p w14:paraId="7205EDE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(2,299)</w:t>
            </w:r>
          </w:p>
        </w:tc>
        <w:tc>
          <w:tcPr>
            <w:tcW w:w="0" w:type="auto"/>
            <w:shd w:val="clear" w:color="auto" w:fill="DEEAF6"/>
          </w:tcPr>
          <w:p w14:paraId="6883F76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w:t>
            </w:r>
          </w:p>
        </w:tc>
      </w:tr>
      <w:tr w:rsidR="00D304CF" w:rsidRPr="00D304CF" w14:paraId="1627159A"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4A7EB902"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NON TAX REVENUE DEPARTMENT (NTR)</w:t>
            </w:r>
          </w:p>
        </w:tc>
        <w:tc>
          <w:tcPr>
            <w:tcW w:w="0" w:type="auto"/>
          </w:tcPr>
          <w:p w14:paraId="7A8C505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2,042,234</w:t>
            </w:r>
          </w:p>
        </w:tc>
        <w:tc>
          <w:tcPr>
            <w:tcW w:w="0" w:type="auto"/>
          </w:tcPr>
          <w:p w14:paraId="73F26EB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1,950,888</w:t>
            </w:r>
          </w:p>
        </w:tc>
        <w:tc>
          <w:tcPr>
            <w:tcW w:w="0" w:type="auto"/>
          </w:tcPr>
          <w:p w14:paraId="368F731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91,345</w:t>
            </w:r>
          </w:p>
        </w:tc>
        <w:tc>
          <w:tcPr>
            <w:tcW w:w="0" w:type="auto"/>
          </w:tcPr>
          <w:p w14:paraId="38404F1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w:t>
            </w:r>
          </w:p>
        </w:tc>
      </w:tr>
      <w:tr w:rsidR="00D304CF" w:rsidRPr="00D304CF" w14:paraId="33310250"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74746C2A"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Mines Revenue</w:t>
            </w:r>
          </w:p>
        </w:tc>
        <w:tc>
          <w:tcPr>
            <w:tcW w:w="0" w:type="auto"/>
            <w:shd w:val="clear" w:color="auto" w:fill="DEEAF6"/>
          </w:tcPr>
          <w:p w14:paraId="3166827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671,472</w:t>
            </w:r>
          </w:p>
        </w:tc>
        <w:tc>
          <w:tcPr>
            <w:tcW w:w="0" w:type="auto"/>
            <w:shd w:val="clear" w:color="auto" w:fill="DEEAF6"/>
          </w:tcPr>
          <w:p w14:paraId="44A6F43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576,805</w:t>
            </w:r>
          </w:p>
        </w:tc>
        <w:tc>
          <w:tcPr>
            <w:tcW w:w="0" w:type="auto"/>
            <w:shd w:val="clear" w:color="auto" w:fill="DEEAF6"/>
          </w:tcPr>
          <w:p w14:paraId="53F34FD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94,667</w:t>
            </w:r>
          </w:p>
        </w:tc>
        <w:tc>
          <w:tcPr>
            <w:tcW w:w="0" w:type="auto"/>
            <w:shd w:val="clear" w:color="auto" w:fill="DEEAF6"/>
          </w:tcPr>
          <w:p w14:paraId="384B135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16%</w:t>
            </w:r>
          </w:p>
        </w:tc>
      </w:tr>
      <w:tr w:rsidR="00D304CF" w:rsidRPr="00D304CF" w14:paraId="6CC49B1E"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7A328283"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Departments</w:t>
            </w:r>
          </w:p>
        </w:tc>
        <w:tc>
          <w:tcPr>
            <w:tcW w:w="0" w:type="auto"/>
          </w:tcPr>
          <w:p w14:paraId="7EC5D86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1,370,761</w:t>
            </w:r>
          </w:p>
        </w:tc>
        <w:tc>
          <w:tcPr>
            <w:tcW w:w="0" w:type="auto"/>
          </w:tcPr>
          <w:p w14:paraId="070C726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1,374,084</w:t>
            </w:r>
          </w:p>
        </w:tc>
        <w:tc>
          <w:tcPr>
            <w:tcW w:w="0" w:type="auto"/>
          </w:tcPr>
          <w:p w14:paraId="038D210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(3,322)</w:t>
            </w:r>
          </w:p>
        </w:tc>
        <w:tc>
          <w:tcPr>
            <w:tcW w:w="0" w:type="auto"/>
          </w:tcPr>
          <w:p w14:paraId="5837B91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0%</w:t>
            </w:r>
          </w:p>
        </w:tc>
      </w:tr>
      <w:tr w:rsidR="00D304CF" w:rsidRPr="00D304CF" w14:paraId="4501FB92"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4D7FC017"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 xml:space="preserve"> Royalty on Fisheries etc</w:t>
            </w:r>
          </w:p>
        </w:tc>
        <w:tc>
          <w:tcPr>
            <w:tcW w:w="0" w:type="auto"/>
            <w:shd w:val="clear" w:color="auto" w:fill="DEEAF6"/>
          </w:tcPr>
          <w:p w14:paraId="38F9054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118,151</w:t>
            </w:r>
          </w:p>
        </w:tc>
        <w:tc>
          <w:tcPr>
            <w:tcW w:w="0" w:type="auto"/>
            <w:shd w:val="clear" w:color="auto" w:fill="DEEAF6"/>
          </w:tcPr>
          <w:p w14:paraId="444D37B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178,837</w:t>
            </w:r>
          </w:p>
        </w:tc>
        <w:tc>
          <w:tcPr>
            <w:tcW w:w="0" w:type="auto"/>
            <w:shd w:val="clear" w:color="auto" w:fill="DEEAF6"/>
          </w:tcPr>
          <w:p w14:paraId="615FFC3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(60,685)</w:t>
            </w:r>
          </w:p>
        </w:tc>
        <w:tc>
          <w:tcPr>
            <w:tcW w:w="0" w:type="auto"/>
            <w:shd w:val="clear" w:color="auto" w:fill="DEEAF6"/>
          </w:tcPr>
          <w:p w14:paraId="3A5AB5E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w:t>
            </w:r>
          </w:p>
        </w:tc>
      </w:tr>
      <w:tr w:rsidR="00D304CF" w:rsidRPr="00D304CF" w14:paraId="09E52BFD"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781CEBE6"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Parastatals (Cargo Tracking)</w:t>
            </w:r>
          </w:p>
        </w:tc>
        <w:tc>
          <w:tcPr>
            <w:tcW w:w="0" w:type="auto"/>
          </w:tcPr>
          <w:p w14:paraId="0892CAE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312,400</w:t>
            </w:r>
          </w:p>
        </w:tc>
        <w:tc>
          <w:tcPr>
            <w:tcW w:w="0" w:type="auto"/>
          </w:tcPr>
          <w:p w14:paraId="027F76A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196,032</w:t>
            </w:r>
          </w:p>
        </w:tc>
        <w:tc>
          <w:tcPr>
            <w:tcW w:w="0" w:type="auto"/>
          </w:tcPr>
          <w:p w14:paraId="6EF7EA5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116,368</w:t>
            </w:r>
          </w:p>
        </w:tc>
        <w:tc>
          <w:tcPr>
            <w:tcW w:w="0" w:type="auto"/>
          </w:tcPr>
          <w:p w14:paraId="37E5E73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59%</w:t>
            </w:r>
          </w:p>
        </w:tc>
      </w:tr>
      <w:tr w:rsidR="00D304CF" w:rsidRPr="00D304CF" w14:paraId="7FF7B333" w14:textId="77777777" w:rsidTr="00D304CF">
        <w:trPr>
          <w:trHeight w:val="323"/>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37D5430E"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Revenues</w:t>
            </w:r>
          </w:p>
        </w:tc>
        <w:tc>
          <w:tcPr>
            <w:tcW w:w="0" w:type="auto"/>
            <w:shd w:val="clear" w:color="auto" w:fill="DEEAF6"/>
          </w:tcPr>
          <w:p w14:paraId="0B7A482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940,210</w:t>
            </w:r>
          </w:p>
        </w:tc>
        <w:tc>
          <w:tcPr>
            <w:tcW w:w="0" w:type="auto"/>
            <w:shd w:val="clear" w:color="auto" w:fill="DEEAF6"/>
          </w:tcPr>
          <w:p w14:paraId="6D2DDDD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999,215</w:t>
            </w:r>
          </w:p>
        </w:tc>
        <w:tc>
          <w:tcPr>
            <w:tcW w:w="0" w:type="auto"/>
            <w:shd w:val="clear" w:color="auto" w:fill="DEEAF6"/>
          </w:tcPr>
          <w:p w14:paraId="13A5A39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(59,005)</w:t>
            </w:r>
          </w:p>
        </w:tc>
        <w:tc>
          <w:tcPr>
            <w:tcW w:w="0" w:type="auto"/>
            <w:shd w:val="clear" w:color="auto" w:fill="DEEAF6"/>
          </w:tcPr>
          <w:p w14:paraId="5481507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w:t>
            </w:r>
          </w:p>
        </w:tc>
      </w:tr>
      <w:tr w:rsidR="00D304CF" w:rsidRPr="00D304CF" w14:paraId="1A92A010"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5CA2958D"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TSA</w:t>
            </w:r>
          </w:p>
        </w:tc>
        <w:tc>
          <w:tcPr>
            <w:tcW w:w="0" w:type="auto"/>
          </w:tcPr>
          <w:p w14:paraId="64501CF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827,107</w:t>
            </w:r>
          </w:p>
        </w:tc>
        <w:tc>
          <w:tcPr>
            <w:tcW w:w="0" w:type="auto"/>
          </w:tcPr>
          <w:p w14:paraId="7073E1E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801,515</w:t>
            </w:r>
          </w:p>
        </w:tc>
        <w:tc>
          <w:tcPr>
            <w:tcW w:w="0" w:type="auto"/>
          </w:tcPr>
          <w:p w14:paraId="28AF5C2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25,592</w:t>
            </w:r>
          </w:p>
        </w:tc>
        <w:tc>
          <w:tcPr>
            <w:tcW w:w="0" w:type="auto"/>
          </w:tcPr>
          <w:p w14:paraId="6A6E0A6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w:t>
            </w:r>
          </w:p>
        </w:tc>
      </w:tr>
      <w:tr w:rsidR="00D304CF" w:rsidRPr="00D304CF" w14:paraId="4719D665"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06133C97"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Timber</w:t>
            </w:r>
          </w:p>
        </w:tc>
        <w:tc>
          <w:tcPr>
            <w:tcW w:w="0" w:type="auto"/>
            <w:shd w:val="clear" w:color="auto" w:fill="DEEAF6"/>
          </w:tcPr>
          <w:p w14:paraId="2B0817D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17,858</w:t>
            </w:r>
          </w:p>
        </w:tc>
        <w:tc>
          <w:tcPr>
            <w:tcW w:w="0" w:type="auto"/>
            <w:shd w:val="clear" w:color="auto" w:fill="DEEAF6"/>
          </w:tcPr>
          <w:p w14:paraId="70885D2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w:t>
            </w:r>
          </w:p>
        </w:tc>
        <w:tc>
          <w:tcPr>
            <w:tcW w:w="0" w:type="auto"/>
            <w:shd w:val="clear" w:color="auto" w:fill="DEEAF6"/>
          </w:tcPr>
          <w:p w14:paraId="3A6AF2F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17,858</w:t>
            </w:r>
          </w:p>
        </w:tc>
        <w:tc>
          <w:tcPr>
            <w:tcW w:w="0" w:type="auto"/>
            <w:shd w:val="clear" w:color="auto" w:fill="DEEAF6"/>
          </w:tcPr>
          <w:p w14:paraId="33F7DE5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p>
        </w:tc>
      </w:tr>
      <w:tr w:rsidR="00D304CF" w:rsidRPr="00D304CF" w14:paraId="6176F301"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542C745"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Other MDAs</w:t>
            </w:r>
          </w:p>
        </w:tc>
        <w:tc>
          <w:tcPr>
            <w:tcW w:w="0" w:type="auto"/>
          </w:tcPr>
          <w:p w14:paraId="2DE36F1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95,245</w:t>
            </w:r>
          </w:p>
        </w:tc>
        <w:tc>
          <w:tcPr>
            <w:tcW w:w="0" w:type="auto"/>
          </w:tcPr>
          <w:p w14:paraId="0929BB1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197,700</w:t>
            </w:r>
          </w:p>
        </w:tc>
        <w:tc>
          <w:tcPr>
            <w:tcW w:w="0" w:type="auto"/>
          </w:tcPr>
          <w:p w14:paraId="20FA62B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(102,456)</w:t>
            </w:r>
          </w:p>
        </w:tc>
        <w:tc>
          <w:tcPr>
            <w:tcW w:w="0" w:type="auto"/>
          </w:tcPr>
          <w:p w14:paraId="40AA547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-52%</w:t>
            </w:r>
          </w:p>
        </w:tc>
      </w:tr>
      <w:tr w:rsidR="00D304CF" w:rsidRPr="00D304CF" w14:paraId="5801E0F1"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noWrap/>
          </w:tcPr>
          <w:p w14:paraId="2B5559C9"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RUC</w:t>
            </w:r>
          </w:p>
        </w:tc>
        <w:tc>
          <w:tcPr>
            <w:tcW w:w="0" w:type="auto"/>
            <w:shd w:val="clear" w:color="auto" w:fill="DEEAF6"/>
          </w:tcPr>
          <w:p w14:paraId="0462477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206,669</w:t>
            </w:r>
          </w:p>
        </w:tc>
        <w:tc>
          <w:tcPr>
            <w:tcW w:w="0" w:type="auto"/>
            <w:shd w:val="clear" w:color="auto" w:fill="DEEAF6"/>
          </w:tcPr>
          <w:p w14:paraId="495D6D9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197,938</w:t>
            </w:r>
          </w:p>
        </w:tc>
        <w:tc>
          <w:tcPr>
            <w:tcW w:w="0" w:type="auto"/>
            <w:shd w:val="clear" w:color="auto" w:fill="DEEAF6"/>
          </w:tcPr>
          <w:p w14:paraId="2041F1E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8,731</w:t>
            </w:r>
          </w:p>
        </w:tc>
        <w:tc>
          <w:tcPr>
            <w:tcW w:w="0" w:type="auto"/>
            <w:shd w:val="clear" w:color="auto" w:fill="DEEAF6"/>
          </w:tcPr>
          <w:p w14:paraId="1CE9FFA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w:t>
            </w:r>
          </w:p>
        </w:tc>
      </w:tr>
    </w:tbl>
    <w:p w14:paraId="5B1F62A1"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p>
    <w:p w14:paraId="5E179599"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Based on the original target, most revenue streams met their annual targets including Income Tax, GST, Import Duties, Mines Revenue, Parastatal dividends, TSA and RUC. Only Fisheries and ‘Other MDAs’ missed their original target by a notable margin. The shortfall in Petroleum Excise collection (-1%) and Import Excise (-2%) were only marginal.</w:t>
      </w:r>
    </w:p>
    <w:p w14:paraId="01D214B1" w14:textId="5217D3F4" w:rsidR="00D304CF" w:rsidRPr="00D304CF" w:rsidRDefault="00D304CF" w:rsidP="00D304CF">
      <w:pPr>
        <w:jc w:val="both"/>
        <w:rPr>
          <w:rFonts w:ascii="Baskerville Old Face" w:eastAsia="DengXian" w:hAnsi="Baskerville Old Face" w:cs="Arial"/>
          <w:b/>
          <w:bCs/>
          <w:color w:val="00B0F0"/>
          <w:kern w:val="0"/>
          <w:sz w:val="24"/>
          <w:szCs w:val="24"/>
          <w:lang w:val="en-GB"/>
          <w14:ligatures w14:val="none"/>
        </w:rPr>
      </w:pPr>
      <w:r w:rsidRPr="00D304CF">
        <w:rPr>
          <w:rFonts w:ascii="Baskerville Old Face" w:eastAsia="DengXian" w:hAnsi="Baskerville Old Face" w:cs="Arial"/>
          <w:b/>
          <w:bCs/>
          <w:color w:val="00B0F0"/>
          <w:kern w:val="0"/>
          <w:sz w:val="24"/>
          <w:szCs w:val="24"/>
          <w:lang w:val="en-GB"/>
          <w14:ligatures w14:val="none"/>
        </w:rPr>
        <w:t>2.</w:t>
      </w:r>
      <w:r w:rsidR="00630F4F">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3: Revenue Performance in FY2023 Compared to FY2022</w:t>
      </w:r>
    </w:p>
    <w:p w14:paraId="7370808C" w14:textId="65031488" w:rsid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Compared to FY2022 (Table </w:t>
      </w:r>
      <w:r w:rsidR="00AD11B8">
        <w:rPr>
          <w:rFonts w:ascii="Baskerville Old Face" w:eastAsia="DengXian" w:hAnsi="Baskerville Old Face" w:cs="Arial"/>
          <w:kern w:val="0"/>
          <w:sz w:val="24"/>
          <w:szCs w:val="24"/>
          <w:lang w:val="en-GB"/>
          <w14:ligatures w14:val="none"/>
        </w:rPr>
        <w:t>5</w:t>
      </w:r>
      <w:r w:rsidRPr="00D304CF">
        <w:rPr>
          <w:rFonts w:ascii="Baskerville Old Face" w:eastAsia="DengXian" w:hAnsi="Baskerville Old Face" w:cs="Arial"/>
          <w:kern w:val="0"/>
          <w:sz w:val="24"/>
          <w:szCs w:val="24"/>
          <w:lang w:val="en-GB"/>
          <w14:ligatures w14:val="none"/>
        </w:rPr>
        <w:t>), the collection of NLe10.1 billion in FY2023 emerged to be NLe2.918 billion (or 41%) higher, which by all indications means a significant improvement in domestic revenue collection in FY2023 compared to FY2022 despite the many disruptions in the year (National Elections in June, Change of administrative leadership at the NRA in July, Demonstration by businesses in October, and failed attempted Coup in November) which affected taxpayer compliance, implementation of tax policies and revenue administration reforms and ultimately revenue mobilisation.</w:t>
      </w:r>
    </w:p>
    <w:p w14:paraId="4C8C646C" w14:textId="77777777" w:rsidR="00AA51A6" w:rsidRDefault="00AA51A6" w:rsidP="00D304CF">
      <w:pPr>
        <w:jc w:val="both"/>
        <w:rPr>
          <w:rFonts w:ascii="Baskerville Old Face" w:eastAsia="DengXian" w:hAnsi="Baskerville Old Face" w:cs="Arial"/>
          <w:kern w:val="0"/>
          <w:sz w:val="24"/>
          <w:szCs w:val="24"/>
          <w:lang w:val="en-GB"/>
          <w14:ligatures w14:val="none"/>
        </w:rPr>
      </w:pPr>
    </w:p>
    <w:p w14:paraId="1E87E485" w14:textId="77777777" w:rsidR="00AA51A6" w:rsidRPr="00D304CF" w:rsidRDefault="00AA51A6" w:rsidP="00D304CF">
      <w:pPr>
        <w:jc w:val="both"/>
        <w:rPr>
          <w:rFonts w:ascii="Baskerville Old Face" w:eastAsia="DengXian" w:hAnsi="Baskerville Old Face" w:cs="Arial"/>
          <w:kern w:val="0"/>
          <w:sz w:val="24"/>
          <w:szCs w:val="24"/>
          <w:lang w:val="en-GB"/>
          <w14:ligatures w14:val="none"/>
        </w:rPr>
      </w:pPr>
    </w:p>
    <w:tbl>
      <w:tblPr>
        <w:tblStyle w:val="GridTable4-Accent611"/>
        <w:tblW w:w="0" w:type="auto"/>
        <w:tblLook w:val="04A0" w:firstRow="1" w:lastRow="0" w:firstColumn="1" w:lastColumn="0" w:noHBand="0" w:noVBand="1"/>
      </w:tblPr>
      <w:tblGrid>
        <w:gridCol w:w="4172"/>
        <w:gridCol w:w="1100"/>
        <w:gridCol w:w="1001"/>
        <w:gridCol w:w="1001"/>
        <w:gridCol w:w="705"/>
      </w:tblGrid>
      <w:tr w:rsidR="00D304CF" w:rsidRPr="00D304CF" w14:paraId="76223848" w14:textId="77777777" w:rsidTr="00D304C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30A99E14" w14:textId="6766D68E" w:rsidR="00D304CF" w:rsidRPr="00D304CF" w:rsidRDefault="00D304CF" w:rsidP="00D304CF">
            <w:pPr>
              <w:jc w:val="cente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lastRenderedPageBreak/>
              <w:t xml:space="preserve">Table </w:t>
            </w:r>
            <w:r w:rsidR="00AD11B8">
              <w:rPr>
                <w:rFonts w:ascii="Baskerville Old Face" w:eastAsia="Times New Roman" w:hAnsi="Baskerville Old Face" w:cs="Calibri"/>
                <w:color w:val="000000"/>
                <w:lang w:val="en-GB"/>
              </w:rPr>
              <w:t>5</w:t>
            </w:r>
            <w:r w:rsidRPr="00D304CF">
              <w:rPr>
                <w:rFonts w:ascii="Baskerville Old Face" w:eastAsia="Times New Roman" w:hAnsi="Baskerville Old Face" w:cs="Calibri"/>
                <w:color w:val="000000"/>
                <w:lang w:val="en-GB"/>
              </w:rPr>
              <w:t>: Domestic Revenue Collection: 2023 versus 2022 (NLe Thousand)</w:t>
            </w:r>
          </w:p>
        </w:tc>
      </w:tr>
      <w:tr w:rsidR="00D304CF" w:rsidRPr="00D304CF" w14:paraId="1BB8B6AA" w14:textId="77777777" w:rsidTr="00D304CF">
        <w:trPr>
          <w:trHeight w:val="323"/>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19D62C40" w14:textId="77777777" w:rsidR="00D304CF" w:rsidRPr="00D304CF" w:rsidRDefault="00D304CF" w:rsidP="00D304CF">
            <w:pPr>
              <w:rPr>
                <w:rFonts w:ascii="Baskerville Old Face" w:eastAsia="Times New Roman" w:hAnsi="Baskerville Old Face" w:cs="Calibri"/>
                <w:b w:val="0"/>
                <w:bCs w:val="0"/>
                <w:color w:val="000000"/>
                <w:lang w:val="en-GB"/>
              </w:rPr>
            </w:pPr>
            <w:r w:rsidRPr="00D304CF">
              <w:rPr>
                <w:rFonts w:ascii="Baskerville Old Face" w:eastAsia="Times New Roman" w:hAnsi="Baskerville Old Face" w:cs="Calibri"/>
                <w:color w:val="000000"/>
                <w:lang w:val="en-GB"/>
              </w:rPr>
              <w:t> </w:t>
            </w:r>
          </w:p>
        </w:tc>
        <w:tc>
          <w:tcPr>
            <w:tcW w:w="0" w:type="auto"/>
            <w:shd w:val="clear" w:color="auto" w:fill="E2EFD9"/>
          </w:tcPr>
          <w:p w14:paraId="486C641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2023 Act</w:t>
            </w:r>
          </w:p>
        </w:tc>
        <w:tc>
          <w:tcPr>
            <w:tcW w:w="0" w:type="auto"/>
            <w:shd w:val="clear" w:color="auto" w:fill="E2EFD9"/>
          </w:tcPr>
          <w:p w14:paraId="0148EC8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2022 Act</w:t>
            </w:r>
          </w:p>
        </w:tc>
        <w:tc>
          <w:tcPr>
            <w:tcW w:w="0" w:type="auto"/>
            <w:shd w:val="clear" w:color="auto" w:fill="E2EFD9"/>
          </w:tcPr>
          <w:p w14:paraId="65A78C0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Variance</w:t>
            </w:r>
          </w:p>
        </w:tc>
        <w:tc>
          <w:tcPr>
            <w:tcW w:w="0" w:type="auto"/>
            <w:shd w:val="clear" w:color="auto" w:fill="E2EFD9"/>
          </w:tcPr>
          <w:p w14:paraId="67B4BCB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 Var</w:t>
            </w:r>
          </w:p>
        </w:tc>
      </w:tr>
      <w:tr w:rsidR="00D304CF" w:rsidRPr="00D304CF" w14:paraId="62A5FD2A"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184446BE"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TOTAL DOMESTIC REVENUE</w:t>
            </w:r>
          </w:p>
        </w:tc>
        <w:tc>
          <w:tcPr>
            <w:tcW w:w="0" w:type="auto"/>
          </w:tcPr>
          <w:p w14:paraId="0E5A963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10,100,463</w:t>
            </w:r>
          </w:p>
        </w:tc>
        <w:tc>
          <w:tcPr>
            <w:tcW w:w="0" w:type="auto"/>
          </w:tcPr>
          <w:p w14:paraId="4442198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7,182,686</w:t>
            </w:r>
          </w:p>
        </w:tc>
        <w:tc>
          <w:tcPr>
            <w:tcW w:w="0" w:type="auto"/>
          </w:tcPr>
          <w:p w14:paraId="36DAC79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2,917,777</w:t>
            </w:r>
          </w:p>
        </w:tc>
        <w:tc>
          <w:tcPr>
            <w:tcW w:w="0" w:type="auto"/>
          </w:tcPr>
          <w:p w14:paraId="0228648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34E79E45"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tcPr>
          <w:p w14:paraId="14EE17D8"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DOMESTIC TAX DEPARTMENT</w:t>
            </w:r>
          </w:p>
        </w:tc>
        <w:tc>
          <w:tcPr>
            <w:tcW w:w="0" w:type="auto"/>
            <w:shd w:val="clear" w:color="auto" w:fill="E2EFD9"/>
          </w:tcPr>
          <w:p w14:paraId="0D156CF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6,087,739</w:t>
            </w:r>
          </w:p>
        </w:tc>
        <w:tc>
          <w:tcPr>
            <w:tcW w:w="0" w:type="auto"/>
            <w:shd w:val="clear" w:color="auto" w:fill="E2EFD9"/>
          </w:tcPr>
          <w:p w14:paraId="0A01519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4,325,052</w:t>
            </w:r>
          </w:p>
        </w:tc>
        <w:tc>
          <w:tcPr>
            <w:tcW w:w="0" w:type="auto"/>
            <w:shd w:val="clear" w:color="auto" w:fill="E2EFD9"/>
          </w:tcPr>
          <w:p w14:paraId="6FA3C0E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1,762,687</w:t>
            </w:r>
          </w:p>
        </w:tc>
        <w:tc>
          <w:tcPr>
            <w:tcW w:w="0" w:type="auto"/>
            <w:shd w:val="clear" w:color="auto" w:fill="E2EFD9"/>
          </w:tcPr>
          <w:p w14:paraId="782B6C53"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06ECF314"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34AF891F"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Income Tax </w:t>
            </w:r>
          </w:p>
        </w:tc>
        <w:tc>
          <w:tcPr>
            <w:tcW w:w="0" w:type="auto"/>
          </w:tcPr>
          <w:p w14:paraId="4D2C2BC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3,991,124</w:t>
            </w:r>
          </w:p>
        </w:tc>
        <w:tc>
          <w:tcPr>
            <w:tcW w:w="0" w:type="auto"/>
          </w:tcPr>
          <w:p w14:paraId="3297352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2,904,694</w:t>
            </w:r>
          </w:p>
        </w:tc>
        <w:tc>
          <w:tcPr>
            <w:tcW w:w="0" w:type="auto"/>
          </w:tcPr>
          <w:p w14:paraId="6DDEC8D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1,086,430</w:t>
            </w:r>
          </w:p>
        </w:tc>
        <w:tc>
          <w:tcPr>
            <w:tcW w:w="0" w:type="auto"/>
          </w:tcPr>
          <w:p w14:paraId="16CB0E3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37%</w:t>
            </w:r>
          </w:p>
        </w:tc>
      </w:tr>
      <w:tr w:rsidR="00D304CF" w:rsidRPr="00D304CF" w14:paraId="44C4A8A9"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4B36085A" w14:textId="77777777" w:rsidR="00D304CF" w:rsidRPr="00D304CF" w:rsidRDefault="00D304CF" w:rsidP="00D304CF">
            <w:pPr>
              <w:rPr>
                <w:rFonts w:ascii="Baskerville Old Face" w:eastAsia="Times New Roman" w:hAnsi="Baskerville Old Face" w:cs="Calibri"/>
                <w:b w:val="0"/>
                <w:bCs w:val="0"/>
                <w:lang w:val="en-GB"/>
              </w:rPr>
            </w:pPr>
            <w:r w:rsidRPr="00D304CF">
              <w:rPr>
                <w:rFonts w:ascii="Baskerville Old Face" w:eastAsia="Times New Roman" w:hAnsi="Baskerville Old Face" w:cs="Calibri"/>
                <w:lang w:val="en-GB"/>
              </w:rPr>
              <w:t>Goods and Services Tax (GST)</w:t>
            </w:r>
          </w:p>
        </w:tc>
        <w:tc>
          <w:tcPr>
            <w:tcW w:w="0" w:type="auto"/>
            <w:shd w:val="clear" w:color="auto" w:fill="E2EFD9"/>
          </w:tcPr>
          <w:p w14:paraId="72EB467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2,096,615</w:t>
            </w:r>
          </w:p>
        </w:tc>
        <w:tc>
          <w:tcPr>
            <w:tcW w:w="0" w:type="auto"/>
            <w:shd w:val="clear" w:color="auto" w:fill="E2EFD9"/>
          </w:tcPr>
          <w:p w14:paraId="46FB91B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1,420,358</w:t>
            </w:r>
          </w:p>
        </w:tc>
        <w:tc>
          <w:tcPr>
            <w:tcW w:w="0" w:type="auto"/>
            <w:shd w:val="clear" w:color="auto" w:fill="E2EFD9"/>
          </w:tcPr>
          <w:p w14:paraId="3C12A3D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676,257</w:t>
            </w:r>
          </w:p>
        </w:tc>
        <w:tc>
          <w:tcPr>
            <w:tcW w:w="0" w:type="auto"/>
            <w:shd w:val="clear" w:color="auto" w:fill="E2EFD9"/>
          </w:tcPr>
          <w:p w14:paraId="3224B1C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48%</w:t>
            </w:r>
          </w:p>
        </w:tc>
      </w:tr>
      <w:tr w:rsidR="00D304CF" w:rsidRPr="00D304CF" w14:paraId="1716D6AF"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478729EB"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CUSTOMS SERVICE DEPARTMENT (CSD)</w:t>
            </w:r>
          </w:p>
        </w:tc>
        <w:tc>
          <w:tcPr>
            <w:tcW w:w="0" w:type="auto"/>
          </w:tcPr>
          <w:p w14:paraId="2760040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1,763,821</w:t>
            </w:r>
          </w:p>
        </w:tc>
        <w:tc>
          <w:tcPr>
            <w:tcW w:w="0" w:type="auto"/>
          </w:tcPr>
          <w:p w14:paraId="29862F7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1,238,079</w:t>
            </w:r>
          </w:p>
        </w:tc>
        <w:tc>
          <w:tcPr>
            <w:tcW w:w="0" w:type="auto"/>
          </w:tcPr>
          <w:p w14:paraId="1BD8D72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525,742</w:t>
            </w:r>
          </w:p>
        </w:tc>
        <w:tc>
          <w:tcPr>
            <w:tcW w:w="0" w:type="auto"/>
          </w:tcPr>
          <w:p w14:paraId="68C2DFF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42%</w:t>
            </w:r>
          </w:p>
        </w:tc>
      </w:tr>
      <w:tr w:rsidR="00D304CF" w:rsidRPr="00D304CF" w14:paraId="10AC821E"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6236A3C8"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 xml:space="preserve"> Import Duties</w:t>
            </w:r>
          </w:p>
        </w:tc>
        <w:tc>
          <w:tcPr>
            <w:tcW w:w="0" w:type="auto"/>
            <w:shd w:val="clear" w:color="auto" w:fill="E2EFD9"/>
          </w:tcPr>
          <w:p w14:paraId="65360FF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1,194,727</w:t>
            </w:r>
          </w:p>
        </w:tc>
        <w:tc>
          <w:tcPr>
            <w:tcW w:w="0" w:type="auto"/>
            <w:shd w:val="clear" w:color="auto" w:fill="E2EFD9"/>
          </w:tcPr>
          <w:p w14:paraId="660E53A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848,543</w:t>
            </w:r>
          </w:p>
        </w:tc>
        <w:tc>
          <w:tcPr>
            <w:tcW w:w="0" w:type="auto"/>
            <w:shd w:val="clear" w:color="auto" w:fill="E2EFD9"/>
          </w:tcPr>
          <w:p w14:paraId="4EAD572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346,184</w:t>
            </w:r>
          </w:p>
        </w:tc>
        <w:tc>
          <w:tcPr>
            <w:tcW w:w="0" w:type="auto"/>
            <w:shd w:val="clear" w:color="auto" w:fill="E2EFD9"/>
          </w:tcPr>
          <w:p w14:paraId="6AF6948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79255040"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5087D9C"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Excise on Petroleum</w:t>
            </w:r>
          </w:p>
        </w:tc>
        <w:tc>
          <w:tcPr>
            <w:tcW w:w="0" w:type="auto"/>
          </w:tcPr>
          <w:p w14:paraId="71C792C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466,284</w:t>
            </w:r>
          </w:p>
        </w:tc>
        <w:tc>
          <w:tcPr>
            <w:tcW w:w="0" w:type="auto"/>
          </w:tcPr>
          <w:p w14:paraId="1057A71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310,696</w:t>
            </w:r>
          </w:p>
        </w:tc>
        <w:tc>
          <w:tcPr>
            <w:tcW w:w="0" w:type="auto"/>
          </w:tcPr>
          <w:p w14:paraId="0DB2683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155,588</w:t>
            </w:r>
          </w:p>
        </w:tc>
        <w:tc>
          <w:tcPr>
            <w:tcW w:w="0" w:type="auto"/>
          </w:tcPr>
          <w:p w14:paraId="1053C7D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50%</w:t>
            </w:r>
          </w:p>
        </w:tc>
      </w:tr>
      <w:tr w:rsidR="00D304CF" w:rsidRPr="00D304CF" w14:paraId="3527F1DE"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2784915A"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Excise</w:t>
            </w:r>
          </w:p>
        </w:tc>
        <w:tc>
          <w:tcPr>
            <w:tcW w:w="0" w:type="auto"/>
            <w:shd w:val="clear" w:color="auto" w:fill="E2EFD9"/>
          </w:tcPr>
          <w:p w14:paraId="23C8E4F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102,810</w:t>
            </w:r>
          </w:p>
        </w:tc>
        <w:tc>
          <w:tcPr>
            <w:tcW w:w="0" w:type="auto"/>
            <w:shd w:val="clear" w:color="auto" w:fill="E2EFD9"/>
          </w:tcPr>
          <w:p w14:paraId="6D04A53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78,840</w:t>
            </w:r>
          </w:p>
        </w:tc>
        <w:tc>
          <w:tcPr>
            <w:tcW w:w="0" w:type="auto"/>
            <w:shd w:val="clear" w:color="auto" w:fill="E2EFD9"/>
          </w:tcPr>
          <w:p w14:paraId="6642B50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23,970</w:t>
            </w:r>
          </w:p>
        </w:tc>
        <w:tc>
          <w:tcPr>
            <w:tcW w:w="0" w:type="auto"/>
            <w:shd w:val="clear" w:color="auto" w:fill="E2EFD9"/>
          </w:tcPr>
          <w:p w14:paraId="282882A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30%</w:t>
            </w:r>
          </w:p>
        </w:tc>
      </w:tr>
      <w:tr w:rsidR="00D304CF" w:rsidRPr="00D304CF" w14:paraId="32029B72"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58769EE6" w14:textId="77777777" w:rsidR="00D304CF" w:rsidRPr="00D304CF" w:rsidRDefault="00D304CF" w:rsidP="00D304CF">
            <w:pPr>
              <w:rPr>
                <w:rFonts w:ascii="Baskerville Old Face" w:eastAsia="Times New Roman" w:hAnsi="Baskerville Old Face" w:cs="Calibri"/>
                <w:b w:val="0"/>
                <w:bCs w:val="0"/>
                <w:u w:val="single"/>
                <w:lang w:val="zh-CN"/>
              </w:rPr>
            </w:pPr>
            <w:r w:rsidRPr="00D304CF">
              <w:rPr>
                <w:rFonts w:ascii="Baskerville Old Face" w:eastAsia="Times New Roman" w:hAnsi="Baskerville Old Face" w:cs="Calibri"/>
                <w:u w:val="single"/>
                <w:lang w:val="zh-CN"/>
              </w:rPr>
              <w:t>NON TAX REVENUE DEPARTMENT (NTR)</w:t>
            </w:r>
          </w:p>
        </w:tc>
        <w:tc>
          <w:tcPr>
            <w:tcW w:w="0" w:type="auto"/>
          </w:tcPr>
          <w:p w14:paraId="59BAC1C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2,042,234</w:t>
            </w:r>
          </w:p>
        </w:tc>
        <w:tc>
          <w:tcPr>
            <w:tcW w:w="0" w:type="auto"/>
          </w:tcPr>
          <w:p w14:paraId="6CA9FD6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1,447,323</w:t>
            </w:r>
          </w:p>
        </w:tc>
        <w:tc>
          <w:tcPr>
            <w:tcW w:w="0" w:type="auto"/>
          </w:tcPr>
          <w:p w14:paraId="506A9AF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594,910</w:t>
            </w:r>
          </w:p>
        </w:tc>
        <w:tc>
          <w:tcPr>
            <w:tcW w:w="0" w:type="auto"/>
          </w:tcPr>
          <w:p w14:paraId="24C844C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w:t>
            </w:r>
          </w:p>
        </w:tc>
      </w:tr>
      <w:tr w:rsidR="00D304CF" w:rsidRPr="00D304CF" w14:paraId="462C75DB"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29123D81"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Mines Revenue</w:t>
            </w:r>
          </w:p>
        </w:tc>
        <w:tc>
          <w:tcPr>
            <w:tcW w:w="0" w:type="auto"/>
            <w:shd w:val="clear" w:color="auto" w:fill="E2EFD9"/>
          </w:tcPr>
          <w:p w14:paraId="3BCE569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671,472</w:t>
            </w:r>
          </w:p>
        </w:tc>
        <w:tc>
          <w:tcPr>
            <w:tcW w:w="0" w:type="auto"/>
            <w:shd w:val="clear" w:color="auto" w:fill="E2EFD9"/>
          </w:tcPr>
          <w:p w14:paraId="75DC480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414,292</w:t>
            </w:r>
          </w:p>
        </w:tc>
        <w:tc>
          <w:tcPr>
            <w:tcW w:w="0" w:type="auto"/>
            <w:shd w:val="clear" w:color="auto" w:fill="E2EFD9"/>
          </w:tcPr>
          <w:p w14:paraId="1EC318D8"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257,180</w:t>
            </w:r>
          </w:p>
        </w:tc>
        <w:tc>
          <w:tcPr>
            <w:tcW w:w="0" w:type="auto"/>
            <w:shd w:val="clear" w:color="auto" w:fill="E2EFD9"/>
          </w:tcPr>
          <w:p w14:paraId="3D9CDF3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62%</w:t>
            </w:r>
          </w:p>
        </w:tc>
      </w:tr>
      <w:tr w:rsidR="00D304CF" w:rsidRPr="00D304CF" w14:paraId="38C8AC4F"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32B23ED5"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Other Departments</w:t>
            </w:r>
          </w:p>
        </w:tc>
        <w:tc>
          <w:tcPr>
            <w:tcW w:w="0" w:type="auto"/>
          </w:tcPr>
          <w:p w14:paraId="7B2136E9"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1,370,761</w:t>
            </w:r>
          </w:p>
        </w:tc>
        <w:tc>
          <w:tcPr>
            <w:tcW w:w="0" w:type="auto"/>
          </w:tcPr>
          <w:p w14:paraId="4444781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1,033,031</w:t>
            </w:r>
          </w:p>
        </w:tc>
        <w:tc>
          <w:tcPr>
            <w:tcW w:w="0" w:type="auto"/>
          </w:tcPr>
          <w:p w14:paraId="11BEDB8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337,730</w:t>
            </w:r>
          </w:p>
        </w:tc>
        <w:tc>
          <w:tcPr>
            <w:tcW w:w="0" w:type="auto"/>
          </w:tcPr>
          <w:p w14:paraId="61F96C9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33%</w:t>
            </w:r>
          </w:p>
        </w:tc>
      </w:tr>
      <w:tr w:rsidR="00D304CF" w:rsidRPr="00D304CF" w14:paraId="41F2F9F0"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05873469"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 xml:space="preserve"> Royalty on Fisheries etc</w:t>
            </w:r>
          </w:p>
        </w:tc>
        <w:tc>
          <w:tcPr>
            <w:tcW w:w="0" w:type="auto"/>
            <w:shd w:val="clear" w:color="auto" w:fill="E2EFD9"/>
          </w:tcPr>
          <w:p w14:paraId="2EF24E3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118,151</w:t>
            </w:r>
          </w:p>
        </w:tc>
        <w:tc>
          <w:tcPr>
            <w:tcW w:w="0" w:type="auto"/>
            <w:shd w:val="clear" w:color="auto" w:fill="E2EFD9"/>
          </w:tcPr>
          <w:p w14:paraId="20AFD5B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100,762</w:t>
            </w:r>
          </w:p>
        </w:tc>
        <w:tc>
          <w:tcPr>
            <w:tcW w:w="0" w:type="auto"/>
            <w:shd w:val="clear" w:color="auto" w:fill="E2EFD9"/>
          </w:tcPr>
          <w:p w14:paraId="14A7CF9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17,389</w:t>
            </w:r>
          </w:p>
        </w:tc>
        <w:tc>
          <w:tcPr>
            <w:tcW w:w="0" w:type="auto"/>
            <w:shd w:val="clear" w:color="auto" w:fill="E2EFD9"/>
          </w:tcPr>
          <w:p w14:paraId="04D3871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w:t>
            </w:r>
          </w:p>
        </w:tc>
      </w:tr>
      <w:tr w:rsidR="00D304CF" w:rsidRPr="00D304CF" w14:paraId="6C5E7B9B"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16B51F1"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Parastatals (Cargo Tracking)</w:t>
            </w:r>
          </w:p>
        </w:tc>
        <w:tc>
          <w:tcPr>
            <w:tcW w:w="0" w:type="auto"/>
          </w:tcPr>
          <w:p w14:paraId="2D3357A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312,400</w:t>
            </w:r>
          </w:p>
        </w:tc>
        <w:tc>
          <w:tcPr>
            <w:tcW w:w="0" w:type="auto"/>
          </w:tcPr>
          <w:p w14:paraId="25B677F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176,332</w:t>
            </w:r>
          </w:p>
        </w:tc>
        <w:tc>
          <w:tcPr>
            <w:tcW w:w="0" w:type="auto"/>
          </w:tcPr>
          <w:p w14:paraId="6425E1F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136,068</w:t>
            </w:r>
          </w:p>
        </w:tc>
        <w:tc>
          <w:tcPr>
            <w:tcW w:w="0" w:type="auto"/>
          </w:tcPr>
          <w:p w14:paraId="1C5B0F1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77%</w:t>
            </w:r>
          </w:p>
        </w:tc>
      </w:tr>
      <w:tr w:rsidR="00D304CF" w:rsidRPr="00D304CF" w14:paraId="2FDC02E7"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7FB8E77C"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Other Revenues</w:t>
            </w:r>
          </w:p>
        </w:tc>
        <w:tc>
          <w:tcPr>
            <w:tcW w:w="0" w:type="auto"/>
            <w:shd w:val="clear" w:color="auto" w:fill="E2EFD9"/>
          </w:tcPr>
          <w:p w14:paraId="73957BC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940,210</w:t>
            </w:r>
          </w:p>
        </w:tc>
        <w:tc>
          <w:tcPr>
            <w:tcW w:w="0" w:type="auto"/>
            <w:shd w:val="clear" w:color="auto" w:fill="E2EFD9"/>
          </w:tcPr>
          <w:p w14:paraId="48B970C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755,937</w:t>
            </w:r>
          </w:p>
        </w:tc>
        <w:tc>
          <w:tcPr>
            <w:tcW w:w="0" w:type="auto"/>
            <w:shd w:val="clear" w:color="auto" w:fill="E2EFD9"/>
          </w:tcPr>
          <w:p w14:paraId="0D278DA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184,273</w:t>
            </w:r>
          </w:p>
        </w:tc>
        <w:tc>
          <w:tcPr>
            <w:tcW w:w="0" w:type="auto"/>
            <w:shd w:val="clear" w:color="auto" w:fill="E2EFD9"/>
          </w:tcPr>
          <w:p w14:paraId="41713A7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24%</w:t>
            </w:r>
          </w:p>
        </w:tc>
      </w:tr>
      <w:tr w:rsidR="00D304CF" w:rsidRPr="00D304CF" w14:paraId="1FE17AFE"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6682971"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TSA</w:t>
            </w:r>
          </w:p>
        </w:tc>
        <w:tc>
          <w:tcPr>
            <w:tcW w:w="0" w:type="auto"/>
          </w:tcPr>
          <w:p w14:paraId="050A9F8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827,107</w:t>
            </w:r>
          </w:p>
        </w:tc>
        <w:tc>
          <w:tcPr>
            <w:tcW w:w="0" w:type="auto"/>
          </w:tcPr>
          <w:p w14:paraId="0395EE56"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613,272</w:t>
            </w:r>
          </w:p>
        </w:tc>
        <w:tc>
          <w:tcPr>
            <w:tcW w:w="0" w:type="auto"/>
          </w:tcPr>
          <w:p w14:paraId="29E4FDE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213,835</w:t>
            </w:r>
          </w:p>
        </w:tc>
        <w:tc>
          <w:tcPr>
            <w:tcW w:w="0" w:type="auto"/>
          </w:tcPr>
          <w:p w14:paraId="50EC9A1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35%</w:t>
            </w:r>
          </w:p>
        </w:tc>
      </w:tr>
      <w:tr w:rsidR="00D304CF" w:rsidRPr="00D304CF" w14:paraId="65F1482C" w14:textId="77777777" w:rsidTr="00D304CF">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2838330C"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Timber</w:t>
            </w:r>
          </w:p>
        </w:tc>
        <w:tc>
          <w:tcPr>
            <w:tcW w:w="0" w:type="auto"/>
            <w:shd w:val="clear" w:color="auto" w:fill="E2EFD9"/>
          </w:tcPr>
          <w:p w14:paraId="0F0B25DC"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17,858</w:t>
            </w:r>
          </w:p>
        </w:tc>
        <w:tc>
          <w:tcPr>
            <w:tcW w:w="0" w:type="auto"/>
            <w:shd w:val="clear" w:color="auto" w:fill="E2EFD9"/>
          </w:tcPr>
          <w:p w14:paraId="39B81BE0"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58,830</w:t>
            </w:r>
          </w:p>
        </w:tc>
        <w:tc>
          <w:tcPr>
            <w:tcW w:w="0" w:type="auto"/>
            <w:shd w:val="clear" w:color="auto" w:fill="E2EFD9"/>
          </w:tcPr>
          <w:p w14:paraId="671227A1"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(40,972)</w:t>
            </w:r>
          </w:p>
        </w:tc>
        <w:tc>
          <w:tcPr>
            <w:tcW w:w="0" w:type="auto"/>
            <w:shd w:val="clear" w:color="auto" w:fill="E2EFD9"/>
          </w:tcPr>
          <w:p w14:paraId="3E8741BA"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-70%</w:t>
            </w:r>
          </w:p>
        </w:tc>
      </w:tr>
      <w:tr w:rsidR="00D304CF" w:rsidRPr="00D304CF" w14:paraId="710C7B5A"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746AA463" w14:textId="77777777" w:rsidR="00D304CF" w:rsidRPr="00D304CF" w:rsidRDefault="00D304CF" w:rsidP="00D304CF">
            <w:pPr>
              <w:rPr>
                <w:rFonts w:ascii="Baskerville Old Face" w:eastAsia="Times New Roman" w:hAnsi="Baskerville Old Face" w:cs="Calibri"/>
                <w:b w:val="0"/>
                <w:bCs w:val="0"/>
                <w:i/>
                <w:iCs/>
                <w:lang w:val="zh-CN"/>
              </w:rPr>
            </w:pPr>
            <w:r w:rsidRPr="00D304CF">
              <w:rPr>
                <w:rFonts w:ascii="Baskerville Old Face" w:eastAsia="Times New Roman" w:hAnsi="Baskerville Old Face" w:cs="Calibri"/>
                <w:i/>
                <w:iCs/>
                <w:lang w:val="zh-CN"/>
              </w:rPr>
              <w:t>o/w Other MDAs</w:t>
            </w:r>
          </w:p>
        </w:tc>
        <w:tc>
          <w:tcPr>
            <w:tcW w:w="0" w:type="auto"/>
          </w:tcPr>
          <w:p w14:paraId="3A315317"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95,245</w:t>
            </w:r>
          </w:p>
        </w:tc>
        <w:tc>
          <w:tcPr>
            <w:tcW w:w="0" w:type="auto"/>
          </w:tcPr>
          <w:p w14:paraId="114D6D34"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83,835</w:t>
            </w:r>
          </w:p>
        </w:tc>
        <w:tc>
          <w:tcPr>
            <w:tcW w:w="0" w:type="auto"/>
          </w:tcPr>
          <w:p w14:paraId="6263212E"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lang w:val="zh-CN"/>
              </w:rPr>
            </w:pPr>
            <w:r w:rsidRPr="00D304CF">
              <w:rPr>
                <w:rFonts w:ascii="Baskerville Old Face" w:eastAsia="Times New Roman" w:hAnsi="Baskerville Old Face" w:cs="Calibri"/>
                <w:b/>
                <w:bCs/>
                <w:i/>
                <w:iCs/>
                <w:lang w:val="zh-CN"/>
              </w:rPr>
              <w:t>11,410</w:t>
            </w:r>
          </w:p>
        </w:tc>
        <w:tc>
          <w:tcPr>
            <w:tcW w:w="0" w:type="auto"/>
          </w:tcPr>
          <w:p w14:paraId="0FFCD1E2"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14%</w:t>
            </w:r>
          </w:p>
        </w:tc>
      </w:tr>
      <w:tr w:rsidR="00D304CF" w:rsidRPr="00D304CF" w14:paraId="69EC356C" w14:textId="77777777" w:rsidTr="00D304CF">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noWrap/>
          </w:tcPr>
          <w:p w14:paraId="06E52B01" w14:textId="77777777" w:rsidR="00D304CF" w:rsidRPr="00D304CF" w:rsidRDefault="00D304CF" w:rsidP="00D304CF">
            <w:pPr>
              <w:rPr>
                <w:rFonts w:ascii="Baskerville Old Face" w:eastAsia="Times New Roman" w:hAnsi="Baskerville Old Face" w:cs="Calibri"/>
                <w:b w:val="0"/>
                <w:bCs w:val="0"/>
                <w:lang w:val="zh-CN"/>
              </w:rPr>
            </w:pPr>
            <w:r w:rsidRPr="00D304CF">
              <w:rPr>
                <w:rFonts w:ascii="Baskerville Old Face" w:eastAsia="Times New Roman" w:hAnsi="Baskerville Old Face" w:cs="Calibri"/>
                <w:lang w:val="zh-CN"/>
              </w:rPr>
              <w:t>RUC</w:t>
            </w:r>
          </w:p>
        </w:tc>
        <w:tc>
          <w:tcPr>
            <w:tcW w:w="0" w:type="auto"/>
            <w:shd w:val="clear" w:color="auto" w:fill="E2EFD9"/>
          </w:tcPr>
          <w:p w14:paraId="20AF69DB"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206,669</w:t>
            </w:r>
          </w:p>
        </w:tc>
        <w:tc>
          <w:tcPr>
            <w:tcW w:w="0" w:type="auto"/>
            <w:shd w:val="clear" w:color="auto" w:fill="E2EFD9"/>
          </w:tcPr>
          <w:p w14:paraId="047CBBA5"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172,231</w:t>
            </w:r>
          </w:p>
        </w:tc>
        <w:tc>
          <w:tcPr>
            <w:tcW w:w="0" w:type="auto"/>
            <w:shd w:val="clear" w:color="auto" w:fill="E2EFD9"/>
          </w:tcPr>
          <w:p w14:paraId="40376E8D"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34,438</w:t>
            </w:r>
          </w:p>
        </w:tc>
        <w:tc>
          <w:tcPr>
            <w:tcW w:w="0" w:type="auto"/>
            <w:shd w:val="clear" w:color="auto" w:fill="E2EFD9"/>
          </w:tcPr>
          <w:p w14:paraId="2998E73F" w14:textId="77777777" w:rsidR="00D304CF" w:rsidRPr="00D304CF" w:rsidRDefault="00D304CF" w:rsidP="00D304CF">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lang w:val="zh-CN"/>
              </w:rPr>
            </w:pPr>
            <w:r w:rsidRPr="00D304CF">
              <w:rPr>
                <w:rFonts w:ascii="Baskerville Old Face" w:eastAsia="Times New Roman" w:hAnsi="Baskerville Old Face" w:cs="Calibri"/>
                <w:b/>
                <w:bCs/>
                <w:lang w:val="zh-CN"/>
              </w:rPr>
              <w:t>20%</w:t>
            </w:r>
          </w:p>
        </w:tc>
      </w:tr>
    </w:tbl>
    <w:p w14:paraId="25CA72C3"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p>
    <w:p w14:paraId="62A16659" w14:textId="77777777" w:rsidR="00D304CF" w:rsidRPr="00D304CF" w:rsidRDefault="00D304CF" w:rsidP="00D304CF">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Besides Timber Export revenue (for which there was a ban on its export), all revenue streams showed significantly higher collection in FY2023 compared to FY2022. Revenue heads such as Domestic GST, Petroleum Excise, Mines Revenue, Parastatal Dividend, and ‘Other MDAs’ showed higher increases in collection in FY2023 at rates higher than the estimated average inflation rate for the year (45.6%).</w:t>
      </w:r>
    </w:p>
    <w:p w14:paraId="64E0576C" w14:textId="5321BFC6" w:rsidR="00D304CF" w:rsidRPr="00D304CF" w:rsidRDefault="00630F4F" w:rsidP="00D304CF">
      <w:pPr>
        <w:jc w:val="both"/>
        <w:rPr>
          <w:rFonts w:ascii="Baskerville Old Face" w:eastAsia="DengXian" w:hAnsi="Baskerville Old Face" w:cs="Arial"/>
          <w:b/>
          <w:bCs/>
          <w:color w:val="00B0F0"/>
          <w:kern w:val="0"/>
          <w:sz w:val="24"/>
          <w:szCs w:val="24"/>
          <w:lang w:val="en-GB"/>
          <w14:ligatures w14:val="none"/>
        </w:rPr>
      </w:pPr>
      <w:r w:rsidRPr="00630F4F">
        <w:rPr>
          <w:rFonts w:ascii="Baskerville Old Face" w:eastAsia="DengXian" w:hAnsi="Baskerville Old Face" w:cs="Arial"/>
          <w:b/>
          <w:bCs/>
          <w:color w:val="00B0F0"/>
          <w:kern w:val="0"/>
          <w:sz w:val="24"/>
          <w:szCs w:val="24"/>
          <w:lang w:val="en-GB"/>
          <w14:ligatures w14:val="none"/>
        </w:rPr>
        <w:t>2.1.4: Challenges of Revenue Mobilisation in FY2023</w:t>
      </w:r>
    </w:p>
    <w:p w14:paraId="0D86A414" w14:textId="77777777" w:rsidR="00D304CF" w:rsidRPr="00D304CF" w:rsidRDefault="00D304CF" w:rsidP="00D304CF">
      <w:pPr>
        <w:numPr>
          <w:ilvl w:val="0"/>
          <w:numId w:val="5"/>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Panic, associated with the June 2023 elections </w:t>
      </w:r>
      <w:r w:rsidRPr="00D304CF">
        <w:rPr>
          <w:rFonts w:ascii="Baskerville Old Face" w:eastAsia="DengXian" w:hAnsi="Baskerville Old Face" w:cs="Arial"/>
          <w:kern w:val="0"/>
          <w:sz w:val="24"/>
          <w:szCs w:val="24"/>
          <w:lang w:val="en-GB"/>
          <w14:ligatures w14:val="none"/>
        </w:rPr>
        <w:t>week and the week after, created fear in businesses to open to the public, but to also visit the banks for payments of due taxes. A total of NLe150 million was lost during this period,</w:t>
      </w:r>
    </w:p>
    <w:p w14:paraId="01513E94" w14:textId="77777777" w:rsidR="00D304CF" w:rsidRPr="00D304CF" w:rsidRDefault="00D304CF" w:rsidP="00D304CF">
      <w:pPr>
        <w:numPr>
          <w:ilvl w:val="0"/>
          <w:numId w:val="6"/>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Non- resetting of the SRL agreement </w:t>
      </w:r>
      <w:r w:rsidRPr="00D304CF">
        <w:rPr>
          <w:rFonts w:ascii="Baskerville Old Face" w:eastAsia="DengXian" w:hAnsi="Baskerville Old Face" w:cs="Arial"/>
          <w:kern w:val="0"/>
          <w:sz w:val="24"/>
          <w:szCs w:val="24"/>
          <w:lang w:val="en-GB"/>
          <w14:ligatures w14:val="none"/>
        </w:rPr>
        <w:t>– with the effect of losing the USD10 million targeted for second half of the year.</w:t>
      </w:r>
    </w:p>
    <w:p w14:paraId="24DA66CB" w14:textId="77777777" w:rsidR="00D304CF" w:rsidRPr="00D304CF" w:rsidRDefault="00D304CF" w:rsidP="00D304CF">
      <w:pPr>
        <w:numPr>
          <w:ilvl w:val="0"/>
          <w:numId w:val="7"/>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Delay in implementation of the policy provisions of the FA 2023 </w:t>
      </w:r>
      <w:r w:rsidRPr="00D304CF">
        <w:rPr>
          <w:rFonts w:ascii="Baskerville Old Face" w:eastAsia="DengXian" w:hAnsi="Baskerville Old Face" w:cs="Arial"/>
          <w:kern w:val="0"/>
          <w:sz w:val="24"/>
          <w:szCs w:val="24"/>
          <w:lang w:val="en-GB"/>
          <w14:ligatures w14:val="none"/>
        </w:rPr>
        <w:t xml:space="preserve">from which a substantial portion of the target for 2023 emanated from - due to the non-configuration of the new FA 2023 rates in the NRA systems (ASYCUDA, ITAS, ECR). </w:t>
      </w:r>
    </w:p>
    <w:p w14:paraId="69A647F8" w14:textId="77777777" w:rsidR="00D304CF" w:rsidRPr="00D304CF" w:rsidRDefault="00D304CF" w:rsidP="00D304CF">
      <w:pPr>
        <w:numPr>
          <w:ilvl w:val="0"/>
          <w:numId w:val="8"/>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Delay in liberalisation of Petroleum Excise </w:t>
      </w:r>
      <w:r w:rsidRPr="00D304CF">
        <w:rPr>
          <w:rFonts w:ascii="Baskerville Old Face" w:eastAsia="DengXian" w:hAnsi="Baskerville Old Face" w:cs="Arial"/>
          <w:kern w:val="0"/>
          <w:sz w:val="24"/>
          <w:szCs w:val="24"/>
          <w:lang w:val="en-GB"/>
          <w14:ligatures w14:val="none"/>
        </w:rPr>
        <w:t>in Q3 – leading to loss of NLe59 million in July and August 2023.</w:t>
      </w:r>
    </w:p>
    <w:p w14:paraId="2B23F2B6" w14:textId="77777777" w:rsidR="00D304CF" w:rsidRPr="00D304CF" w:rsidRDefault="00D304CF" w:rsidP="00D304CF">
      <w:pPr>
        <w:numPr>
          <w:ilvl w:val="0"/>
          <w:numId w:val="9"/>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Delay in implementation of the Safe habour scheme </w:t>
      </w:r>
      <w:r w:rsidRPr="00D304CF">
        <w:rPr>
          <w:rFonts w:ascii="Baskerville Old Face" w:eastAsia="DengXian" w:hAnsi="Baskerville Old Face" w:cs="Arial"/>
          <w:kern w:val="0"/>
          <w:sz w:val="24"/>
          <w:szCs w:val="24"/>
          <w:lang w:val="en-GB"/>
          <w14:ligatures w14:val="none"/>
        </w:rPr>
        <w:t>as well as N-Soft and SICPA projects which were expected to bring in significant revenues in 2023 from mineral and GST.</w:t>
      </w:r>
    </w:p>
    <w:p w14:paraId="1D230AC8" w14:textId="77777777" w:rsidR="00D304CF" w:rsidRPr="00D304CF" w:rsidRDefault="00D304CF" w:rsidP="00D304CF">
      <w:pPr>
        <w:numPr>
          <w:ilvl w:val="0"/>
          <w:numId w:val="10"/>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lastRenderedPageBreak/>
        <w:t xml:space="preserve">Non-Compliance of GST registered businesses in the use of ECR machines </w:t>
      </w:r>
      <w:r w:rsidRPr="00D304CF">
        <w:rPr>
          <w:rFonts w:ascii="Baskerville Old Face" w:eastAsia="DengXian" w:hAnsi="Baskerville Old Face" w:cs="Arial"/>
          <w:kern w:val="0"/>
          <w:sz w:val="24"/>
          <w:szCs w:val="24"/>
          <w:lang w:val="en-GB"/>
          <w14:ligatures w14:val="none"/>
        </w:rPr>
        <w:t xml:space="preserve">for GST collection </w:t>
      </w:r>
    </w:p>
    <w:p w14:paraId="64616C40" w14:textId="77777777" w:rsidR="00D304CF" w:rsidRPr="00D304CF" w:rsidRDefault="00D304CF" w:rsidP="00D304CF">
      <w:pPr>
        <w:numPr>
          <w:ilvl w:val="0"/>
          <w:numId w:val="11"/>
        </w:numPr>
        <w:tabs>
          <w:tab w:val="left" w:pos="720"/>
        </w:tabs>
        <w:contextualSpacing/>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b/>
          <w:bCs/>
          <w:kern w:val="0"/>
          <w:sz w:val="24"/>
          <w:szCs w:val="24"/>
          <w:lang w:val="en-GB"/>
          <w14:ligatures w14:val="none"/>
        </w:rPr>
        <w:t xml:space="preserve">Non-compliance in payment of GST from EDSA </w:t>
      </w:r>
      <w:r w:rsidRPr="00D304CF">
        <w:rPr>
          <w:rFonts w:ascii="Baskerville Old Face" w:eastAsia="DengXian" w:hAnsi="Baskerville Old Face" w:cs="Arial"/>
          <w:kern w:val="0"/>
          <w:sz w:val="24"/>
          <w:szCs w:val="24"/>
          <w:lang w:val="en-GB"/>
          <w14:ligatures w14:val="none"/>
        </w:rPr>
        <w:t>– NLe79.1 million was accumulated as arrears in 2023.</w:t>
      </w:r>
    </w:p>
    <w:p w14:paraId="0882CC0A" w14:textId="77777777" w:rsidR="00D304CF" w:rsidRPr="00D304CF" w:rsidRDefault="00D304CF" w:rsidP="00D304CF">
      <w:pPr>
        <w:ind w:left="720"/>
        <w:contextualSpacing/>
        <w:rPr>
          <w:rFonts w:ascii="Baskerville Old Face" w:eastAsia="DengXian" w:hAnsi="Baskerville Old Face" w:cs="Arial"/>
          <w:kern w:val="0"/>
          <w:sz w:val="24"/>
          <w:szCs w:val="24"/>
          <w:lang w:val="en-GB"/>
          <w14:ligatures w14:val="none"/>
        </w:rPr>
      </w:pPr>
    </w:p>
    <w:p w14:paraId="7F555986" w14:textId="43C9D9A4" w:rsidR="000C36EA" w:rsidRDefault="000C36EA" w:rsidP="000C36EA">
      <w:pPr>
        <w:pStyle w:val="Heading3"/>
        <w:rPr>
          <w:i w:val="0"/>
          <w:iCs/>
          <w:color w:val="00B0F0"/>
        </w:rPr>
      </w:pPr>
      <w:bookmarkStart w:id="17" w:name="_Toc198205662"/>
      <w:r>
        <w:rPr>
          <w:i w:val="0"/>
          <w:iCs/>
          <w:color w:val="00B0F0"/>
        </w:rPr>
        <w:t xml:space="preserve">2.1.4 </w:t>
      </w:r>
      <w:r w:rsidRPr="000C36EA">
        <w:rPr>
          <w:i w:val="0"/>
          <w:iCs/>
          <w:color w:val="00B0F0"/>
        </w:rPr>
        <w:t>Historic Revenue Performance (2019 – 2023)</w:t>
      </w:r>
      <w:bookmarkEnd w:id="17"/>
    </w:p>
    <w:p w14:paraId="5DADF33F" w14:textId="77777777" w:rsidR="000C36EA" w:rsidRPr="000C36EA" w:rsidRDefault="000C36EA" w:rsidP="000C36EA"/>
    <w:p w14:paraId="08585D39" w14:textId="77777777" w:rsidR="000C36EA" w:rsidRDefault="000C36EA" w:rsidP="000C36EA">
      <w:pPr>
        <w:spacing w:line="360" w:lineRule="auto"/>
        <w:jc w:val="both"/>
        <w:rPr>
          <w:rFonts w:ascii="Baskerville Old Face" w:hAnsi="Baskerville Old Face" w:cs="Times New Roman"/>
          <w:sz w:val="24"/>
          <w:szCs w:val="24"/>
        </w:rPr>
      </w:pPr>
      <w:r w:rsidRPr="008D53FB">
        <w:rPr>
          <w:rFonts w:ascii="Baskerville Old Face" w:hAnsi="Baskerville Old Face" w:cs="Times New Roman"/>
          <w:sz w:val="24"/>
          <w:szCs w:val="24"/>
        </w:rPr>
        <w:t xml:space="preserve">Figure </w:t>
      </w:r>
      <w:r>
        <w:rPr>
          <w:rFonts w:ascii="Baskerville Old Face" w:hAnsi="Baskerville Old Face" w:cs="Times New Roman"/>
          <w:sz w:val="24"/>
          <w:szCs w:val="24"/>
        </w:rPr>
        <w:t>5</w:t>
      </w:r>
      <w:r w:rsidRPr="00D136DB">
        <w:rPr>
          <w:rFonts w:ascii="Baskerville Old Face" w:hAnsi="Baskerville Old Face" w:cs="Times New Roman"/>
          <w:sz w:val="24"/>
          <w:szCs w:val="24"/>
        </w:rPr>
        <w:t xml:space="preserve"> illustrates the trajectory of domestic revenue collection from 2019 to 2023, presented in nominal terms. Notably, there has been a consistent upward trend in total domestic revenue since 2019. Except for 2020 and 2022, each subsequent year witnessed an increase of more than one billion new Leones, with the most significant rise occurring in 2023, registering an increment of close to three billion new Leones, representing approximately a 4</w:t>
      </w:r>
      <w:r>
        <w:rPr>
          <w:rFonts w:ascii="Baskerville Old Face" w:hAnsi="Baskerville Old Face" w:cs="Times New Roman"/>
          <w:sz w:val="24"/>
          <w:szCs w:val="24"/>
        </w:rPr>
        <w:t>0</w:t>
      </w:r>
      <w:r w:rsidRPr="00D136DB">
        <w:rPr>
          <w:rFonts w:ascii="Baskerville Old Face" w:hAnsi="Baskerville Old Face" w:cs="Times New Roman"/>
          <w:sz w:val="24"/>
          <w:szCs w:val="24"/>
        </w:rPr>
        <w:t>.</w:t>
      </w:r>
      <w:r>
        <w:rPr>
          <w:rFonts w:ascii="Baskerville Old Face" w:hAnsi="Baskerville Old Face" w:cs="Times New Roman"/>
          <w:sz w:val="24"/>
          <w:szCs w:val="24"/>
        </w:rPr>
        <w:t>6</w:t>
      </w:r>
      <w:r w:rsidRPr="00D136DB">
        <w:rPr>
          <w:rFonts w:ascii="Baskerville Old Face" w:hAnsi="Baskerville Old Face" w:cs="Times New Roman"/>
          <w:sz w:val="24"/>
          <w:szCs w:val="24"/>
        </w:rPr>
        <w:t xml:space="preserve">% increase. </w:t>
      </w:r>
      <w:r w:rsidRPr="00E266B8">
        <w:rPr>
          <w:rFonts w:ascii="Baskerville Old Face" w:hAnsi="Baskerville Old Face" w:cs="Times New Roman"/>
          <w:sz w:val="24"/>
          <w:szCs w:val="24"/>
        </w:rPr>
        <w:t xml:space="preserve">The slight increase in total domestic revenue </w:t>
      </w:r>
      <w:r>
        <w:rPr>
          <w:rFonts w:ascii="Baskerville Old Face" w:hAnsi="Baskerville Old Face" w:cs="Times New Roman"/>
          <w:sz w:val="24"/>
          <w:szCs w:val="24"/>
        </w:rPr>
        <w:t>in</w:t>
      </w:r>
      <w:r w:rsidRPr="00E266B8">
        <w:rPr>
          <w:rFonts w:ascii="Baskerville Old Face" w:hAnsi="Baskerville Old Face" w:cs="Times New Roman"/>
          <w:sz w:val="24"/>
          <w:szCs w:val="24"/>
        </w:rPr>
        <w:t xml:space="preserve"> 2020 and 2022 can be attributed to the adverse impact of the Covid-19 pandemic and the conflict between Russia and Ukraine, respectively. </w:t>
      </w:r>
    </w:p>
    <w:p w14:paraId="40FD0AC8" w14:textId="77777777" w:rsidR="000C36EA" w:rsidRDefault="000C36EA" w:rsidP="000C36EA">
      <w:pPr>
        <w:spacing w:line="360" w:lineRule="auto"/>
        <w:jc w:val="both"/>
        <w:rPr>
          <w:rFonts w:ascii="Baskerville Old Face" w:hAnsi="Baskerville Old Face" w:cs="Times New Roman"/>
          <w:b/>
          <w:bCs/>
          <w:i/>
          <w:iCs/>
          <w:sz w:val="24"/>
          <w:szCs w:val="24"/>
        </w:rPr>
      </w:pPr>
      <w:bookmarkStart w:id="18" w:name="Figure5"/>
      <w:r w:rsidRPr="00AB0288">
        <w:rPr>
          <w:rFonts w:ascii="Baskerville Old Face" w:hAnsi="Baskerville Old Face" w:cs="Times New Roman"/>
          <w:b/>
          <w:bCs/>
          <w:i/>
          <w:iCs/>
          <w:sz w:val="24"/>
          <w:szCs w:val="24"/>
        </w:rPr>
        <w:t xml:space="preserve">Figure </w:t>
      </w:r>
      <w:r>
        <w:rPr>
          <w:rFonts w:ascii="Baskerville Old Face" w:hAnsi="Baskerville Old Face" w:cs="Times New Roman"/>
          <w:b/>
          <w:bCs/>
          <w:i/>
          <w:iCs/>
          <w:sz w:val="24"/>
          <w:szCs w:val="24"/>
        </w:rPr>
        <w:t>5:</w:t>
      </w:r>
      <w:r w:rsidRPr="00640327">
        <w:rPr>
          <w:rFonts w:ascii="Baskerville Old Face" w:hAnsi="Baskerville Old Face" w:cs="Times New Roman"/>
          <w:b/>
          <w:bCs/>
          <w:i/>
          <w:iCs/>
          <w:sz w:val="24"/>
          <w:szCs w:val="24"/>
        </w:rPr>
        <w:t xml:space="preserve"> Revenue Performance in the Past Five Years </w:t>
      </w:r>
    </w:p>
    <w:bookmarkEnd w:id="18"/>
    <w:p w14:paraId="4693618A" w14:textId="77777777" w:rsidR="000C36EA" w:rsidRPr="00A0626D" w:rsidRDefault="000C36EA" w:rsidP="000C36EA">
      <w:pPr>
        <w:spacing w:line="360" w:lineRule="auto"/>
        <w:jc w:val="both"/>
        <w:rPr>
          <w:rFonts w:ascii="Baskerville Old Face" w:hAnsi="Baskerville Old Face" w:cs="Times New Roman"/>
          <w:b/>
          <w:bCs/>
          <w:i/>
          <w:iCs/>
          <w:sz w:val="24"/>
          <w:szCs w:val="24"/>
        </w:rPr>
      </w:pPr>
      <w:r>
        <w:rPr>
          <w:noProof/>
        </w:rPr>
        <w:drawing>
          <wp:inline distT="0" distB="0" distL="0" distR="0" wp14:anchorId="06C72141" wp14:editId="205376C8">
            <wp:extent cx="5943600" cy="3573145"/>
            <wp:effectExtent l="0" t="0" r="0" b="8255"/>
            <wp:docPr id="1325937083" name="Chart 1">
              <a:extLst xmlns:a="http://schemas.openxmlformats.org/drawingml/2006/main">
                <a:ext uri="{FF2B5EF4-FFF2-40B4-BE49-F238E27FC236}">
                  <a16:creationId xmlns:a16="http://schemas.microsoft.com/office/drawing/2014/main" id="{489F6E4A-ADA4-849F-4A3E-CAADB7514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71BF0">
        <w:rPr>
          <w:rFonts w:ascii="Baskerville Old Face" w:hAnsi="Baskerville Old Face" w:cs="Times New Roman"/>
          <w:i/>
          <w:iCs/>
          <w:sz w:val="18"/>
          <w:szCs w:val="18"/>
        </w:rPr>
        <w:t>Source: MRP Department</w:t>
      </w:r>
    </w:p>
    <w:p w14:paraId="1F11BE88" w14:textId="77777777" w:rsidR="000C36EA" w:rsidRDefault="000C36EA" w:rsidP="000C36EA">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lastRenderedPageBreak/>
        <w:t>Further analysis</w:t>
      </w:r>
      <w:r w:rsidRPr="00D136DB">
        <w:rPr>
          <w:rFonts w:ascii="Baskerville Old Face" w:hAnsi="Baskerville Old Face" w:cs="Times New Roman"/>
          <w:sz w:val="24"/>
          <w:szCs w:val="24"/>
        </w:rPr>
        <w:t xml:space="preserve"> of </w:t>
      </w:r>
      <w:r w:rsidRPr="00C042BE">
        <w:rPr>
          <w:rFonts w:ascii="Baskerville Old Face" w:hAnsi="Baskerville Old Face" w:cs="Times New Roman"/>
          <w:sz w:val="24"/>
          <w:szCs w:val="24"/>
        </w:rPr>
        <w:t xml:space="preserve">Figure </w:t>
      </w:r>
      <w:r>
        <w:rPr>
          <w:rFonts w:ascii="Baskerville Old Face" w:hAnsi="Baskerville Old Face" w:cs="Times New Roman"/>
          <w:sz w:val="24"/>
          <w:szCs w:val="24"/>
        </w:rPr>
        <w:t>5</w:t>
      </w:r>
      <w:r w:rsidRPr="00D136DB">
        <w:rPr>
          <w:rFonts w:ascii="Baskerville Old Face" w:hAnsi="Baskerville Old Face" w:cs="Times New Roman"/>
          <w:sz w:val="24"/>
          <w:szCs w:val="24"/>
        </w:rPr>
        <w:t xml:space="preserve"> reveals that the Domestic Tax Department has consistently emerged as the highest contributor to total domestic revenue collection, consistently accounting for over half of the total collection, and surpassing 60.0% in 2022 and 2023. Notably, the Non-</w:t>
      </w:r>
      <w:r>
        <w:rPr>
          <w:rFonts w:ascii="Baskerville Old Face" w:hAnsi="Baskerville Old Face" w:cs="Times New Roman"/>
          <w:sz w:val="24"/>
          <w:szCs w:val="24"/>
        </w:rPr>
        <w:t>t</w:t>
      </w:r>
      <w:r w:rsidRPr="00D136DB">
        <w:rPr>
          <w:rFonts w:ascii="Baskerville Old Face" w:hAnsi="Baskerville Old Face" w:cs="Times New Roman"/>
          <w:sz w:val="24"/>
          <w:szCs w:val="24"/>
        </w:rPr>
        <w:t xml:space="preserve">ax Revenue Department surpassed the Customs and </w:t>
      </w:r>
      <w:r>
        <w:rPr>
          <w:rFonts w:ascii="Baskerville Old Face" w:hAnsi="Baskerville Old Face" w:cs="Times New Roman"/>
          <w:sz w:val="24"/>
          <w:szCs w:val="24"/>
        </w:rPr>
        <w:t xml:space="preserve">Services </w:t>
      </w:r>
      <w:r w:rsidRPr="00D136DB">
        <w:rPr>
          <w:rFonts w:ascii="Baskerville Old Face" w:hAnsi="Baskerville Old Face" w:cs="Times New Roman"/>
          <w:sz w:val="24"/>
          <w:szCs w:val="24"/>
        </w:rPr>
        <w:t>Department as the second-highest contributor to total domestic revenue between 2021 and 2023, accounting for over one-fifth of the total domestic revenue.</w:t>
      </w:r>
      <w:r w:rsidRPr="00350455">
        <w:t xml:space="preserve"> </w:t>
      </w:r>
      <w:r>
        <w:rPr>
          <w:rFonts w:ascii="Baskerville Old Face" w:hAnsi="Baskerville Old Face" w:cs="Times New Roman"/>
          <w:sz w:val="24"/>
          <w:szCs w:val="24"/>
        </w:rPr>
        <w:t>In addition</w:t>
      </w:r>
      <w:r w:rsidRPr="00350455">
        <w:rPr>
          <w:rFonts w:ascii="Baskerville Old Face" w:hAnsi="Baskerville Old Face" w:cs="Times New Roman"/>
          <w:sz w:val="24"/>
          <w:szCs w:val="24"/>
        </w:rPr>
        <w:t>, there was a decrease in both CSD revenue and non-tax revenue in 2022, with CSD revenue also experiencing a decline in 2020. However, DTD revenue has shown a consistent increase since 2019.</w:t>
      </w:r>
    </w:p>
    <w:p w14:paraId="2AADDEE4" w14:textId="77777777" w:rsidR="000C36EA" w:rsidRDefault="000C36EA" w:rsidP="008C5C22">
      <w:pPr>
        <w:pStyle w:val="Heading3"/>
      </w:pPr>
    </w:p>
    <w:p w14:paraId="6CBEEEEA" w14:textId="5401EA9F" w:rsidR="00453F41" w:rsidRPr="000C36EA" w:rsidRDefault="000C36EA" w:rsidP="008C5C22">
      <w:pPr>
        <w:pStyle w:val="Heading3"/>
        <w:rPr>
          <w:i w:val="0"/>
          <w:iCs/>
          <w:color w:val="002060"/>
          <w:sz w:val="28"/>
          <w:szCs w:val="28"/>
        </w:rPr>
      </w:pPr>
      <w:bookmarkStart w:id="19" w:name="_Toc198205663"/>
      <w:r w:rsidRPr="000C36EA">
        <w:rPr>
          <w:i w:val="0"/>
          <w:iCs/>
          <w:color w:val="002060"/>
          <w:sz w:val="28"/>
          <w:szCs w:val="28"/>
        </w:rPr>
        <w:t>2.</w:t>
      </w:r>
      <w:r w:rsidR="002E44F9">
        <w:rPr>
          <w:i w:val="0"/>
          <w:iCs/>
          <w:color w:val="002060"/>
          <w:sz w:val="28"/>
          <w:szCs w:val="28"/>
        </w:rPr>
        <w:t>2</w:t>
      </w:r>
      <w:r w:rsidRPr="000C36EA">
        <w:rPr>
          <w:i w:val="0"/>
          <w:iCs/>
          <w:color w:val="002060"/>
          <w:sz w:val="28"/>
          <w:szCs w:val="28"/>
        </w:rPr>
        <w:t>: COMPARATIVE DUTY WAIVER PERFORMANCE, 2023 AND 2022</w:t>
      </w:r>
      <w:bookmarkEnd w:id="19"/>
    </w:p>
    <w:p w14:paraId="4E676DBA" w14:textId="77777777" w:rsidR="00C9452D" w:rsidRDefault="00C9452D" w:rsidP="008C786C">
      <w:pPr>
        <w:spacing w:line="360" w:lineRule="auto"/>
        <w:jc w:val="both"/>
        <w:rPr>
          <w:rFonts w:ascii="Baskerville Old Face" w:hAnsi="Baskerville Old Face" w:cs="Times New Roman"/>
          <w:sz w:val="24"/>
          <w:szCs w:val="24"/>
        </w:rPr>
      </w:pPr>
    </w:p>
    <w:p w14:paraId="453E834C" w14:textId="47BFE7C1" w:rsidR="00B90B69" w:rsidRDefault="00C745E3" w:rsidP="008C786C">
      <w:pPr>
        <w:spacing w:line="360" w:lineRule="auto"/>
        <w:jc w:val="both"/>
        <w:rPr>
          <w:rFonts w:ascii="Baskerville Old Face" w:hAnsi="Baskerville Old Face" w:cs="Times New Roman"/>
          <w:sz w:val="24"/>
          <w:szCs w:val="24"/>
        </w:rPr>
      </w:pPr>
      <w:r w:rsidRPr="00C745E3">
        <w:rPr>
          <w:rFonts w:ascii="Baskerville Old Face" w:hAnsi="Baskerville Old Face" w:cs="Times New Roman"/>
          <w:sz w:val="24"/>
          <w:szCs w:val="24"/>
        </w:rPr>
        <w:t>On the amount of tax/duty waived, total duty waiver granted in 2023</w:t>
      </w:r>
      <w:r w:rsidR="00B84E78">
        <w:rPr>
          <w:rFonts w:ascii="Baskerville Old Face" w:hAnsi="Baskerville Old Face" w:cs="Times New Roman"/>
          <w:sz w:val="24"/>
          <w:szCs w:val="24"/>
        </w:rPr>
        <w:t xml:space="preserve"> increased by </w:t>
      </w:r>
      <w:r w:rsidR="00841C38">
        <w:rPr>
          <w:rFonts w:ascii="Baskerville Old Face" w:hAnsi="Baskerville Old Face" w:cs="Times New Roman"/>
          <w:sz w:val="24"/>
          <w:szCs w:val="24"/>
        </w:rPr>
        <w:t>50</w:t>
      </w:r>
      <w:r w:rsidR="00B84E78">
        <w:rPr>
          <w:rFonts w:ascii="Baskerville Old Face" w:hAnsi="Baskerville Old Face" w:cs="Times New Roman"/>
          <w:sz w:val="24"/>
          <w:szCs w:val="24"/>
        </w:rPr>
        <w:t>.</w:t>
      </w:r>
      <w:r w:rsidR="00841C38">
        <w:rPr>
          <w:rFonts w:ascii="Baskerville Old Face" w:hAnsi="Baskerville Old Face" w:cs="Times New Roman"/>
          <w:sz w:val="24"/>
          <w:szCs w:val="24"/>
        </w:rPr>
        <w:t>0</w:t>
      </w:r>
      <w:r w:rsidR="00B84E78">
        <w:rPr>
          <w:rFonts w:ascii="Baskerville Old Face" w:hAnsi="Baskerville Old Face" w:cs="Times New Roman"/>
          <w:sz w:val="24"/>
          <w:szCs w:val="24"/>
        </w:rPr>
        <w:t>% from NLe 70</w:t>
      </w:r>
      <w:r w:rsidR="00EC2155">
        <w:rPr>
          <w:rFonts w:ascii="Baskerville Old Face" w:hAnsi="Baskerville Old Face" w:cs="Times New Roman"/>
          <w:sz w:val="24"/>
          <w:szCs w:val="24"/>
        </w:rPr>
        <w:t>4</w:t>
      </w:r>
      <w:r w:rsidR="00B84E78">
        <w:rPr>
          <w:rFonts w:ascii="Baskerville Old Face" w:hAnsi="Baskerville Old Face" w:cs="Times New Roman"/>
          <w:sz w:val="24"/>
          <w:szCs w:val="24"/>
        </w:rPr>
        <w:t xml:space="preserve"> </w:t>
      </w:r>
      <w:r w:rsidR="00C84128">
        <w:rPr>
          <w:rFonts w:ascii="Baskerville Old Face" w:hAnsi="Baskerville Old Face" w:cs="Times New Roman"/>
          <w:sz w:val="24"/>
          <w:szCs w:val="24"/>
        </w:rPr>
        <w:t>m</w:t>
      </w:r>
      <w:r w:rsidR="00B90B69">
        <w:rPr>
          <w:rFonts w:ascii="Baskerville Old Face" w:hAnsi="Baskerville Old Face" w:cs="Times New Roman"/>
          <w:sz w:val="24"/>
          <w:szCs w:val="24"/>
        </w:rPr>
        <w:t>illion</w:t>
      </w:r>
      <w:r w:rsidR="00B84E78">
        <w:rPr>
          <w:rFonts w:ascii="Baskerville Old Face" w:hAnsi="Baskerville Old Face" w:cs="Times New Roman"/>
          <w:sz w:val="24"/>
          <w:szCs w:val="24"/>
        </w:rPr>
        <w:t xml:space="preserve"> in 2022 to NLe 1</w:t>
      </w:r>
      <w:r w:rsidR="00EC2155">
        <w:rPr>
          <w:rFonts w:ascii="Baskerville Old Face" w:hAnsi="Baskerville Old Face" w:cs="Times New Roman"/>
          <w:sz w:val="24"/>
          <w:szCs w:val="24"/>
        </w:rPr>
        <w:t>.</w:t>
      </w:r>
      <w:r w:rsidR="00B84E78">
        <w:rPr>
          <w:rFonts w:ascii="Baskerville Old Face" w:hAnsi="Baskerville Old Face" w:cs="Times New Roman"/>
          <w:sz w:val="24"/>
          <w:szCs w:val="24"/>
        </w:rPr>
        <w:t xml:space="preserve">055 </w:t>
      </w:r>
      <w:r w:rsidR="00C84128">
        <w:rPr>
          <w:rFonts w:ascii="Baskerville Old Face" w:hAnsi="Baskerville Old Face" w:cs="Times New Roman"/>
          <w:sz w:val="24"/>
          <w:szCs w:val="24"/>
        </w:rPr>
        <w:t>bi</w:t>
      </w:r>
      <w:r w:rsidR="00B84E78">
        <w:rPr>
          <w:rFonts w:ascii="Baskerville Old Face" w:hAnsi="Baskerville Old Face" w:cs="Times New Roman"/>
          <w:sz w:val="24"/>
          <w:szCs w:val="24"/>
        </w:rPr>
        <w:t xml:space="preserve">llion in 2023 </w:t>
      </w:r>
      <w:r w:rsidRPr="00C745E3">
        <w:rPr>
          <w:rFonts w:ascii="Baskerville Old Face" w:hAnsi="Baskerville Old Face" w:cs="Times New Roman"/>
          <w:sz w:val="24"/>
          <w:szCs w:val="24"/>
        </w:rPr>
        <w:t xml:space="preserve">as shown in </w:t>
      </w:r>
      <w:r w:rsidRPr="00841C38">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6</w:t>
      </w:r>
      <w:r w:rsidRPr="00C745E3">
        <w:rPr>
          <w:rFonts w:ascii="Baskerville Old Face" w:hAnsi="Baskerville Old Face" w:cs="Times New Roman"/>
          <w:sz w:val="24"/>
          <w:szCs w:val="24"/>
        </w:rPr>
        <w:t>.</w:t>
      </w:r>
      <w:r w:rsidR="002162E7" w:rsidRPr="002162E7">
        <w:t xml:space="preserve"> </w:t>
      </w:r>
      <w:r w:rsidR="00B90B69" w:rsidRPr="00B90B69">
        <w:rPr>
          <w:rFonts w:ascii="Baskerville Old Face" w:hAnsi="Baskerville Old Face" w:cs="Times New Roman"/>
          <w:sz w:val="24"/>
          <w:szCs w:val="24"/>
        </w:rPr>
        <w:t xml:space="preserve">This surge in duty waivers carries significant implications for government revenue, representing a potential loss that could have been allocated to more productive projects. Had these waivers not been granted, </w:t>
      </w:r>
      <w:r w:rsidR="00375A9D">
        <w:rPr>
          <w:rFonts w:ascii="Baskerville Old Face" w:hAnsi="Baskerville Old Face" w:cs="Times New Roman"/>
          <w:sz w:val="24"/>
          <w:szCs w:val="24"/>
        </w:rPr>
        <w:t>total domestic</w:t>
      </w:r>
      <w:r w:rsidR="00B90B69" w:rsidRPr="00B90B69">
        <w:rPr>
          <w:rFonts w:ascii="Baskerville Old Face" w:hAnsi="Baskerville Old Face" w:cs="Times New Roman"/>
          <w:sz w:val="24"/>
          <w:szCs w:val="24"/>
        </w:rPr>
        <w:t xml:space="preserve"> revenue might have demonstrated higher performance levels than what was reported for 2023.</w:t>
      </w:r>
    </w:p>
    <w:p w14:paraId="6C89A39A" w14:textId="2589111F" w:rsidR="00A85D13" w:rsidRDefault="00A85D13" w:rsidP="008C786C">
      <w:pPr>
        <w:spacing w:line="360" w:lineRule="auto"/>
        <w:jc w:val="both"/>
        <w:rPr>
          <w:rFonts w:ascii="Baskerville Old Face" w:hAnsi="Baskerville Old Face" w:cs="Times New Roman"/>
          <w:sz w:val="24"/>
          <w:szCs w:val="24"/>
        </w:rPr>
      </w:pPr>
      <w:r w:rsidRPr="00A85D13">
        <w:rPr>
          <w:rFonts w:ascii="Baskerville Old Face" w:hAnsi="Baskerville Old Face" w:cs="Times New Roman"/>
          <w:sz w:val="24"/>
          <w:szCs w:val="24"/>
        </w:rPr>
        <w:t>The primary contributors to the 2023 total duty waiver granted were waivers extended to Government MDAs, as well as the private sector, with Public International Organi</w:t>
      </w:r>
      <w:r w:rsidR="008125A3">
        <w:rPr>
          <w:rFonts w:ascii="Baskerville Old Face" w:hAnsi="Baskerville Old Face" w:cs="Times New Roman"/>
          <w:sz w:val="24"/>
          <w:szCs w:val="24"/>
        </w:rPr>
        <w:t>s</w:t>
      </w:r>
      <w:r w:rsidRPr="00A85D13">
        <w:rPr>
          <w:rFonts w:ascii="Baskerville Old Face" w:hAnsi="Baskerville Old Face" w:cs="Times New Roman"/>
          <w:sz w:val="24"/>
          <w:szCs w:val="24"/>
        </w:rPr>
        <w:t>ations (PIOs) also featuring prominently. Duty waivers granted to government MDAs saw the highest amount waived in 2023, totaling NLe 41</w:t>
      </w:r>
      <w:r w:rsidR="00EC2155">
        <w:rPr>
          <w:rFonts w:ascii="Baskerville Old Face" w:hAnsi="Baskerville Old Face" w:cs="Times New Roman"/>
          <w:sz w:val="24"/>
          <w:szCs w:val="24"/>
        </w:rPr>
        <w:t>5</w:t>
      </w:r>
      <w:r w:rsidRPr="00A85D13">
        <w:rPr>
          <w:rFonts w:ascii="Baskerville Old Face" w:hAnsi="Baskerville Old Face" w:cs="Times New Roman"/>
          <w:sz w:val="24"/>
          <w:szCs w:val="24"/>
        </w:rPr>
        <w:t xml:space="preserve"> million, reflecting an increase of 19.</w:t>
      </w:r>
      <w:r w:rsidR="000E5C01">
        <w:rPr>
          <w:rFonts w:ascii="Baskerville Old Face" w:hAnsi="Baskerville Old Face" w:cs="Times New Roman"/>
          <w:sz w:val="24"/>
          <w:szCs w:val="24"/>
        </w:rPr>
        <w:t>3</w:t>
      </w:r>
      <w:r w:rsidRPr="00A85D13">
        <w:rPr>
          <w:rFonts w:ascii="Baskerville Old Face" w:hAnsi="Baskerville Old Face" w:cs="Times New Roman"/>
          <w:sz w:val="24"/>
          <w:szCs w:val="24"/>
        </w:rPr>
        <w:t>% over the previous year. Waivers extended to the private sector constituted the second highest amount, witnessing a substantial increase from NLe 18</w:t>
      </w:r>
      <w:r w:rsidR="00EC2155">
        <w:rPr>
          <w:rFonts w:ascii="Baskerville Old Face" w:hAnsi="Baskerville Old Face" w:cs="Times New Roman"/>
          <w:sz w:val="24"/>
          <w:szCs w:val="24"/>
        </w:rPr>
        <w:t>9</w:t>
      </w:r>
      <w:r w:rsidRPr="00A85D13">
        <w:rPr>
          <w:rFonts w:ascii="Baskerville Old Face" w:hAnsi="Baskerville Old Face" w:cs="Times New Roman"/>
          <w:sz w:val="24"/>
          <w:szCs w:val="24"/>
        </w:rPr>
        <w:t xml:space="preserve"> million in 2022 to NLe 404 million in 2023, marking a remarkable rise of 114.0%. Meanwhile, waivers granted to </w:t>
      </w:r>
      <w:r w:rsidR="005D3703">
        <w:rPr>
          <w:rFonts w:ascii="Baskerville Old Face" w:hAnsi="Baskerville Old Face" w:cs="Times New Roman"/>
          <w:sz w:val="24"/>
          <w:szCs w:val="24"/>
        </w:rPr>
        <w:t>PIOs</w:t>
      </w:r>
      <w:r w:rsidRPr="00A85D13">
        <w:rPr>
          <w:rFonts w:ascii="Baskerville Old Face" w:hAnsi="Baskerville Old Face" w:cs="Times New Roman"/>
          <w:sz w:val="24"/>
          <w:szCs w:val="24"/>
        </w:rPr>
        <w:t xml:space="preserve"> experienced the most significant increase, soaring from NLe 4</w:t>
      </w:r>
      <w:r w:rsidR="00EC2155">
        <w:rPr>
          <w:rFonts w:ascii="Baskerville Old Face" w:hAnsi="Baskerville Old Face" w:cs="Times New Roman"/>
          <w:sz w:val="24"/>
          <w:szCs w:val="24"/>
        </w:rPr>
        <w:t>5</w:t>
      </w:r>
      <w:r w:rsidRPr="00A85D13">
        <w:rPr>
          <w:rFonts w:ascii="Baskerville Old Face" w:hAnsi="Baskerville Old Face" w:cs="Times New Roman"/>
          <w:sz w:val="24"/>
          <w:szCs w:val="24"/>
        </w:rPr>
        <w:t xml:space="preserve"> million in 2022 to NLe 108 million in 2023, reflecting a surge of 142.</w:t>
      </w:r>
      <w:r w:rsidR="000E5C01">
        <w:rPr>
          <w:rFonts w:ascii="Baskerville Old Face" w:hAnsi="Baskerville Old Face" w:cs="Times New Roman"/>
          <w:sz w:val="24"/>
          <w:szCs w:val="24"/>
        </w:rPr>
        <w:t>2</w:t>
      </w:r>
      <w:r w:rsidRPr="00A85D13">
        <w:rPr>
          <w:rFonts w:ascii="Baskerville Old Face" w:hAnsi="Baskerville Old Face" w:cs="Times New Roman"/>
          <w:sz w:val="24"/>
          <w:szCs w:val="24"/>
        </w:rPr>
        <w:t>%.</w:t>
      </w:r>
      <w:r w:rsidRPr="00A85D13">
        <w:t xml:space="preserve"> </w:t>
      </w:r>
      <w:r w:rsidRPr="00A85D13">
        <w:rPr>
          <w:rFonts w:ascii="Baskerville Old Face" w:hAnsi="Baskerville Old Face" w:cs="Times New Roman"/>
          <w:sz w:val="24"/>
          <w:szCs w:val="24"/>
        </w:rPr>
        <w:t xml:space="preserve">Only the Mining and </w:t>
      </w:r>
      <w:r w:rsidR="0009032E">
        <w:rPr>
          <w:rFonts w:ascii="Baskerville Old Face" w:hAnsi="Baskerville Old Face" w:cs="Times New Roman"/>
          <w:sz w:val="24"/>
          <w:szCs w:val="24"/>
        </w:rPr>
        <w:t>Non-governmental Organisation (</w:t>
      </w:r>
      <w:r w:rsidRPr="00A85D13">
        <w:rPr>
          <w:rFonts w:ascii="Baskerville Old Face" w:hAnsi="Baskerville Old Face" w:cs="Times New Roman"/>
          <w:sz w:val="24"/>
          <w:szCs w:val="24"/>
        </w:rPr>
        <w:t>NGO</w:t>
      </w:r>
      <w:r w:rsidR="0009032E">
        <w:rPr>
          <w:rFonts w:ascii="Baskerville Old Face" w:hAnsi="Baskerville Old Face" w:cs="Times New Roman"/>
          <w:sz w:val="24"/>
          <w:szCs w:val="24"/>
        </w:rPr>
        <w:t>)</w:t>
      </w:r>
      <w:r w:rsidRPr="00A85D13">
        <w:rPr>
          <w:rFonts w:ascii="Baskerville Old Face" w:hAnsi="Baskerville Old Face" w:cs="Times New Roman"/>
          <w:sz w:val="24"/>
          <w:szCs w:val="24"/>
        </w:rPr>
        <w:t xml:space="preserve"> sectors witnessed a decrease in waivers, declining by 20.</w:t>
      </w:r>
      <w:r w:rsidR="000E5C01">
        <w:rPr>
          <w:rFonts w:ascii="Baskerville Old Face" w:hAnsi="Baskerville Old Face" w:cs="Times New Roman"/>
          <w:sz w:val="24"/>
          <w:szCs w:val="24"/>
        </w:rPr>
        <w:t>8</w:t>
      </w:r>
      <w:r w:rsidRPr="00A85D13">
        <w:rPr>
          <w:rFonts w:ascii="Baskerville Old Face" w:hAnsi="Baskerville Old Face" w:cs="Times New Roman"/>
          <w:sz w:val="24"/>
          <w:szCs w:val="24"/>
        </w:rPr>
        <w:t>% and 4.</w:t>
      </w:r>
      <w:r w:rsidR="000E5C01">
        <w:rPr>
          <w:rFonts w:ascii="Baskerville Old Face" w:hAnsi="Baskerville Old Face" w:cs="Times New Roman"/>
          <w:sz w:val="24"/>
          <w:szCs w:val="24"/>
        </w:rPr>
        <w:t>2</w:t>
      </w:r>
      <w:r w:rsidRPr="00A85D13">
        <w:rPr>
          <w:rFonts w:ascii="Baskerville Old Face" w:hAnsi="Baskerville Old Face" w:cs="Times New Roman"/>
          <w:sz w:val="24"/>
          <w:szCs w:val="24"/>
        </w:rPr>
        <w:t xml:space="preserve">%, respectively. The reduction in duty waivers for the mining sector can be attributed to the elimination of waivers on plants and </w:t>
      </w:r>
      <w:proofErr w:type="gramStart"/>
      <w:r w:rsidRPr="00A85D13">
        <w:rPr>
          <w:rFonts w:ascii="Baskerville Old Face" w:hAnsi="Baskerville Old Face" w:cs="Times New Roman"/>
          <w:sz w:val="24"/>
          <w:szCs w:val="24"/>
        </w:rPr>
        <w:t>machineries</w:t>
      </w:r>
      <w:proofErr w:type="gramEnd"/>
      <w:r w:rsidRPr="00A85D13">
        <w:rPr>
          <w:rFonts w:ascii="Baskerville Old Face" w:hAnsi="Baskerville Old Face" w:cs="Times New Roman"/>
          <w:sz w:val="24"/>
          <w:szCs w:val="24"/>
        </w:rPr>
        <w:t>, as stipulated in the 2023 Finance Act.</w:t>
      </w:r>
    </w:p>
    <w:p w14:paraId="41C11C51" w14:textId="77777777" w:rsidR="00AA51A6" w:rsidRDefault="00AA51A6" w:rsidP="008C786C">
      <w:pPr>
        <w:spacing w:line="360" w:lineRule="auto"/>
        <w:jc w:val="both"/>
        <w:rPr>
          <w:rFonts w:ascii="Baskerville Old Face" w:hAnsi="Baskerville Old Face" w:cs="Times New Roman"/>
          <w:sz w:val="24"/>
          <w:szCs w:val="24"/>
        </w:rPr>
      </w:pPr>
    </w:p>
    <w:p w14:paraId="7EB0116F" w14:textId="77777777" w:rsidR="00AA51A6" w:rsidRDefault="00AA51A6" w:rsidP="008C786C">
      <w:pPr>
        <w:spacing w:line="360" w:lineRule="auto"/>
        <w:jc w:val="both"/>
        <w:rPr>
          <w:rFonts w:ascii="Baskerville Old Face" w:hAnsi="Baskerville Old Face" w:cs="Times New Roman"/>
          <w:sz w:val="24"/>
          <w:szCs w:val="24"/>
        </w:rPr>
      </w:pPr>
    </w:p>
    <w:p w14:paraId="14C19593" w14:textId="436CBB36" w:rsidR="00453F41" w:rsidRPr="00046D90" w:rsidRDefault="00046D90" w:rsidP="004D5FD6">
      <w:pPr>
        <w:rPr>
          <w:rFonts w:ascii="Baskerville Old Face" w:hAnsi="Baskerville Old Face" w:cs="Times New Roman"/>
          <w:b/>
          <w:bCs/>
          <w:i/>
          <w:iCs/>
          <w:sz w:val="24"/>
          <w:szCs w:val="24"/>
        </w:rPr>
      </w:pPr>
      <w:bookmarkStart w:id="20" w:name="Table6"/>
      <w:r w:rsidRPr="000E5C01">
        <w:rPr>
          <w:rFonts w:ascii="Baskerville Old Face" w:hAnsi="Baskerville Old Face" w:cs="Times New Roman"/>
          <w:b/>
          <w:bCs/>
          <w:i/>
          <w:iCs/>
          <w:sz w:val="24"/>
          <w:szCs w:val="24"/>
        </w:rPr>
        <w:lastRenderedPageBreak/>
        <w:t xml:space="preserve">Table </w:t>
      </w:r>
      <w:r w:rsidR="005C69D1">
        <w:rPr>
          <w:rFonts w:ascii="Baskerville Old Face" w:hAnsi="Baskerville Old Face" w:cs="Times New Roman"/>
          <w:b/>
          <w:bCs/>
          <w:i/>
          <w:iCs/>
          <w:sz w:val="24"/>
          <w:szCs w:val="24"/>
        </w:rPr>
        <w:t>6</w:t>
      </w:r>
      <w:r w:rsidRPr="00046D90">
        <w:rPr>
          <w:rFonts w:ascii="Baskerville Old Face" w:hAnsi="Baskerville Old Face" w:cs="Times New Roman"/>
          <w:b/>
          <w:bCs/>
          <w:i/>
          <w:iCs/>
          <w:sz w:val="24"/>
          <w:szCs w:val="24"/>
        </w:rPr>
        <w:t xml:space="preserve">: Duty Waiver by Category </w:t>
      </w:r>
      <w:r>
        <w:rPr>
          <w:rFonts w:ascii="Baskerville Old Face" w:hAnsi="Baskerville Old Face" w:cs="Times New Roman"/>
          <w:b/>
          <w:bCs/>
          <w:i/>
          <w:iCs/>
          <w:sz w:val="24"/>
          <w:szCs w:val="24"/>
        </w:rPr>
        <w:t>o</w:t>
      </w:r>
      <w:r w:rsidRPr="00046D90">
        <w:rPr>
          <w:rFonts w:ascii="Baskerville Old Face" w:hAnsi="Baskerville Old Face" w:cs="Times New Roman"/>
          <w:b/>
          <w:bCs/>
          <w:i/>
          <w:iCs/>
          <w:sz w:val="24"/>
          <w:szCs w:val="24"/>
        </w:rPr>
        <w:t xml:space="preserve">f Exemption, 2023 </w:t>
      </w:r>
      <w:r w:rsidR="0037468B">
        <w:rPr>
          <w:rFonts w:ascii="Baskerville Old Face" w:hAnsi="Baskerville Old Face" w:cs="Times New Roman"/>
          <w:b/>
          <w:bCs/>
          <w:i/>
          <w:iCs/>
          <w:sz w:val="24"/>
          <w:szCs w:val="24"/>
        </w:rPr>
        <w:t>a</w:t>
      </w:r>
      <w:r w:rsidRPr="00046D90">
        <w:rPr>
          <w:rFonts w:ascii="Baskerville Old Face" w:hAnsi="Baskerville Old Face" w:cs="Times New Roman"/>
          <w:b/>
          <w:bCs/>
          <w:i/>
          <w:iCs/>
          <w:sz w:val="24"/>
          <w:szCs w:val="24"/>
        </w:rPr>
        <w:t xml:space="preserve">nd 2022 </w:t>
      </w:r>
      <w:r w:rsidR="00531B80">
        <w:rPr>
          <w:rFonts w:ascii="Baskerville Old Face" w:hAnsi="Baskerville Old Face" w:cs="Times New Roman"/>
          <w:b/>
          <w:bCs/>
          <w:i/>
          <w:iCs/>
          <w:sz w:val="24"/>
          <w:szCs w:val="24"/>
        </w:rPr>
        <w:t>(</w:t>
      </w:r>
      <w:r w:rsidR="00472684">
        <w:rPr>
          <w:rFonts w:ascii="Baskerville Old Face" w:hAnsi="Baskerville Old Face" w:cs="Times New Roman"/>
          <w:b/>
          <w:bCs/>
          <w:i/>
          <w:iCs/>
          <w:sz w:val="24"/>
          <w:szCs w:val="24"/>
        </w:rPr>
        <w:t>N</w:t>
      </w:r>
      <w:r w:rsidR="0037468B" w:rsidRPr="0037468B">
        <w:rPr>
          <w:rFonts w:ascii="Baskerville Old Face" w:hAnsi="Baskerville Old Face" w:cs="Times New Roman"/>
          <w:b/>
          <w:bCs/>
          <w:i/>
          <w:iCs/>
          <w:sz w:val="24"/>
          <w:szCs w:val="24"/>
        </w:rPr>
        <w:t>Le</w:t>
      </w:r>
      <w:r w:rsidR="00531B80" w:rsidRPr="00531B80">
        <w:rPr>
          <w:rFonts w:ascii="Baskerville Old Face" w:hAnsi="Baskerville Old Face" w:cs="Times New Roman"/>
          <w:b/>
          <w:bCs/>
          <w:i/>
          <w:iCs/>
          <w:sz w:val="24"/>
          <w:szCs w:val="24"/>
        </w:rPr>
        <w:t xml:space="preserve"> </w:t>
      </w:r>
      <w:r w:rsidR="00531B80">
        <w:rPr>
          <w:rFonts w:ascii="Baskerville Old Face" w:hAnsi="Baskerville Old Face" w:cs="Times New Roman"/>
          <w:b/>
          <w:bCs/>
          <w:i/>
          <w:iCs/>
          <w:sz w:val="24"/>
          <w:szCs w:val="24"/>
        </w:rPr>
        <w:t>M</w:t>
      </w:r>
      <w:r w:rsidR="00531B80" w:rsidRPr="0037468B">
        <w:rPr>
          <w:rFonts w:ascii="Baskerville Old Face" w:hAnsi="Baskerville Old Face" w:cs="Times New Roman"/>
          <w:b/>
          <w:bCs/>
          <w:i/>
          <w:iCs/>
          <w:sz w:val="24"/>
          <w:szCs w:val="24"/>
        </w:rPr>
        <w:t>illion</w:t>
      </w:r>
      <w:r w:rsidR="00531B80">
        <w:rPr>
          <w:rFonts w:ascii="Baskerville Old Face" w:hAnsi="Baskerville Old Face" w:cs="Times New Roman"/>
          <w:b/>
          <w:bCs/>
          <w:i/>
          <w:iCs/>
          <w:sz w:val="24"/>
          <w:szCs w:val="24"/>
        </w:rPr>
        <w:t>)</w:t>
      </w:r>
    </w:p>
    <w:tbl>
      <w:tblPr>
        <w:tblStyle w:val="GridTable4-Accent4"/>
        <w:tblW w:w="0" w:type="auto"/>
        <w:tblLook w:val="04A0" w:firstRow="1" w:lastRow="0" w:firstColumn="1" w:lastColumn="0" w:noHBand="0" w:noVBand="1"/>
      </w:tblPr>
      <w:tblGrid>
        <w:gridCol w:w="2000"/>
        <w:gridCol w:w="1400"/>
        <w:gridCol w:w="1160"/>
        <w:gridCol w:w="1220"/>
        <w:gridCol w:w="1540"/>
      </w:tblGrid>
      <w:tr w:rsidR="00D13994" w:rsidRPr="00A61B56" w14:paraId="589E1B3C" w14:textId="77777777" w:rsidTr="00046D9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bookmarkEnd w:id="20"/>
          <w:p w14:paraId="0BFDDFB5" w14:textId="77777777" w:rsidR="00D13994" w:rsidRPr="00C84128" w:rsidRDefault="00D13994" w:rsidP="00D13994">
            <w:pPr>
              <w:rPr>
                <w:rFonts w:ascii="Baskerville Old Face" w:hAnsi="Baskerville Old Face" w:cs="Times New Roman"/>
                <w:color w:val="auto"/>
              </w:rPr>
            </w:pPr>
            <w:r w:rsidRPr="00C84128">
              <w:rPr>
                <w:rFonts w:ascii="Baskerville Old Face" w:hAnsi="Baskerville Old Face" w:cs="Times New Roman"/>
                <w:color w:val="auto"/>
              </w:rPr>
              <w:t>CATEGORY</w:t>
            </w:r>
          </w:p>
        </w:tc>
        <w:tc>
          <w:tcPr>
            <w:tcW w:w="1400" w:type="dxa"/>
            <w:noWrap/>
            <w:hideMark/>
          </w:tcPr>
          <w:p w14:paraId="257BE451"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2023</w:t>
            </w:r>
          </w:p>
        </w:tc>
        <w:tc>
          <w:tcPr>
            <w:tcW w:w="1160" w:type="dxa"/>
            <w:noWrap/>
            <w:hideMark/>
          </w:tcPr>
          <w:p w14:paraId="1CF2CECB"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2022</w:t>
            </w:r>
          </w:p>
        </w:tc>
        <w:tc>
          <w:tcPr>
            <w:tcW w:w="1220" w:type="dxa"/>
            <w:noWrap/>
            <w:hideMark/>
          </w:tcPr>
          <w:p w14:paraId="29F413A5" w14:textId="3F075415"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Variance</w:t>
            </w:r>
          </w:p>
        </w:tc>
        <w:tc>
          <w:tcPr>
            <w:tcW w:w="1540" w:type="dxa"/>
            <w:noWrap/>
            <w:hideMark/>
          </w:tcPr>
          <w:p w14:paraId="13A268E0" w14:textId="28AD2018"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 Variance</w:t>
            </w:r>
          </w:p>
        </w:tc>
      </w:tr>
      <w:tr w:rsidR="00A61B56" w:rsidRPr="00A61B56" w14:paraId="72858730"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487C009" w14:textId="14E1430B" w:rsidR="00046D90" w:rsidRPr="00531B80" w:rsidRDefault="00A61B56">
            <w:pPr>
              <w:rPr>
                <w:rFonts w:ascii="Baskerville Old Face" w:hAnsi="Baskerville Old Face" w:cs="Times New Roman"/>
                <w:b w:val="0"/>
                <w:bCs w:val="0"/>
              </w:rPr>
            </w:pPr>
            <w:r w:rsidRPr="00531B80">
              <w:rPr>
                <w:rFonts w:ascii="Baskerville Old Face" w:hAnsi="Baskerville Old Face" w:cs="Times New Roman"/>
                <w:b w:val="0"/>
                <w:bCs w:val="0"/>
              </w:rPr>
              <w:t>Embassy</w:t>
            </w:r>
          </w:p>
        </w:tc>
        <w:tc>
          <w:tcPr>
            <w:tcW w:w="1400" w:type="dxa"/>
            <w:noWrap/>
            <w:hideMark/>
          </w:tcPr>
          <w:p w14:paraId="26DF010C"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31,062</w:t>
            </w:r>
          </w:p>
        </w:tc>
        <w:tc>
          <w:tcPr>
            <w:tcW w:w="1160" w:type="dxa"/>
            <w:noWrap/>
            <w:hideMark/>
          </w:tcPr>
          <w:p w14:paraId="5437F2CA"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16,590</w:t>
            </w:r>
          </w:p>
        </w:tc>
        <w:tc>
          <w:tcPr>
            <w:tcW w:w="1220" w:type="dxa"/>
            <w:noWrap/>
            <w:hideMark/>
          </w:tcPr>
          <w:p w14:paraId="016A0987"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14,472</w:t>
            </w:r>
          </w:p>
        </w:tc>
        <w:tc>
          <w:tcPr>
            <w:tcW w:w="1540" w:type="dxa"/>
            <w:noWrap/>
            <w:hideMark/>
          </w:tcPr>
          <w:p w14:paraId="5BFC20DC"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87.23%</w:t>
            </w:r>
          </w:p>
        </w:tc>
      </w:tr>
      <w:tr w:rsidR="00046D90" w:rsidRPr="00A61B56" w14:paraId="12861486"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7A03DFE" w14:textId="41ABFA72" w:rsidR="00046D90" w:rsidRPr="00A61B56" w:rsidRDefault="00A61B56">
            <w:pPr>
              <w:rPr>
                <w:rFonts w:ascii="Baskerville Old Face" w:hAnsi="Baskerville Old Face" w:cs="Times New Roman"/>
                <w:b w:val="0"/>
                <w:bCs w:val="0"/>
              </w:rPr>
            </w:pPr>
            <w:r w:rsidRPr="00A61B56">
              <w:rPr>
                <w:rFonts w:ascii="Baskerville Old Face" w:hAnsi="Baskerville Old Face" w:cs="Times New Roman"/>
                <w:b w:val="0"/>
                <w:bCs w:val="0"/>
              </w:rPr>
              <w:t>Government</w:t>
            </w:r>
          </w:p>
        </w:tc>
        <w:tc>
          <w:tcPr>
            <w:tcW w:w="1400" w:type="dxa"/>
            <w:noWrap/>
            <w:hideMark/>
          </w:tcPr>
          <w:p w14:paraId="2976EF00"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414,602</w:t>
            </w:r>
          </w:p>
        </w:tc>
        <w:tc>
          <w:tcPr>
            <w:tcW w:w="1160" w:type="dxa"/>
            <w:noWrap/>
            <w:hideMark/>
          </w:tcPr>
          <w:p w14:paraId="52BB8F8B"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347,594</w:t>
            </w:r>
          </w:p>
        </w:tc>
        <w:tc>
          <w:tcPr>
            <w:tcW w:w="1220" w:type="dxa"/>
            <w:noWrap/>
            <w:hideMark/>
          </w:tcPr>
          <w:p w14:paraId="007E9859"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67,008</w:t>
            </w:r>
          </w:p>
        </w:tc>
        <w:tc>
          <w:tcPr>
            <w:tcW w:w="1540" w:type="dxa"/>
            <w:noWrap/>
            <w:hideMark/>
          </w:tcPr>
          <w:p w14:paraId="13A74170"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19.28%</w:t>
            </w:r>
          </w:p>
        </w:tc>
      </w:tr>
      <w:tr w:rsidR="00A61B56" w:rsidRPr="00A61B56" w14:paraId="562339F5"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CCE0573" w14:textId="761D745B" w:rsidR="00046D90" w:rsidRPr="00A61B56" w:rsidRDefault="00A61B56">
            <w:pPr>
              <w:rPr>
                <w:rFonts w:ascii="Baskerville Old Face" w:hAnsi="Baskerville Old Face" w:cs="Times New Roman"/>
                <w:b w:val="0"/>
                <w:bCs w:val="0"/>
              </w:rPr>
            </w:pPr>
            <w:r w:rsidRPr="00A61B56">
              <w:rPr>
                <w:rFonts w:ascii="Baskerville Old Face" w:hAnsi="Baskerville Old Face" w:cs="Times New Roman"/>
                <w:b w:val="0"/>
                <w:bCs w:val="0"/>
              </w:rPr>
              <w:t>Mining</w:t>
            </w:r>
          </w:p>
        </w:tc>
        <w:tc>
          <w:tcPr>
            <w:tcW w:w="1400" w:type="dxa"/>
            <w:noWrap/>
            <w:hideMark/>
          </w:tcPr>
          <w:p w14:paraId="46B3E7C7"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21,182</w:t>
            </w:r>
          </w:p>
        </w:tc>
        <w:tc>
          <w:tcPr>
            <w:tcW w:w="1160" w:type="dxa"/>
            <w:noWrap/>
            <w:hideMark/>
          </w:tcPr>
          <w:p w14:paraId="7ECF9B1A"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26,736</w:t>
            </w:r>
          </w:p>
        </w:tc>
        <w:tc>
          <w:tcPr>
            <w:tcW w:w="1220" w:type="dxa"/>
            <w:noWrap/>
            <w:hideMark/>
          </w:tcPr>
          <w:p w14:paraId="7D7E1E2A"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-5,554</w:t>
            </w:r>
          </w:p>
        </w:tc>
        <w:tc>
          <w:tcPr>
            <w:tcW w:w="1540" w:type="dxa"/>
            <w:noWrap/>
            <w:hideMark/>
          </w:tcPr>
          <w:p w14:paraId="6A583CD9"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-20.77%</w:t>
            </w:r>
          </w:p>
        </w:tc>
      </w:tr>
      <w:tr w:rsidR="00046D90" w:rsidRPr="00A61B56" w14:paraId="79FAF9B8"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0733FC7" w14:textId="77777777" w:rsidR="00046D90" w:rsidRPr="00A61B56" w:rsidRDefault="00046D90">
            <w:pPr>
              <w:rPr>
                <w:rFonts w:ascii="Baskerville Old Face" w:hAnsi="Baskerville Old Face" w:cs="Times New Roman"/>
                <w:b w:val="0"/>
                <w:bCs w:val="0"/>
              </w:rPr>
            </w:pPr>
            <w:r w:rsidRPr="00A61B56">
              <w:rPr>
                <w:rFonts w:ascii="Baskerville Old Face" w:hAnsi="Baskerville Old Face" w:cs="Times New Roman"/>
                <w:b w:val="0"/>
                <w:bCs w:val="0"/>
              </w:rPr>
              <w:t>NGO</w:t>
            </w:r>
          </w:p>
        </w:tc>
        <w:tc>
          <w:tcPr>
            <w:tcW w:w="1400" w:type="dxa"/>
            <w:noWrap/>
            <w:hideMark/>
          </w:tcPr>
          <w:p w14:paraId="00626B9F"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75,850</w:t>
            </w:r>
          </w:p>
        </w:tc>
        <w:tc>
          <w:tcPr>
            <w:tcW w:w="1160" w:type="dxa"/>
            <w:noWrap/>
            <w:hideMark/>
          </w:tcPr>
          <w:p w14:paraId="5AC75A53"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79,158</w:t>
            </w:r>
          </w:p>
        </w:tc>
        <w:tc>
          <w:tcPr>
            <w:tcW w:w="1220" w:type="dxa"/>
            <w:noWrap/>
            <w:hideMark/>
          </w:tcPr>
          <w:p w14:paraId="2CE0F866"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-3,308</w:t>
            </w:r>
          </w:p>
        </w:tc>
        <w:tc>
          <w:tcPr>
            <w:tcW w:w="1540" w:type="dxa"/>
            <w:noWrap/>
            <w:hideMark/>
          </w:tcPr>
          <w:p w14:paraId="4DA6258A"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-4.18%</w:t>
            </w:r>
          </w:p>
        </w:tc>
      </w:tr>
      <w:tr w:rsidR="00A61B56" w:rsidRPr="00A61B56" w14:paraId="13CC2A1C"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C4AF8D6" w14:textId="77777777" w:rsidR="00046D90" w:rsidRPr="00A61B56" w:rsidRDefault="00046D90">
            <w:pPr>
              <w:rPr>
                <w:rFonts w:ascii="Baskerville Old Face" w:hAnsi="Baskerville Old Face" w:cs="Times New Roman"/>
                <w:b w:val="0"/>
                <w:bCs w:val="0"/>
              </w:rPr>
            </w:pPr>
            <w:r w:rsidRPr="00A61B56">
              <w:rPr>
                <w:rFonts w:ascii="Baskerville Old Face" w:hAnsi="Baskerville Old Face" w:cs="Times New Roman"/>
                <w:b w:val="0"/>
                <w:bCs w:val="0"/>
              </w:rPr>
              <w:t>PIO</w:t>
            </w:r>
          </w:p>
        </w:tc>
        <w:tc>
          <w:tcPr>
            <w:tcW w:w="1400" w:type="dxa"/>
            <w:noWrap/>
            <w:hideMark/>
          </w:tcPr>
          <w:p w14:paraId="53390049"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108,096</w:t>
            </w:r>
          </w:p>
        </w:tc>
        <w:tc>
          <w:tcPr>
            <w:tcW w:w="1160" w:type="dxa"/>
            <w:noWrap/>
            <w:hideMark/>
          </w:tcPr>
          <w:p w14:paraId="4CCCC27E"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44,636</w:t>
            </w:r>
          </w:p>
        </w:tc>
        <w:tc>
          <w:tcPr>
            <w:tcW w:w="1220" w:type="dxa"/>
            <w:noWrap/>
            <w:hideMark/>
          </w:tcPr>
          <w:p w14:paraId="664E2AAC"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63,460</w:t>
            </w:r>
          </w:p>
        </w:tc>
        <w:tc>
          <w:tcPr>
            <w:tcW w:w="1540" w:type="dxa"/>
            <w:noWrap/>
            <w:hideMark/>
          </w:tcPr>
          <w:p w14:paraId="5FC7EC96"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142.17%</w:t>
            </w:r>
          </w:p>
        </w:tc>
      </w:tr>
      <w:tr w:rsidR="00046D90" w:rsidRPr="00A61B56" w14:paraId="0410E5D5" w14:textId="77777777" w:rsidTr="00046D90">
        <w:trPr>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A783211" w14:textId="70669F53" w:rsidR="00046D90" w:rsidRPr="00A61B56" w:rsidRDefault="00A61B56">
            <w:pPr>
              <w:rPr>
                <w:rFonts w:ascii="Baskerville Old Face" w:hAnsi="Baskerville Old Face" w:cs="Times New Roman"/>
                <w:b w:val="0"/>
                <w:bCs w:val="0"/>
              </w:rPr>
            </w:pPr>
            <w:r w:rsidRPr="00A61B56">
              <w:rPr>
                <w:rFonts w:ascii="Baskerville Old Face" w:hAnsi="Baskerville Old Face" w:cs="Times New Roman"/>
                <w:b w:val="0"/>
                <w:bCs w:val="0"/>
              </w:rPr>
              <w:t>Private</w:t>
            </w:r>
          </w:p>
        </w:tc>
        <w:tc>
          <w:tcPr>
            <w:tcW w:w="1400" w:type="dxa"/>
            <w:noWrap/>
            <w:hideMark/>
          </w:tcPr>
          <w:p w14:paraId="10256B01"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404,340</w:t>
            </w:r>
          </w:p>
        </w:tc>
        <w:tc>
          <w:tcPr>
            <w:tcW w:w="1160" w:type="dxa"/>
            <w:noWrap/>
            <w:hideMark/>
          </w:tcPr>
          <w:p w14:paraId="0686BB04"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188,925</w:t>
            </w:r>
          </w:p>
        </w:tc>
        <w:tc>
          <w:tcPr>
            <w:tcW w:w="1220" w:type="dxa"/>
            <w:noWrap/>
            <w:hideMark/>
          </w:tcPr>
          <w:p w14:paraId="79C13E06"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215,415</w:t>
            </w:r>
          </w:p>
        </w:tc>
        <w:tc>
          <w:tcPr>
            <w:tcW w:w="1540" w:type="dxa"/>
            <w:noWrap/>
            <w:hideMark/>
          </w:tcPr>
          <w:p w14:paraId="05756784" w14:textId="77777777" w:rsidR="00046D90" w:rsidRPr="00A61B56" w:rsidRDefault="00046D90" w:rsidP="00046D9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114.02%</w:t>
            </w:r>
          </w:p>
        </w:tc>
      </w:tr>
      <w:tr w:rsidR="00A61B56" w:rsidRPr="00A61B56" w14:paraId="5332E7C0" w14:textId="77777777" w:rsidTr="00046D9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74DDCAC" w14:textId="77777777" w:rsidR="00046D90" w:rsidRPr="00A61B56" w:rsidRDefault="00046D90">
            <w:pPr>
              <w:rPr>
                <w:rFonts w:ascii="Baskerville Old Face" w:hAnsi="Baskerville Old Face" w:cs="Times New Roman"/>
              </w:rPr>
            </w:pPr>
            <w:r w:rsidRPr="00A61B56">
              <w:rPr>
                <w:rFonts w:ascii="Baskerville Old Face" w:hAnsi="Baskerville Old Face" w:cs="Times New Roman"/>
              </w:rPr>
              <w:t>TOTAL</w:t>
            </w:r>
          </w:p>
        </w:tc>
        <w:tc>
          <w:tcPr>
            <w:tcW w:w="1400" w:type="dxa"/>
            <w:noWrap/>
            <w:hideMark/>
          </w:tcPr>
          <w:p w14:paraId="2117601E"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BA350D">
              <w:rPr>
                <w:rFonts w:ascii="Baskerville Old Face" w:hAnsi="Baskerville Old Face" w:cs="Times New Roman"/>
                <w:b/>
                <w:bCs/>
              </w:rPr>
              <w:t>1,055,132</w:t>
            </w:r>
          </w:p>
        </w:tc>
        <w:tc>
          <w:tcPr>
            <w:tcW w:w="1160" w:type="dxa"/>
            <w:noWrap/>
            <w:hideMark/>
          </w:tcPr>
          <w:p w14:paraId="18CF2A21"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88183F">
              <w:rPr>
                <w:rFonts w:ascii="Baskerville Old Face" w:hAnsi="Baskerville Old Face" w:cs="Times New Roman"/>
                <w:b/>
                <w:bCs/>
              </w:rPr>
              <w:t>703,639</w:t>
            </w:r>
          </w:p>
        </w:tc>
        <w:tc>
          <w:tcPr>
            <w:tcW w:w="1220" w:type="dxa"/>
            <w:noWrap/>
            <w:hideMark/>
          </w:tcPr>
          <w:p w14:paraId="5E8FF58D"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61B56">
              <w:rPr>
                <w:rFonts w:ascii="Baskerville Old Face" w:hAnsi="Baskerville Old Face" w:cs="Times New Roman"/>
                <w:b/>
                <w:bCs/>
              </w:rPr>
              <w:t>351,493</w:t>
            </w:r>
          </w:p>
        </w:tc>
        <w:tc>
          <w:tcPr>
            <w:tcW w:w="1540" w:type="dxa"/>
            <w:noWrap/>
            <w:hideMark/>
          </w:tcPr>
          <w:p w14:paraId="53CBF997" w14:textId="77777777" w:rsidR="00046D90" w:rsidRPr="00A61B56" w:rsidRDefault="00046D90" w:rsidP="00046D90">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61B56">
              <w:rPr>
                <w:rFonts w:ascii="Baskerville Old Face" w:hAnsi="Baskerville Old Face" w:cs="Times New Roman"/>
                <w:b/>
                <w:bCs/>
              </w:rPr>
              <w:t>49.95%</w:t>
            </w:r>
          </w:p>
        </w:tc>
      </w:tr>
    </w:tbl>
    <w:p w14:paraId="0052F952" w14:textId="6A99B0E0" w:rsidR="00453F41" w:rsidRPr="00B90B69" w:rsidRDefault="00BA408D" w:rsidP="004D5FD6">
      <w:pPr>
        <w:rPr>
          <w:rFonts w:ascii="Baskerville Old Face" w:hAnsi="Baskerville Old Face" w:cs="Times New Roman"/>
          <w:i/>
          <w:iCs/>
          <w:sz w:val="18"/>
          <w:szCs w:val="18"/>
        </w:rPr>
      </w:pPr>
      <w:r w:rsidRPr="00B90B69">
        <w:rPr>
          <w:rFonts w:ascii="Baskerville Old Face" w:hAnsi="Baskerville Old Face" w:cs="Times New Roman"/>
          <w:i/>
          <w:iCs/>
          <w:sz w:val="18"/>
          <w:szCs w:val="18"/>
        </w:rPr>
        <w:t>Source: MRP Department</w:t>
      </w:r>
    </w:p>
    <w:p w14:paraId="3F7733B4" w14:textId="06343C26" w:rsidR="002B4379" w:rsidRDefault="002B4379" w:rsidP="002B4379">
      <w:pPr>
        <w:spacing w:line="360" w:lineRule="auto"/>
        <w:jc w:val="both"/>
        <w:rPr>
          <w:rFonts w:ascii="Baskerville Old Face" w:hAnsi="Baskerville Old Face" w:cs="Times New Roman"/>
          <w:sz w:val="24"/>
          <w:szCs w:val="24"/>
        </w:rPr>
      </w:pPr>
      <w:r w:rsidRPr="002B4379">
        <w:rPr>
          <w:rFonts w:ascii="Baskerville Old Face" w:hAnsi="Baskerville Old Face" w:cs="Times New Roman"/>
          <w:sz w:val="24"/>
          <w:szCs w:val="24"/>
        </w:rPr>
        <w:t>Analyzing the sectoral distribution of waivers (</w:t>
      </w:r>
      <w:r w:rsidRPr="0088183F">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7</w:t>
      </w:r>
      <w:r w:rsidRPr="002B4379">
        <w:rPr>
          <w:rFonts w:ascii="Baskerville Old Face" w:hAnsi="Baskerville Old Face" w:cs="Times New Roman"/>
          <w:sz w:val="24"/>
          <w:szCs w:val="24"/>
        </w:rPr>
        <w:t xml:space="preserve">), </w:t>
      </w:r>
      <w:r w:rsidR="00FB407E" w:rsidRPr="00FB407E">
        <w:rPr>
          <w:rFonts w:ascii="Baskerville Old Face" w:hAnsi="Baskerville Old Face" w:cs="Times New Roman"/>
          <w:sz w:val="24"/>
          <w:szCs w:val="24"/>
        </w:rPr>
        <w:t>it is evident that waivers are predominantly allocated to the energy, manufacturing, health, diplomatic, and agricultural sectors. Notably, in 2023, these sectors accounted for significant portions of the total duty waivers granted, with the energy, manufacturing, health, and agricultural sectors representing 24.7%, 22.</w:t>
      </w:r>
      <w:r w:rsidR="00EE2489">
        <w:rPr>
          <w:rFonts w:ascii="Baskerville Old Face" w:hAnsi="Baskerville Old Face" w:cs="Times New Roman"/>
          <w:sz w:val="24"/>
          <w:szCs w:val="24"/>
        </w:rPr>
        <w:t>4</w:t>
      </w:r>
      <w:r w:rsidR="00FB407E" w:rsidRPr="00FB407E">
        <w:rPr>
          <w:rFonts w:ascii="Baskerville Old Face" w:hAnsi="Baskerville Old Face" w:cs="Times New Roman"/>
          <w:sz w:val="24"/>
          <w:szCs w:val="24"/>
        </w:rPr>
        <w:t>%, 13.</w:t>
      </w:r>
      <w:r w:rsidR="00EE2489">
        <w:rPr>
          <w:rFonts w:ascii="Baskerville Old Face" w:hAnsi="Baskerville Old Face" w:cs="Times New Roman"/>
          <w:sz w:val="24"/>
          <w:szCs w:val="24"/>
        </w:rPr>
        <w:t>7</w:t>
      </w:r>
      <w:r w:rsidR="00FB407E" w:rsidRPr="00FB407E">
        <w:rPr>
          <w:rFonts w:ascii="Baskerville Old Face" w:hAnsi="Baskerville Old Face" w:cs="Times New Roman"/>
          <w:sz w:val="24"/>
          <w:szCs w:val="24"/>
        </w:rPr>
        <w:t>%, and 7.9% respectively of the total amount waived</w:t>
      </w:r>
      <w:r w:rsidR="00FB407E">
        <w:rPr>
          <w:rFonts w:ascii="Baskerville Old Face" w:hAnsi="Baskerville Old Face" w:cs="Times New Roman"/>
          <w:sz w:val="24"/>
          <w:szCs w:val="24"/>
        </w:rPr>
        <w:t xml:space="preserve">, </w:t>
      </w:r>
      <w:r w:rsidRPr="002B4379">
        <w:rPr>
          <w:rFonts w:ascii="Baskerville Old Face" w:hAnsi="Baskerville Old Face" w:cs="Times New Roman"/>
          <w:sz w:val="24"/>
          <w:szCs w:val="24"/>
        </w:rPr>
        <w:t>signaling a heightened government focus on these areas. Manufacturing companies saw a significant increase of NLe 117 million in waivers, while the energy sector received NLe 9</w:t>
      </w:r>
      <w:r w:rsidR="00EC2155">
        <w:rPr>
          <w:rFonts w:ascii="Baskerville Old Face" w:hAnsi="Baskerville Old Face" w:cs="Times New Roman"/>
          <w:sz w:val="24"/>
          <w:szCs w:val="24"/>
        </w:rPr>
        <w:t>4</w:t>
      </w:r>
      <w:r w:rsidRPr="002B4379">
        <w:rPr>
          <w:rFonts w:ascii="Baskerville Old Face" w:hAnsi="Baskerville Old Face" w:cs="Times New Roman"/>
          <w:sz w:val="24"/>
          <w:szCs w:val="24"/>
        </w:rPr>
        <w:t xml:space="preserve"> million more in waivers, and the agricultural sector received NLe 3</w:t>
      </w:r>
      <w:r w:rsidR="00EC2155">
        <w:rPr>
          <w:rFonts w:ascii="Baskerville Old Face" w:hAnsi="Baskerville Old Face" w:cs="Times New Roman"/>
          <w:sz w:val="24"/>
          <w:szCs w:val="24"/>
        </w:rPr>
        <w:t>9</w:t>
      </w:r>
      <w:r w:rsidRPr="002B4379">
        <w:rPr>
          <w:rFonts w:ascii="Baskerville Old Face" w:hAnsi="Baskerville Old Face" w:cs="Times New Roman"/>
          <w:sz w:val="24"/>
          <w:szCs w:val="24"/>
        </w:rPr>
        <w:t xml:space="preserve"> million more. The education sector, on the other hand, witnessed a notable decrease of 69.5% in exemptions granted, dropping from NLe 1</w:t>
      </w:r>
      <w:r w:rsidR="00EC2155">
        <w:rPr>
          <w:rFonts w:ascii="Baskerville Old Face" w:hAnsi="Baskerville Old Face" w:cs="Times New Roman"/>
          <w:sz w:val="24"/>
          <w:szCs w:val="24"/>
        </w:rPr>
        <w:t>4</w:t>
      </w:r>
      <w:r w:rsidRPr="002B4379">
        <w:rPr>
          <w:rFonts w:ascii="Baskerville Old Face" w:hAnsi="Baskerville Old Face" w:cs="Times New Roman"/>
          <w:sz w:val="24"/>
          <w:szCs w:val="24"/>
        </w:rPr>
        <w:t xml:space="preserve"> million in 2022 to NLe 4 million in 2023.</w:t>
      </w:r>
    </w:p>
    <w:p w14:paraId="6D55359A" w14:textId="77777777" w:rsidR="00AA51A6" w:rsidRDefault="00AA51A6" w:rsidP="002B4379">
      <w:pPr>
        <w:spacing w:line="360" w:lineRule="auto"/>
        <w:jc w:val="both"/>
        <w:rPr>
          <w:rFonts w:ascii="Baskerville Old Face" w:hAnsi="Baskerville Old Face" w:cs="Times New Roman"/>
          <w:sz w:val="24"/>
          <w:szCs w:val="24"/>
        </w:rPr>
      </w:pPr>
    </w:p>
    <w:p w14:paraId="778A12E5" w14:textId="77777777" w:rsidR="00AA51A6" w:rsidRDefault="00AA51A6" w:rsidP="002B4379">
      <w:pPr>
        <w:spacing w:line="360" w:lineRule="auto"/>
        <w:jc w:val="both"/>
        <w:rPr>
          <w:rFonts w:ascii="Baskerville Old Face" w:hAnsi="Baskerville Old Face" w:cs="Times New Roman"/>
          <w:sz w:val="24"/>
          <w:szCs w:val="24"/>
        </w:rPr>
      </w:pPr>
    </w:p>
    <w:p w14:paraId="4D8059D1" w14:textId="77777777" w:rsidR="00AA51A6" w:rsidRDefault="00AA51A6" w:rsidP="002B4379">
      <w:pPr>
        <w:spacing w:line="360" w:lineRule="auto"/>
        <w:jc w:val="both"/>
        <w:rPr>
          <w:rFonts w:ascii="Baskerville Old Face" w:hAnsi="Baskerville Old Face" w:cs="Times New Roman"/>
          <w:sz w:val="24"/>
          <w:szCs w:val="24"/>
        </w:rPr>
      </w:pPr>
    </w:p>
    <w:p w14:paraId="56EE5AAB" w14:textId="77777777" w:rsidR="00AA51A6" w:rsidRDefault="00AA51A6" w:rsidP="002B4379">
      <w:pPr>
        <w:spacing w:line="360" w:lineRule="auto"/>
        <w:jc w:val="both"/>
        <w:rPr>
          <w:rFonts w:ascii="Baskerville Old Face" w:hAnsi="Baskerville Old Face" w:cs="Times New Roman"/>
          <w:sz w:val="24"/>
          <w:szCs w:val="24"/>
        </w:rPr>
      </w:pPr>
    </w:p>
    <w:p w14:paraId="55F6E03F" w14:textId="77777777" w:rsidR="00AA51A6" w:rsidRDefault="00AA51A6" w:rsidP="002B4379">
      <w:pPr>
        <w:spacing w:line="360" w:lineRule="auto"/>
        <w:jc w:val="both"/>
        <w:rPr>
          <w:rFonts w:ascii="Baskerville Old Face" w:hAnsi="Baskerville Old Face" w:cs="Times New Roman"/>
          <w:sz w:val="24"/>
          <w:szCs w:val="24"/>
        </w:rPr>
      </w:pPr>
    </w:p>
    <w:p w14:paraId="06598F85" w14:textId="77777777" w:rsidR="00AA51A6" w:rsidRDefault="00AA51A6" w:rsidP="002B4379">
      <w:pPr>
        <w:spacing w:line="360" w:lineRule="auto"/>
        <w:jc w:val="both"/>
        <w:rPr>
          <w:rFonts w:ascii="Baskerville Old Face" w:hAnsi="Baskerville Old Face" w:cs="Times New Roman"/>
          <w:sz w:val="24"/>
          <w:szCs w:val="24"/>
        </w:rPr>
      </w:pPr>
    </w:p>
    <w:p w14:paraId="627C0F3B" w14:textId="77777777" w:rsidR="00AA51A6" w:rsidRDefault="00AA51A6" w:rsidP="002B4379">
      <w:pPr>
        <w:spacing w:line="360" w:lineRule="auto"/>
        <w:jc w:val="both"/>
        <w:rPr>
          <w:rFonts w:ascii="Baskerville Old Face" w:hAnsi="Baskerville Old Face" w:cs="Times New Roman"/>
          <w:sz w:val="24"/>
          <w:szCs w:val="24"/>
        </w:rPr>
      </w:pPr>
    </w:p>
    <w:p w14:paraId="1B7AB61C" w14:textId="77777777" w:rsidR="00AA51A6" w:rsidRDefault="00AA51A6" w:rsidP="002B4379">
      <w:pPr>
        <w:spacing w:line="360" w:lineRule="auto"/>
        <w:jc w:val="both"/>
        <w:rPr>
          <w:rFonts w:ascii="Baskerville Old Face" w:hAnsi="Baskerville Old Face" w:cs="Times New Roman"/>
          <w:sz w:val="24"/>
          <w:szCs w:val="24"/>
        </w:rPr>
      </w:pPr>
    </w:p>
    <w:p w14:paraId="601CD3A4" w14:textId="77777777" w:rsidR="00AA51A6" w:rsidRDefault="00AA51A6" w:rsidP="002B4379">
      <w:pPr>
        <w:spacing w:line="360" w:lineRule="auto"/>
        <w:jc w:val="both"/>
        <w:rPr>
          <w:rFonts w:ascii="Baskerville Old Face" w:hAnsi="Baskerville Old Face" w:cs="Times New Roman"/>
          <w:sz w:val="24"/>
          <w:szCs w:val="24"/>
        </w:rPr>
      </w:pPr>
    </w:p>
    <w:p w14:paraId="368BCF35" w14:textId="77777777" w:rsidR="00AA51A6" w:rsidRDefault="00AA51A6" w:rsidP="002B4379">
      <w:pPr>
        <w:spacing w:line="360" w:lineRule="auto"/>
        <w:jc w:val="both"/>
        <w:rPr>
          <w:rFonts w:ascii="Baskerville Old Face" w:hAnsi="Baskerville Old Face" w:cs="Times New Roman"/>
          <w:sz w:val="24"/>
          <w:szCs w:val="24"/>
        </w:rPr>
      </w:pPr>
    </w:p>
    <w:p w14:paraId="25B175DC" w14:textId="0A5D2099" w:rsidR="00453F41" w:rsidRDefault="0037468B" w:rsidP="004D5FD6">
      <w:pPr>
        <w:rPr>
          <w:rFonts w:ascii="Baskerville Old Face" w:hAnsi="Baskerville Old Face" w:cs="Times New Roman"/>
          <w:sz w:val="24"/>
          <w:szCs w:val="24"/>
        </w:rPr>
      </w:pPr>
      <w:bookmarkStart w:id="21" w:name="Table7"/>
      <w:r w:rsidRPr="0088183F">
        <w:rPr>
          <w:rFonts w:ascii="Baskerville Old Face" w:hAnsi="Baskerville Old Face" w:cs="Times New Roman"/>
          <w:b/>
          <w:bCs/>
          <w:i/>
          <w:iCs/>
          <w:sz w:val="24"/>
          <w:szCs w:val="24"/>
        </w:rPr>
        <w:lastRenderedPageBreak/>
        <w:t xml:space="preserve">Table </w:t>
      </w:r>
      <w:r w:rsidR="005C69D1">
        <w:rPr>
          <w:rFonts w:ascii="Baskerville Old Face" w:hAnsi="Baskerville Old Face" w:cs="Times New Roman"/>
          <w:b/>
          <w:bCs/>
          <w:i/>
          <w:iCs/>
          <w:sz w:val="24"/>
          <w:szCs w:val="24"/>
        </w:rPr>
        <w:t>7</w:t>
      </w:r>
      <w:r w:rsidR="0088183F">
        <w:rPr>
          <w:rFonts w:ascii="Baskerville Old Face" w:hAnsi="Baskerville Old Face" w:cs="Times New Roman"/>
          <w:b/>
          <w:bCs/>
          <w:i/>
          <w:iCs/>
          <w:sz w:val="24"/>
          <w:szCs w:val="24"/>
        </w:rPr>
        <w:t>:</w:t>
      </w:r>
      <w:r w:rsidRPr="0037468B">
        <w:rPr>
          <w:rFonts w:ascii="Baskerville Old Face" w:hAnsi="Baskerville Old Face" w:cs="Times New Roman"/>
          <w:b/>
          <w:bCs/>
          <w:i/>
          <w:iCs/>
          <w:sz w:val="24"/>
          <w:szCs w:val="24"/>
        </w:rPr>
        <w:t xml:space="preserve"> Duty Waiver </w:t>
      </w:r>
      <w:r>
        <w:rPr>
          <w:rFonts w:ascii="Baskerville Old Face" w:hAnsi="Baskerville Old Face" w:cs="Times New Roman"/>
          <w:b/>
          <w:bCs/>
          <w:i/>
          <w:iCs/>
          <w:sz w:val="24"/>
          <w:szCs w:val="24"/>
        </w:rPr>
        <w:t>f</w:t>
      </w:r>
      <w:r w:rsidRPr="0037468B">
        <w:rPr>
          <w:rFonts w:ascii="Baskerville Old Face" w:hAnsi="Baskerville Old Face" w:cs="Times New Roman"/>
          <w:b/>
          <w:bCs/>
          <w:i/>
          <w:iCs/>
          <w:sz w:val="24"/>
          <w:szCs w:val="24"/>
        </w:rPr>
        <w:t>or 20</w:t>
      </w:r>
      <w:r>
        <w:rPr>
          <w:rFonts w:ascii="Baskerville Old Face" w:hAnsi="Baskerville Old Face" w:cs="Times New Roman"/>
          <w:b/>
          <w:bCs/>
          <w:i/>
          <w:iCs/>
          <w:sz w:val="24"/>
          <w:szCs w:val="24"/>
        </w:rPr>
        <w:t>23</w:t>
      </w:r>
      <w:r w:rsidRPr="0037468B">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a</w:t>
      </w:r>
      <w:r w:rsidRPr="0037468B">
        <w:rPr>
          <w:rFonts w:ascii="Baskerville Old Face" w:hAnsi="Baskerville Old Face" w:cs="Times New Roman"/>
          <w:b/>
          <w:bCs/>
          <w:i/>
          <w:iCs/>
          <w:sz w:val="24"/>
          <w:szCs w:val="24"/>
        </w:rPr>
        <w:t>nd 20</w:t>
      </w:r>
      <w:r>
        <w:rPr>
          <w:rFonts w:ascii="Baskerville Old Face" w:hAnsi="Baskerville Old Face" w:cs="Times New Roman"/>
          <w:b/>
          <w:bCs/>
          <w:i/>
          <w:iCs/>
          <w:sz w:val="24"/>
          <w:szCs w:val="24"/>
        </w:rPr>
        <w:t>22</w:t>
      </w:r>
      <w:r w:rsidRPr="0037468B">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b</w:t>
      </w:r>
      <w:r w:rsidRPr="0037468B">
        <w:rPr>
          <w:rFonts w:ascii="Baskerville Old Face" w:hAnsi="Baskerville Old Face" w:cs="Times New Roman"/>
          <w:b/>
          <w:bCs/>
          <w:i/>
          <w:iCs/>
          <w:sz w:val="24"/>
          <w:szCs w:val="24"/>
        </w:rPr>
        <w:t xml:space="preserve">y Sector Analysis </w:t>
      </w:r>
      <w:r>
        <w:rPr>
          <w:rFonts w:ascii="Baskerville Old Face" w:hAnsi="Baskerville Old Face" w:cs="Times New Roman"/>
          <w:b/>
          <w:bCs/>
          <w:i/>
          <w:iCs/>
          <w:sz w:val="24"/>
          <w:szCs w:val="24"/>
        </w:rPr>
        <w:t>i</w:t>
      </w:r>
      <w:r w:rsidRPr="0037468B">
        <w:rPr>
          <w:rFonts w:ascii="Baskerville Old Face" w:hAnsi="Baskerville Old Face" w:cs="Times New Roman"/>
          <w:b/>
          <w:bCs/>
          <w:i/>
          <w:iCs/>
          <w:sz w:val="24"/>
          <w:szCs w:val="24"/>
        </w:rPr>
        <w:t xml:space="preserve">n </w:t>
      </w:r>
      <w:r w:rsidR="00531B80">
        <w:rPr>
          <w:rFonts w:ascii="Baskerville Old Face" w:hAnsi="Baskerville Old Face" w:cs="Times New Roman"/>
          <w:b/>
          <w:bCs/>
          <w:i/>
          <w:iCs/>
          <w:sz w:val="24"/>
          <w:szCs w:val="24"/>
        </w:rPr>
        <w:t>(</w:t>
      </w:r>
      <w:r w:rsidR="00472684">
        <w:rPr>
          <w:rFonts w:ascii="Baskerville Old Face" w:hAnsi="Baskerville Old Face" w:cs="Times New Roman"/>
          <w:b/>
          <w:bCs/>
          <w:i/>
          <w:iCs/>
          <w:sz w:val="24"/>
          <w:szCs w:val="24"/>
        </w:rPr>
        <w:t>N</w:t>
      </w:r>
      <w:r w:rsidRPr="0037468B">
        <w:rPr>
          <w:rFonts w:ascii="Baskerville Old Face" w:hAnsi="Baskerville Old Face" w:cs="Times New Roman"/>
          <w:b/>
          <w:bCs/>
          <w:i/>
          <w:iCs/>
          <w:sz w:val="24"/>
          <w:szCs w:val="24"/>
        </w:rPr>
        <w:t>Le</w:t>
      </w:r>
      <w:r w:rsidR="00531B80" w:rsidRPr="00531B80">
        <w:rPr>
          <w:rFonts w:ascii="Baskerville Old Face" w:hAnsi="Baskerville Old Face" w:cs="Times New Roman"/>
          <w:b/>
          <w:bCs/>
          <w:i/>
          <w:iCs/>
          <w:sz w:val="24"/>
          <w:szCs w:val="24"/>
        </w:rPr>
        <w:t xml:space="preserve"> </w:t>
      </w:r>
      <w:r w:rsidR="00531B80">
        <w:rPr>
          <w:rFonts w:ascii="Baskerville Old Face" w:hAnsi="Baskerville Old Face" w:cs="Times New Roman"/>
          <w:b/>
          <w:bCs/>
          <w:i/>
          <w:iCs/>
          <w:sz w:val="24"/>
          <w:szCs w:val="24"/>
        </w:rPr>
        <w:t>M</w:t>
      </w:r>
      <w:r w:rsidR="00531B80" w:rsidRPr="0037468B">
        <w:rPr>
          <w:rFonts w:ascii="Baskerville Old Face" w:hAnsi="Baskerville Old Face" w:cs="Times New Roman"/>
          <w:b/>
          <w:bCs/>
          <w:i/>
          <w:iCs/>
          <w:sz w:val="24"/>
          <w:szCs w:val="24"/>
        </w:rPr>
        <w:t>illion</w:t>
      </w:r>
      <w:r w:rsidR="00531B80">
        <w:rPr>
          <w:rFonts w:ascii="Baskerville Old Face" w:hAnsi="Baskerville Old Face" w:cs="Times New Roman"/>
          <w:b/>
          <w:bCs/>
          <w:i/>
          <w:iCs/>
          <w:sz w:val="24"/>
          <w:szCs w:val="24"/>
        </w:rPr>
        <w:t>)</w:t>
      </w:r>
    </w:p>
    <w:tbl>
      <w:tblPr>
        <w:tblStyle w:val="GridTable4-Accent3"/>
        <w:tblW w:w="9564" w:type="dxa"/>
        <w:tblLook w:val="04A0" w:firstRow="1" w:lastRow="0" w:firstColumn="1" w:lastColumn="0" w:noHBand="0" w:noVBand="1"/>
      </w:tblPr>
      <w:tblGrid>
        <w:gridCol w:w="3413"/>
        <w:gridCol w:w="1377"/>
        <w:gridCol w:w="1141"/>
        <w:gridCol w:w="1697"/>
        <w:gridCol w:w="1936"/>
      </w:tblGrid>
      <w:tr w:rsidR="00D13994" w:rsidRPr="00A61B56" w14:paraId="685EA8ED" w14:textId="77777777" w:rsidTr="00B90B6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bookmarkEnd w:id="21"/>
          <w:p w14:paraId="2A82089A" w14:textId="77777777" w:rsidR="00D13994" w:rsidRPr="00C84128" w:rsidRDefault="00D13994" w:rsidP="00D13994">
            <w:pPr>
              <w:rPr>
                <w:rFonts w:ascii="Baskerville Old Face" w:hAnsi="Baskerville Old Face" w:cs="Times New Roman"/>
                <w:color w:val="auto"/>
              </w:rPr>
            </w:pPr>
            <w:r w:rsidRPr="00C84128">
              <w:rPr>
                <w:rFonts w:ascii="Baskerville Old Face" w:hAnsi="Baskerville Old Face" w:cs="Times New Roman"/>
                <w:color w:val="auto"/>
              </w:rPr>
              <w:t>SECTOR</w:t>
            </w:r>
          </w:p>
        </w:tc>
        <w:tc>
          <w:tcPr>
            <w:tcW w:w="1377" w:type="dxa"/>
            <w:noWrap/>
            <w:hideMark/>
          </w:tcPr>
          <w:p w14:paraId="5990B44A"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2023</w:t>
            </w:r>
          </w:p>
        </w:tc>
        <w:tc>
          <w:tcPr>
            <w:tcW w:w="1141" w:type="dxa"/>
            <w:noWrap/>
            <w:hideMark/>
          </w:tcPr>
          <w:p w14:paraId="1F616B81" w14:textId="77777777"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hAnsi="Baskerville Old Face" w:cs="Times New Roman"/>
                <w:color w:val="auto"/>
              </w:rPr>
              <w:t>2022</w:t>
            </w:r>
          </w:p>
        </w:tc>
        <w:tc>
          <w:tcPr>
            <w:tcW w:w="1697" w:type="dxa"/>
            <w:noWrap/>
            <w:hideMark/>
          </w:tcPr>
          <w:p w14:paraId="7765E790" w14:textId="43AED290"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Variance</w:t>
            </w:r>
          </w:p>
        </w:tc>
        <w:tc>
          <w:tcPr>
            <w:tcW w:w="1936" w:type="dxa"/>
            <w:noWrap/>
            <w:hideMark/>
          </w:tcPr>
          <w:p w14:paraId="1B7165E4" w14:textId="62940E24" w:rsidR="00D13994" w:rsidRPr="00C84128" w:rsidRDefault="00D13994" w:rsidP="00D13994">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84128">
              <w:rPr>
                <w:rFonts w:ascii="Baskerville Old Face" w:eastAsia="Times New Roman" w:hAnsi="Baskerville Old Face" w:cs="Times New Roman"/>
                <w:color w:val="auto"/>
                <w:kern w:val="0"/>
                <w14:ligatures w14:val="none"/>
              </w:rPr>
              <w:t>% Variance</w:t>
            </w:r>
          </w:p>
        </w:tc>
      </w:tr>
      <w:tr w:rsidR="002E0ABE" w:rsidRPr="00A61B56" w14:paraId="3ABFFB8F"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128388C8" w14:textId="79398987" w:rsidR="002E0ABE" w:rsidRPr="006A01C8" w:rsidRDefault="002E0ABE">
            <w:pPr>
              <w:rPr>
                <w:rFonts w:ascii="Baskerville Old Face" w:hAnsi="Baskerville Old Face" w:cs="Times New Roman"/>
                <w:b w:val="0"/>
                <w:bCs w:val="0"/>
              </w:rPr>
            </w:pPr>
            <w:r w:rsidRPr="006A01C8">
              <w:rPr>
                <w:rFonts w:ascii="Baskerville Old Face" w:hAnsi="Baskerville Old Face" w:cs="Times New Roman"/>
                <w:b w:val="0"/>
                <w:bCs w:val="0"/>
              </w:rPr>
              <w:t>Agricultural</w:t>
            </w:r>
          </w:p>
        </w:tc>
        <w:tc>
          <w:tcPr>
            <w:tcW w:w="1377" w:type="dxa"/>
            <w:noWrap/>
            <w:hideMark/>
          </w:tcPr>
          <w:p w14:paraId="5B231DB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83,586</w:t>
            </w:r>
          </w:p>
        </w:tc>
        <w:tc>
          <w:tcPr>
            <w:tcW w:w="1141" w:type="dxa"/>
            <w:noWrap/>
            <w:hideMark/>
          </w:tcPr>
          <w:p w14:paraId="6D381D78"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44,725</w:t>
            </w:r>
          </w:p>
        </w:tc>
        <w:tc>
          <w:tcPr>
            <w:tcW w:w="1697" w:type="dxa"/>
            <w:noWrap/>
            <w:hideMark/>
          </w:tcPr>
          <w:p w14:paraId="1CCF6794"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38,861</w:t>
            </w:r>
          </w:p>
        </w:tc>
        <w:tc>
          <w:tcPr>
            <w:tcW w:w="1936" w:type="dxa"/>
            <w:noWrap/>
            <w:hideMark/>
          </w:tcPr>
          <w:p w14:paraId="5BC54A4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86.89%</w:t>
            </w:r>
          </w:p>
        </w:tc>
      </w:tr>
      <w:tr w:rsidR="002E0ABE" w:rsidRPr="00A61B56" w14:paraId="37A7A0F9"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2226E65" w14:textId="44DA5B98"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Civil Registration</w:t>
            </w:r>
          </w:p>
        </w:tc>
        <w:tc>
          <w:tcPr>
            <w:tcW w:w="1377" w:type="dxa"/>
            <w:noWrap/>
            <w:hideMark/>
          </w:tcPr>
          <w:p w14:paraId="2DF2038A"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13,606</w:t>
            </w:r>
          </w:p>
        </w:tc>
        <w:tc>
          <w:tcPr>
            <w:tcW w:w="1141" w:type="dxa"/>
            <w:noWrap/>
            <w:hideMark/>
          </w:tcPr>
          <w:p w14:paraId="387E9FDF"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6CC8069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13,606</w:t>
            </w:r>
          </w:p>
        </w:tc>
        <w:tc>
          <w:tcPr>
            <w:tcW w:w="1936" w:type="dxa"/>
            <w:noWrap/>
            <w:hideMark/>
          </w:tcPr>
          <w:p w14:paraId="50B12A1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1C2B221F" w14:textId="77777777" w:rsidTr="00A61B5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4D73F48" w14:textId="6D1383C3"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Communication</w:t>
            </w:r>
          </w:p>
        </w:tc>
        <w:tc>
          <w:tcPr>
            <w:tcW w:w="1377" w:type="dxa"/>
            <w:noWrap/>
            <w:hideMark/>
          </w:tcPr>
          <w:p w14:paraId="40A38A4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4,998</w:t>
            </w:r>
          </w:p>
        </w:tc>
        <w:tc>
          <w:tcPr>
            <w:tcW w:w="1141" w:type="dxa"/>
            <w:noWrap/>
            <w:hideMark/>
          </w:tcPr>
          <w:p w14:paraId="5CFD309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1,277</w:t>
            </w:r>
          </w:p>
        </w:tc>
        <w:tc>
          <w:tcPr>
            <w:tcW w:w="1697" w:type="dxa"/>
            <w:noWrap/>
            <w:hideMark/>
          </w:tcPr>
          <w:p w14:paraId="783F0146"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3,721</w:t>
            </w:r>
          </w:p>
        </w:tc>
        <w:tc>
          <w:tcPr>
            <w:tcW w:w="1936" w:type="dxa"/>
            <w:noWrap/>
            <w:hideMark/>
          </w:tcPr>
          <w:p w14:paraId="2420DF8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291.39%</w:t>
            </w:r>
          </w:p>
        </w:tc>
      </w:tr>
      <w:tr w:rsidR="002E0ABE" w:rsidRPr="00A61B56" w14:paraId="461502B2"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DC8B2F6" w14:textId="049C81E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Construction</w:t>
            </w:r>
          </w:p>
        </w:tc>
        <w:tc>
          <w:tcPr>
            <w:tcW w:w="1377" w:type="dxa"/>
            <w:noWrap/>
            <w:hideMark/>
          </w:tcPr>
          <w:p w14:paraId="57866DF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36,064</w:t>
            </w:r>
          </w:p>
        </w:tc>
        <w:tc>
          <w:tcPr>
            <w:tcW w:w="1141" w:type="dxa"/>
            <w:noWrap/>
            <w:hideMark/>
          </w:tcPr>
          <w:p w14:paraId="5B34A9F0"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49,737</w:t>
            </w:r>
          </w:p>
        </w:tc>
        <w:tc>
          <w:tcPr>
            <w:tcW w:w="1697" w:type="dxa"/>
            <w:noWrap/>
            <w:hideMark/>
          </w:tcPr>
          <w:p w14:paraId="0E6851E7"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-13,673</w:t>
            </w:r>
          </w:p>
        </w:tc>
        <w:tc>
          <w:tcPr>
            <w:tcW w:w="1936" w:type="dxa"/>
            <w:noWrap/>
            <w:hideMark/>
          </w:tcPr>
          <w:p w14:paraId="531ACC1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-27.49%</w:t>
            </w:r>
          </w:p>
        </w:tc>
      </w:tr>
      <w:tr w:rsidR="002E0ABE" w:rsidRPr="00A61B56" w14:paraId="739A737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F154D2B" w14:textId="0BC14AA8"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Diplomatic</w:t>
            </w:r>
          </w:p>
        </w:tc>
        <w:tc>
          <w:tcPr>
            <w:tcW w:w="1377" w:type="dxa"/>
            <w:noWrap/>
            <w:hideMark/>
          </w:tcPr>
          <w:p w14:paraId="5F3E30A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36,665</w:t>
            </w:r>
          </w:p>
        </w:tc>
        <w:tc>
          <w:tcPr>
            <w:tcW w:w="1141" w:type="dxa"/>
            <w:noWrap/>
            <w:hideMark/>
          </w:tcPr>
          <w:p w14:paraId="6FDE56A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38,364</w:t>
            </w:r>
          </w:p>
        </w:tc>
        <w:tc>
          <w:tcPr>
            <w:tcW w:w="1697" w:type="dxa"/>
            <w:noWrap/>
            <w:hideMark/>
          </w:tcPr>
          <w:p w14:paraId="3FB0386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-1,699</w:t>
            </w:r>
          </w:p>
        </w:tc>
        <w:tc>
          <w:tcPr>
            <w:tcW w:w="1936" w:type="dxa"/>
            <w:noWrap/>
            <w:hideMark/>
          </w:tcPr>
          <w:p w14:paraId="66700C7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-4.43%</w:t>
            </w:r>
          </w:p>
        </w:tc>
      </w:tr>
      <w:tr w:rsidR="002E0ABE" w:rsidRPr="00A61B56" w14:paraId="6CF61BE7"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74D68D7" w14:textId="3D11AC2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Education</w:t>
            </w:r>
          </w:p>
        </w:tc>
        <w:tc>
          <w:tcPr>
            <w:tcW w:w="1377" w:type="dxa"/>
            <w:noWrap/>
            <w:hideMark/>
          </w:tcPr>
          <w:p w14:paraId="3FBBBF45"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4,228</w:t>
            </w:r>
          </w:p>
        </w:tc>
        <w:tc>
          <w:tcPr>
            <w:tcW w:w="1141" w:type="dxa"/>
            <w:noWrap/>
            <w:hideMark/>
          </w:tcPr>
          <w:p w14:paraId="20A598A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13,879</w:t>
            </w:r>
          </w:p>
        </w:tc>
        <w:tc>
          <w:tcPr>
            <w:tcW w:w="1697" w:type="dxa"/>
            <w:noWrap/>
            <w:hideMark/>
          </w:tcPr>
          <w:p w14:paraId="0BDD14C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-9,651</w:t>
            </w:r>
          </w:p>
        </w:tc>
        <w:tc>
          <w:tcPr>
            <w:tcW w:w="1936" w:type="dxa"/>
            <w:noWrap/>
            <w:hideMark/>
          </w:tcPr>
          <w:p w14:paraId="3B74052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-69.54%</w:t>
            </w:r>
          </w:p>
        </w:tc>
      </w:tr>
      <w:tr w:rsidR="002E0ABE" w:rsidRPr="00A61B56" w14:paraId="1CA7216E"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899675A" w14:textId="2A890F10"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Energy</w:t>
            </w:r>
          </w:p>
        </w:tc>
        <w:tc>
          <w:tcPr>
            <w:tcW w:w="1377" w:type="dxa"/>
            <w:noWrap/>
            <w:hideMark/>
          </w:tcPr>
          <w:p w14:paraId="701EBA0A"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260,754</w:t>
            </w:r>
          </w:p>
        </w:tc>
        <w:tc>
          <w:tcPr>
            <w:tcW w:w="1141" w:type="dxa"/>
            <w:noWrap/>
            <w:hideMark/>
          </w:tcPr>
          <w:p w14:paraId="65D4035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167,082</w:t>
            </w:r>
          </w:p>
        </w:tc>
        <w:tc>
          <w:tcPr>
            <w:tcW w:w="1697" w:type="dxa"/>
            <w:noWrap/>
            <w:hideMark/>
          </w:tcPr>
          <w:p w14:paraId="1192498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93,672</w:t>
            </w:r>
          </w:p>
        </w:tc>
        <w:tc>
          <w:tcPr>
            <w:tcW w:w="1936" w:type="dxa"/>
            <w:noWrap/>
            <w:hideMark/>
          </w:tcPr>
          <w:p w14:paraId="341B76B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56.06%</w:t>
            </w:r>
          </w:p>
        </w:tc>
      </w:tr>
      <w:tr w:rsidR="002E0ABE" w:rsidRPr="00A61B56" w14:paraId="43FB9DE1"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2BA3A99" w14:textId="78B6CDFA"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Environment</w:t>
            </w:r>
          </w:p>
        </w:tc>
        <w:tc>
          <w:tcPr>
            <w:tcW w:w="1377" w:type="dxa"/>
            <w:noWrap/>
            <w:hideMark/>
          </w:tcPr>
          <w:p w14:paraId="4D66DDE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282</w:t>
            </w:r>
          </w:p>
        </w:tc>
        <w:tc>
          <w:tcPr>
            <w:tcW w:w="1141" w:type="dxa"/>
            <w:noWrap/>
            <w:hideMark/>
          </w:tcPr>
          <w:p w14:paraId="7E5C4E25"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362ED01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282</w:t>
            </w:r>
          </w:p>
        </w:tc>
        <w:tc>
          <w:tcPr>
            <w:tcW w:w="1936" w:type="dxa"/>
            <w:noWrap/>
            <w:hideMark/>
          </w:tcPr>
          <w:p w14:paraId="3CF2A6F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036C856E"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6E4A645" w14:textId="27F2FEB1"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Financial</w:t>
            </w:r>
          </w:p>
        </w:tc>
        <w:tc>
          <w:tcPr>
            <w:tcW w:w="1377" w:type="dxa"/>
            <w:noWrap/>
            <w:hideMark/>
          </w:tcPr>
          <w:p w14:paraId="2CCB5D44"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237</w:t>
            </w:r>
          </w:p>
        </w:tc>
        <w:tc>
          <w:tcPr>
            <w:tcW w:w="1141" w:type="dxa"/>
            <w:noWrap/>
            <w:hideMark/>
          </w:tcPr>
          <w:p w14:paraId="10C5B606"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0BE4C020"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237</w:t>
            </w:r>
          </w:p>
        </w:tc>
        <w:tc>
          <w:tcPr>
            <w:tcW w:w="1936" w:type="dxa"/>
            <w:noWrap/>
            <w:hideMark/>
          </w:tcPr>
          <w:p w14:paraId="61AB4B16"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5641743C"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54778CB" w14:textId="109FE1E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Fishery</w:t>
            </w:r>
          </w:p>
        </w:tc>
        <w:tc>
          <w:tcPr>
            <w:tcW w:w="1377" w:type="dxa"/>
            <w:noWrap/>
            <w:hideMark/>
          </w:tcPr>
          <w:p w14:paraId="51F1E78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1,048</w:t>
            </w:r>
          </w:p>
        </w:tc>
        <w:tc>
          <w:tcPr>
            <w:tcW w:w="1141" w:type="dxa"/>
            <w:noWrap/>
            <w:hideMark/>
          </w:tcPr>
          <w:p w14:paraId="484CE3F7"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216</w:t>
            </w:r>
          </w:p>
        </w:tc>
        <w:tc>
          <w:tcPr>
            <w:tcW w:w="1697" w:type="dxa"/>
            <w:noWrap/>
            <w:hideMark/>
          </w:tcPr>
          <w:p w14:paraId="48D2491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832</w:t>
            </w:r>
          </w:p>
        </w:tc>
        <w:tc>
          <w:tcPr>
            <w:tcW w:w="1936" w:type="dxa"/>
            <w:noWrap/>
            <w:hideMark/>
          </w:tcPr>
          <w:p w14:paraId="464B6A7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385.19%</w:t>
            </w:r>
          </w:p>
        </w:tc>
      </w:tr>
      <w:tr w:rsidR="002E0ABE" w:rsidRPr="00A61B56" w14:paraId="36E9CD2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815036E" w14:textId="184D6A6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Health</w:t>
            </w:r>
          </w:p>
        </w:tc>
        <w:tc>
          <w:tcPr>
            <w:tcW w:w="1377" w:type="dxa"/>
            <w:noWrap/>
            <w:hideMark/>
          </w:tcPr>
          <w:p w14:paraId="49316070"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144,305</w:t>
            </w:r>
          </w:p>
        </w:tc>
        <w:tc>
          <w:tcPr>
            <w:tcW w:w="1141" w:type="dxa"/>
            <w:noWrap/>
            <w:hideMark/>
          </w:tcPr>
          <w:p w14:paraId="064D7B7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135,283</w:t>
            </w:r>
          </w:p>
        </w:tc>
        <w:tc>
          <w:tcPr>
            <w:tcW w:w="1697" w:type="dxa"/>
            <w:noWrap/>
            <w:hideMark/>
          </w:tcPr>
          <w:p w14:paraId="658712D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9,022</w:t>
            </w:r>
          </w:p>
        </w:tc>
        <w:tc>
          <w:tcPr>
            <w:tcW w:w="1936" w:type="dxa"/>
            <w:noWrap/>
            <w:hideMark/>
          </w:tcPr>
          <w:p w14:paraId="09EBD22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6.67%</w:t>
            </w:r>
          </w:p>
        </w:tc>
      </w:tr>
      <w:tr w:rsidR="002E0ABE" w:rsidRPr="00A61B56" w14:paraId="2CD4E3A6"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42711B3A" w14:textId="6E0B9595"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Justice</w:t>
            </w:r>
          </w:p>
        </w:tc>
        <w:tc>
          <w:tcPr>
            <w:tcW w:w="1377" w:type="dxa"/>
            <w:noWrap/>
            <w:hideMark/>
          </w:tcPr>
          <w:p w14:paraId="082E5EC9"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75F6E8E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88</w:t>
            </w:r>
          </w:p>
        </w:tc>
        <w:tc>
          <w:tcPr>
            <w:tcW w:w="1697" w:type="dxa"/>
            <w:noWrap/>
            <w:hideMark/>
          </w:tcPr>
          <w:p w14:paraId="1C520CB6"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-88</w:t>
            </w:r>
          </w:p>
        </w:tc>
        <w:tc>
          <w:tcPr>
            <w:tcW w:w="1936" w:type="dxa"/>
            <w:noWrap/>
            <w:hideMark/>
          </w:tcPr>
          <w:p w14:paraId="12BE627C"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327F49A6"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E2E1E68" w14:textId="550449A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Internal Affairs</w:t>
            </w:r>
          </w:p>
        </w:tc>
        <w:tc>
          <w:tcPr>
            <w:tcW w:w="1377" w:type="dxa"/>
            <w:noWrap/>
            <w:hideMark/>
          </w:tcPr>
          <w:p w14:paraId="4A518A72"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102</w:t>
            </w:r>
          </w:p>
        </w:tc>
        <w:tc>
          <w:tcPr>
            <w:tcW w:w="1141" w:type="dxa"/>
            <w:noWrap/>
            <w:hideMark/>
          </w:tcPr>
          <w:p w14:paraId="35390B43"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6871C6A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102</w:t>
            </w:r>
          </w:p>
        </w:tc>
        <w:tc>
          <w:tcPr>
            <w:tcW w:w="1936" w:type="dxa"/>
            <w:noWrap/>
            <w:hideMark/>
          </w:tcPr>
          <w:p w14:paraId="6FDDFEA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00157363"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8393E3E" w14:textId="1C33C17B"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Local Government</w:t>
            </w:r>
          </w:p>
        </w:tc>
        <w:tc>
          <w:tcPr>
            <w:tcW w:w="1377" w:type="dxa"/>
            <w:noWrap/>
            <w:hideMark/>
          </w:tcPr>
          <w:p w14:paraId="2715C1AB"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08B37B3E"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868</w:t>
            </w:r>
          </w:p>
        </w:tc>
        <w:tc>
          <w:tcPr>
            <w:tcW w:w="1697" w:type="dxa"/>
            <w:noWrap/>
            <w:hideMark/>
          </w:tcPr>
          <w:p w14:paraId="688B9CE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-868</w:t>
            </w:r>
          </w:p>
        </w:tc>
        <w:tc>
          <w:tcPr>
            <w:tcW w:w="1936" w:type="dxa"/>
            <w:noWrap/>
            <w:hideMark/>
          </w:tcPr>
          <w:p w14:paraId="4F0EA67A"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0F16AEC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1F84101" w14:textId="6FF7DDC2"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Manufacturing</w:t>
            </w:r>
          </w:p>
        </w:tc>
        <w:tc>
          <w:tcPr>
            <w:tcW w:w="1377" w:type="dxa"/>
            <w:noWrap/>
            <w:hideMark/>
          </w:tcPr>
          <w:p w14:paraId="3BE2AB5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236,113</w:t>
            </w:r>
          </w:p>
        </w:tc>
        <w:tc>
          <w:tcPr>
            <w:tcW w:w="1141" w:type="dxa"/>
            <w:noWrap/>
            <w:hideMark/>
          </w:tcPr>
          <w:p w14:paraId="01D4FAC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118,902</w:t>
            </w:r>
          </w:p>
        </w:tc>
        <w:tc>
          <w:tcPr>
            <w:tcW w:w="1697" w:type="dxa"/>
            <w:noWrap/>
            <w:hideMark/>
          </w:tcPr>
          <w:p w14:paraId="62A4B480"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117,211</w:t>
            </w:r>
          </w:p>
        </w:tc>
        <w:tc>
          <w:tcPr>
            <w:tcW w:w="1936" w:type="dxa"/>
            <w:noWrap/>
            <w:hideMark/>
          </w:tcPr>
          <w:p w14:paraId="63AD6C0A"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98.58%</w:t>
            </w:r>
          </w:p>
        </w:tc>
      </w:tr>
      <w:tr w:rsidR="002E0ABE" w:rsidRPr="00A61B56" w14:paraId="170EB537"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43CA8EA" w14:textId="0242DB00"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Migration</w:t>
            </w:r>
          </w:p>
        </w:tc>
        <w:tc>
          <w:tcPr>
            <w:tcW w:w="1377" w:type="dxa"/>
            <w:noWrap/>
            <w:hideMark/>
          </w:tcPr>
          <w:p w14:paraId="56290CEC"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7FE1939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59</w:t>
            </w:r>
          </w:p>
        </w:tc>
        <w:tc>
          <w:tcPr>
            <w:tcW w:w="1697" w:type="dxa"/>
            <w:noWrap/>
            <w:hideMark/>
          </w:tcPr>
          <w:p w14:paraId="0BE7401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-59</w:t>
            </w:r>
          </w:p>
        </w:tc>
        <w:tc>
          <w:tcPr>
            <w:tcW w:w="1936" w:type="dxa"/>
            <w:noWrap/>
            <w:hideMark/>
          </w:tcPr>
          <w:p w14:paraId="4191F27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6593054C"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A4AC27E" w14:textId="57E2BAD9"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Mineral</w:t>
            </w:r>
          </w:p>
        </w:tc>
        <w:tc>
          <w:tcPr>
            <w:tcW w:w="1377" w:type="dxa"/>
            <w:noWrap/>
            <w:hideMark/>
          </w:tcPr>
          <w:p w14:paraId="1114288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20,973</w:t>
            </w:r>
          </w:p>
        </w:tc>
        <w:tc>
          <w:tcPr>
            <w:tcW w:w="1141" w:type="dxa"/>
            <w:noWrap/>
            <w:hideMark/>
          </w:tcPr>
          <w:p w14:paraId="4D62905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26,736</w:t>
            </w:r>
          </w:p>
        </w:tc>
        <w:tc>
          <w:tcPr>
            <w:tcW w:w="1697" w:type="dxa"/>
            <w:noWrap/>
            <w:hideMark/>
          </w:tcPr>
          <w:p w14:paraId="59482B4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-5,763</w:t>
            </w:r>
          </w:p>
        </w:tc>
        <w:tc>
          <w:tcPr>
            <w:tcW w:w="1936" w:type="dxa"/>
            <w:noWrap/>
            <w:hideMark/>
          </w:tcPr>
          <w:p w14:paraId="40B11C2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-21.56%</w:t>
            </w:r>
          </w:p>
        </w:tc>
      </w:tr>
      <w:tr w:rsidR="002E0ABE" w:rsidRPr="00A61B56" w14:paraId="50EF7728"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43F26B9" w14:textId="6289B588"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Minister</w:t>
            </w:r>
          </w:p>
        </w:tc>
        <w:tc>
          <w:tcPr>
            <w:tcW w:w="1377" w:type="dxa"/>
            <w:noWrap/>
            <w:hideMark/>
          </w:tcPr>
          <w:p w14:paraId="15BD798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171</w:t>
            </w:r>
          </w:p>
        </w:tc>
        <w:tc>
          <w:tcPr>
            <w:tcW w:w="1141" w:type="dxa"/>
            <w:noWrap/>
            <w:hideMark/>
          </w:tcPr>
          <w:p w14:paraId="20ECD0BE"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3810DD8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171</w:t>
            </w:r>
          </w:p>
        </w:tc>
        <w:tc>
          <w:tcPr>
            <w:tcW w:w="1936" w:type="dxa"/>
            <w:noWrap/>
            <w:hideMark/>
          </w:tcPr>
          <w:p w14:paraId="7A0FF32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60F1B394"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DBB13AC" w14:textId="79EB24FE"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NCRA</w:t>
            </w:r>
          </w:p>
        </w:tc>
        <w:tc>
          <w:tcPr>
            <w:tcW w:w="1377" w:type="dxa"/>
            <w:noWrap/>
            <w:hideMark/>
          </w:tcPr>
          <w:p w14:paraId="5CEE74AA"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42FE8D07"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2,236</w:t>
            </w:r>
          </w:p>
        </w:tc>
        <w:tc>
          <w:tcPr>
            <w:tcW w:w="1697" w:type="dxa"/>
            <w:noWrap/>
            <w:hideMark/>
          </w:tcPr>
          <w:p w14:paraId="3A751544"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-2,236</w:t>
            </w:r>
          </w:p>
        </w:tc>
        <w:tc>
          <w:tcPr>
            <w:tcW w:w="1936" w:type="dxa"/>
            <w:noWrap/>
            <w:hideMark/>
          </w:tcPr>
          <w:p w14:paraId="38BDB5BC"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72430259"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3831D24" w14:textId="669CC095"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Office of the President</w:t>
            </w:r>
          </w:p>
        </w:tc>
        <w:tc>
          <w:tcPr>
            <w:tcW w:w="1377" w:type="dxa"/>
            <w:noWrap/>
            <w:hideMark/>
          </w:tcPr>
          <w:p w14:paraId="4801C8E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18,582</w:t>
            </w:r>
          </w:p>
        </w:tc>
        <w:tc>
          <w:tcPr>
            <w:tcW w:w="1141" w:type="dxa"/>
            <w:noWrap/>
            <w:hideMark/>
          </w:tcPr>
          <w:p w14:paraId="0784B25E"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2,464</w:t>
            </w:r>
          </w:p>
        </w:tc>
        <w:tc>
          <w:tcPr>
            <w:tcW w:w="1697" w:type="dxa"/>
            <w:noWrap/>
            <w:hideMark/>
          </w:tcPr>
          <w:p w14:paraId="08BB63F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16,118</w:t>
            </w:r>
          </w:p>
        </w:tc>
        <w:tc>
          <w:tcPr>
            <w:tcW w:w="1936" w:type="dxa"/>
            <w:noWrap/>
            <w:hideMark/>
          </w:tcPr>
          <w:p w14:paraId="17F6CDD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654.14%</w:t>
            </w:r>
          </w:p>
        </w:tc>
      </w:tr>
      <w:tr w:rsidR="002E0ABE" w:rsidRPr="00A61B56" w14:paraId="4AE6B7AC"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FBE035A" w14:textId="40956A30"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OIL</w:t>
            </w:r>
          </w:p>
        </w:tc>
        <w:tc>
          <w:tcPr>
            <w:tcW w:w="1377" w:type="dxa"/>
            <w:noWrap/>
            <w:hideMark/>
          </w:tcPr>
          <w:p w14:paraId="07934048"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13,624</w:t>
            </w:r>
          </w:p>
        </w:tc>
        <w:tc>
          <w:tcPr>
            <w:tcW w:w="1141" w:type="dxa"/>
            <w:noWrap/>
            <w:hideMark/>
          </w:tcPr>
          <w:p w14:paraId="3715C08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636</w:t>
            </w:r>
          </w:p>
        </w:tc>
        <w:tc>
          <w:tcPr>
            <w:tcW w:w="1697" w:type="dxa"/>
            <w:noWrap/>
            <w:hideMark/>
          </w:tcPr>
          <w:p w14:paraId="5888DC7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12,988</w:t>
            </w:r>
          </w:p>
        </w:tc>
        <w:tc>
          <w:tcPr>
            <w:tcW w:w="1936" w:type="dxa"/>
            <w:noWrap/>
            <w:hideMark/>
          </w:tcPr>
          <w:p w14:paraId="157F2CC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2042.14%</w:t>
            </w:r>
          </w:p>
        </w:tc>
      </w:tr>
      <w:tr w:rsidR="002E0ABE" w:rsidRPr="00A61B56" w14:paraId="64464351"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10211D5A" w14:textId="26AFD47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Parliament</w:t>
            </w:r>
          </w:p>
        </w:tc>
        <w:tc>
          <w:tcPr>
            <w:tcW w:w="1377" w:type="dxa"/>
            <w:noWrap/>
            <w:hideMark/>
          </w:tcPr>
          <w:p w14:paraId="616FAD55"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304</w:t>
            </w:r>
          </w:p>
        </w:tc>
        <w:tc>
          <w:tcPr>
            <w:tcW w:w="1141" w:type="dxa"/>
            <w:noWrap/>
            <w:hideMark/>
          </w:tcPr>
          <w:p w14:paraId="1459731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563</w:t>
            </w:r>
          </w:p>
        </w:tc>
        <w:tc>
          <w:tcPr>
            <w:tcW w:w="1697" w:type="dxa"/>
            <w:noWrap/>
            <w:hideMark/>
          </w:tcPr>
          <w:p w14:paraId="46A111B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-259</w:t>
            </w:r>
          </w:p>
        </w:tc>
        <w:tc>
          <w:tcPr>
            <w:tcW w:w="1936" w:type="dxa"/>
            <w:noWrap/>
            <w:hideMark/>
          </w:tcPr>
          <w:p w14:paraId="2C30B96D"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-46.00%</w:t>
            </w:r>
          </w:p>
        </w:tc>
      </w:tr>
      <w:tr w:rsidR="002E0ABE" w:rsidRPr="00A61B56" w14:paraId="17F6631E"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76916785" w14:textId="013C1E0E" w:rsidR="002E0ABE" w:rsidRPr="00A61B56" w:rsidRDefault="002E0ABE">
            <w:pPr>
              <w:rPr>
                <w:rFonts w:ascii="Baskerville Old Face" w:hAnsi="Baskerville Old Face" w:cs="Times New Roman"/>
                <w:b w:val="0"/>
                <w:bCs w:val="0"/>
              </w:rPr>
            </w:pPr>
            <w:proofErr w:type="spellStart"/>
            <w:r w:rsidRPr="00A61B56">
              <w:rPr>
                <w:rFonts w:ascii="Baskerville Old Face" w:hAnsi="Baskerville Old Face" w:cs="Times New Roman"/>
                <w:b w:val="0"/>
                <w:bCs w:val="0"/>
              </w:rPr>
              <w:t>Privatisation</w:t>
            </w:r>
            <w:proofErr w:type="spellEnd"/>
          </w:p>
        </w:tc>
        <w:tc>
          <w:tcPr>
            <w:tcW w:w="1377" w:type="dxa"/>
            <w:noWrap/>
            <w:hideMark/>
          </w:tcPr>
          <w:p w14:paraId="433D4523"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141" w:type="dxa"/>
            <w:noWrap/>
            <w:hideMark/>
          </w:tcPr>
          <w:p w14:paraId="2092383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37</w:t>
            </w:r>
          </w:p>
        </w:tc>
        <w:tc>
          <w:tcPr>
            <w:tcW w:w="1697" w:type="dxa"/>
            <w:noWrap/>
            <w:hideMark/>
          </w:tcPr>
          <w:p w14:paraId="248464E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-37</w:t>
            </w:r>
          </w:p>
        </w:tc>
        <w:tc>
          <w:tcPr>
            <w:tcW w:w="1936" w:type="dxa"/>
            <w:noWrap/>
            <w:hideMark/>
          </w:tcPr>
          <w:p w14:paraId="062015F1"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-100.00%</w:t>
            </w:r>
          </w:p>
        </w:tc>
      </w:tr>
      <w:tr w:rsidR="002E0ABE" w:rsidRPr="00A61B56" w14:paraId="640B7C31"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624541F3" w14:textId="5EB0E9A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Security</w:t>
            </w:r>
          </w:p>
        </w:tc>
        <w:tc>
          <w:tcPr>
            <w:tcW w:w="1377" w:type="dxa"/>
            <w:noWrap/>
            <w:hideMark/>
          </w:tcPr>
          <w:p w14:paraId="15FFEF2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3,307</w:t>
            </w:r>
          </w:p>
        </w:tc>
        <w:tc>
          <w:tcPr>
            <w:tcW w:w="1141" w:type="dxa"/>
            <w:noWrap/>
            <w:hideMark/>
          </w:tcPr>
          <w:p w14:paraId="16859564"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1,290</w:t>
            </w:r>
          </w:p>
        </w:tc>
        <w:tc>
          <w:tcPr>
            <w:tcW w:w="1697" w:type="dxa"/>
            <w:noWrap/>
            <w:hideMark/>
          </w:tcPr>
          <w:p w14:paraId="1DC0CCFC"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2,017</w:t>
            </w:r>
          </w:p>
        </w:tc>
        <w:tc>
          <w:tcPr>
            <w:tcW w:w="1936" w:type="dxa"/>
            <w:noWrap/>
            <w:hideMark/>
          </w:tcPr>
          <w:p w14:paraId="0884A71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156.36%</w:t>
            </w:r>
          </w:p>
        </w:tc>
      </w:tr>
      <w:tr w:rsidR="002E0ABE" w:rsidRPr="00A61B56" w14:paraId="71DE882D"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27A84549" w14:textId="5D771E4D"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Social Welfare</w:t>
            </w:r>
          </w:p>
        </w:tc>
        <w:tc>
          <w:tcPr>
            <w:tcW w:w="1377" w:type="dxa"/>
            <w:noWrap/>
            <w:hideMark/>
          </w:tcPr>
          <w:p w14:paraId="7D76C10E"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35,953</w:t>
            </w:r>
          </w:p>
        </w:tc>
        <w:tc>
          <w:tcPr>
            <w:tcW w:w="1141" w:type="dxa"/>
            <w:noWrap/>
            <w:hideMark/>
          </w:tcPr>
          <w:p w14:paraId="4FD9377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48,037</w:t>
            </w:r>
          </w:p>
        </w:tc>
        <w:tc>
          <w:tcPr>
            <w:tcW w:w="1697" w:type="dxa"/>
            <w:noWrap/>
            <w:hideMark/>
          </w:tcPr>
          <w:p w14:paraId="5B32848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-12,084</w:t>
            </w:r>
          </w:p>
        </w:tc>
        <w:tc>
          <w:tcPr>
            <w:tcW w:w="1936" w:type="dxa"/>
            <w:noWrap/>
            <w:hideMark/>
          </w:tcPr>
          <w:p w14:paraId="3C144D1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-25.16%</w:t>
            </w:r>
          </w:p>
        </w:tc>
      </w:tr>
      <w:tr w:rsidR="002E0ABE" w:rsidRPr="00A61B56" w14:paraId="1F69F26F"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011B2D39" w14:textId="4A2F6229"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Sports</w:t>
            </w:r>
          </w:p>
        </w:tc>
        <w:tc>
          <w:tcPr>
            <w:tcW w:w="1377" w:type="dxa"/>
            <w:noWrap/>
            <w:hideMark/>
          </w:tcPr>
          <w:p w14:paraId="0AA29563"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22,787</w:t>
            </w:r>
          </w:p>
        </w:tc>
        <w:tc>
          <w:tcPr>
            <w:tcW w:w="1141" w:type="dxa"/>
            <w:noWrap/>
            <w:hideMark/>
          </w:tcPr>
          <w:p w14:paraId="1A49BAD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13,355</w:t>
            </w:r>
          </w:p>
        </w:tc>
        <w:tc>
          <w:tcPr>
            <w:tcW w:w="1697" w:type="dxa"/>
            <w:noWrap/>
            <w:hideMark/>
          </w:tcPr>
          <w:p w14:paraId="199211E8"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9,432</w:t>
            </w:r>
          </w:p>
        </w:tc>
        <w:tc>
          <w:tcPr>
            <w:tcW w:w="1936" w:type="dxa"/>
            <w:noWrap/>
            <w:hideMark/>
          </w:tcPr>
          <w:p w14:paraId="13C59ECE"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70.63%</w:t>
            </w:r>
          </w:p>
        </w:tc>
      </w:tr>
      <w:tr w:rsidR="002E0ABE" w:rsidRPr="00A61B56" w14:paraId="1C468409"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E8640E3" w14:textId="1D50DEF3"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Tourism</w:t>
            </w:r>
          </w:p>
        </w:tc>
        <w:tc>
          <w:tcPr>
            <w:tcW w:w="1377" w:type="dxa"/>
            <w:noWrap/>
            <w:hideMark/>
          </w:tcPr>
          <w:p w14:paraId="3F741B45"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442</w:t>
            </w:r>
          </w:p>
        </w:tc>
        <w:tc>
          <w:tcPr>
            <w:tcW w:w="1141" w:type="dxa"/>
            <w:noWrap/>
            <w:hideMark/>
          </w:tcPr>
          <w:p w14:paraId="6446FD48" w14:textId="77777777" w:rsidR="002E0ABE" w:rsidRPr="00A61B56" w:rsidRDefault="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126F9D7C"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442</w:t>
            </w:r>
          </w:p>
        </w:tc>
        <w:tc>
          <w:tcPr>
            <w:tcW w:w="1936" w:type="dxa"/>
            <w:noWrap/>
            <w:hideMark/>
          </w:tcPr>
          <w:p w14:paraId="5EF947D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7AA61450"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8442130" w14:textId="25AFDB5E"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Trade</w:t>
            </w:r>
          </w:p>
        </w:tc>
        <w:tc>
          <w:tcPr>
            <w:tcW w:w="1377" w:type="dxa"/>
            <w:noWrap/>
            <w:hideMark/>
          </w:tcPr>
          <w:p w14:paraId="48BA190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3,362</w:t>
            </w:r>
          </w:p>
        </w:tc>
        <w:tc>
          <w:tcPr>
            <w:tcW w:w="1141" w:type="dxa"/>
            <w:noWrap/>
            <w:hideMark/>
          </w:tcPr>
          <w:p w14:paraId="2660407F"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4,137</w:t>
            </w:r>
          </w:p>
        </w:tc>
        <w:tc>
          <w:tcPr>
            <w:tcW w:w="1697" w:type="dxa"/>
            <w:noWrap/>
            <w:hideMark/>
          </w:tcPr>
          <w:p w14:paraId="55971F21"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-775</w:t>
            </w:r>
          </w:p>
        </w:tc>
        <w:tc>
          <w:tcPr>
            <w:tcW w:w="1936" w:type="dxa"/>
            <w:noWrap/>
            <w:hideMark/>
          </w:tcPr>
          <w:p w14:paraId="21920A69"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-18.73%</w:t>
            </w:r>
          </w:p>
        </w:tc>
      </w:tr>
      <w:tr w:rsidR="002E0ABE" w:rsidRPr="00A61B56" w14:paraId="28B078DB"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50664DC7" w14:textId="4026F06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Transport</w:t>
            </w:r>
          </w:p>
        </w:tc>
        <w:tc>
          <w:tcPr>
            <w:tcW w:w="1377" w:type="dxa"/>
            <w:noWrap/>
            <w:hideMark/>
          </w:tcPr>
          <w:p w14:paraId="7FC2A9ED"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13,821</w:t>
            </w:r>
          </w:p>
        </w:tc>
        <w:tc>
          <w:tcPr>
            <w:tcW w:w="1141" w:type="dxa"/>
            <w:noWrap/>
            <w:hideMark/>
          </w:tcPr>
          <w:p w14:paraId="69FDD2BF"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26,525</w:t>
            </w:r>
          </w:p>
        </w:tc>
        <w:tc>
          <w:tcPr>
            <w:tcW w:w="1697" w:type="dxa"/>
            <w:noWrap/>
            <w:hideMark/>
          </w:tcPr>
          <w:p w14:paraId="498AC7B9"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-12,704</w:t>
            </w:r>
          </w:p>
        </w:tc>
        <w:tc>
          <w:tcPr>
            <w:tcW w:w="1936" w:type="dxa"/>
            <w:noWrap/>
            <w:hideMark/>
          </w:tcPr>
          <w:p w14:paraId="6C1CD1F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-47.89%</w:t>
            </w:r>
          </w:p>
        </w:tc>
      </w:tr>
      <w:tr w:rsidR="002E0ABE" w:rsidRPr="00A61B56" w14:paraId="2817D6D4"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151927FA" w14:textId="054611F6"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UN Agency</w:t>
            </w:r>
          </w:p>
        </w:tc>
        <w:tc>
          <w:tcPr>
            <w:tcW w:w="1377" w:type="dxa"/>
            <w:noWrap/>
            <w:hideMark/>
          </w:tcPr>
          <w:p w14:paraId="011F6110"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96,176</w:t>
            </w:r>
          </w:p>
        </w:tc>
        <w:tc>
          <w:tcPr>
            <w:tcW w:w="1141" w:type="dxa"/>
            <w:noWrap/>
            <w:hideMark/>
          </w:tcPr>
          <w:p w14:paraId="2BDB61FB" w14:textId="77777777" w:rsidR="002E0ABE" w:rsidRPr="00A61B56" w:rsidRDefault="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c>
          <w:tcPr>
            <w:tcW w:w="1697" w:type="dxa"/>
            <w:noWrap/>
            <w:hideMark/>
          </w:tcPr>
          <w:p w14:paraId="1A4A926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96,176</w:t>
            </w:r>
          </w:p>
        </w:tc>
        <w:tc>
          <w:tcPr>
            <w:tcW w:w="1936" w:type="dxa"/>
            <w:noWrap/>
            <w:hideMark/>
          </w:tcPr>
          <w:p w14:paraId="39DE816C"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 </w:t>
            </w:r>
          </w:p>
        </w:tc>
      </w:tr>
      <w:tr w:rsidR="002E0ABE" w:rsidRPr="00A61B56" w14:paraId="31C50F38" w14:textId="77777777" w:rsidTr="00B90B6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359942DB" w14:textId="0F01B519" w:rsidR="002E0ABE" w:rsidRPr="00A61B56" w:rsidRDefault="002E0ABE">
            <w:pPr>
              <w:rPr>
                <w:rFonts w:ascii="Baskerville Old Face" w:hAnsi="Baskerville Old Face" w:cs="Times New Roman"/>
                <w:b w:val="0"/>
                <w:bCs w:val="0"/>
              </w:rPr>
            </w:pPr>
            <w:r w:rsidRPr="00A61B56">
              <w:rPr>
                <w:rFonts w:ascii="Baskerville Old Face" w:hAnsi="Baskerville Old Face" w:cs="Times New Roman"/>
                <w:b w:val="0"/>
                <w:bCs w:val="0"/>
              </w:rPr>
              <w:t>Water Resources</w:t>
            </w:r>
          </w:p>
        </w:tc>
        <w:tc>
          <w:tcPr>
            <w:tcW w:w="1377" w:type="dxa"/>
            <w:noWrap/>
            <w:hideMark/>
          </w:tcPr>
          <w:p w14:paraId="53A69C1B"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3,645</w:t>
            </w:r>
          </w:p>
        </w:tc>
        <w:tc>
          <w:tcPr>
            <w:tcW w:w="1141" w:type="dxa"/>
            <w:noWrap/>
            <w:hideMark/>
          </w:tcPr>
          <w:p w14:paraId="39BF9BC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7,143</w:t>
            </w:r>
          </w:p>
        </w:tc>
        <w:tc>
          <w:tcPr>
            <w:tcW w:w="1697" w:type="dxa"/>
            <w:noWrap/>
            <w:hideMark/>
          </w:tcPr>
          <w:p w14:paraId="06C76D85"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-3,498</w:t>
            </w:r>
          </w:p>
        </w:tc>
        <w:tc>
          <w:tcPr>
            <w:tcW w:w="1936" w:type="dxa"/>
            <w:noWrap/>
            <w:hideMark/>
          </w:tcPr>
          <w:p w14:paraId="2BC14D73" w14:textId="77777777" w:rsidR="002E0ABE" w:rsidRPr="00A61B56" w:rsidRDefault="002E0ABE" w:rsidP="002E0ABE">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61B56">
              <w:rPr>
                <w:rFonts w:ascii="Baskerville Old Face" w:hAnsi="Baskerville Old Face" w:cs="Times New Roman"/>
              </w:rPr>
              <w:t>-48.97%</w:t>
            </w:r>
          </w:p>
        </w:tc>
      </w:tr>
      <w:tr w:rsidR="002E0ABE" w:rsidRPr="00A61B56" w14:paraId="7FFA271C" w14:textId="77777777" w:rsidTr="00B90B69">
        <w:trPr>
          <w:trHeight w:val="324"/>
        </w:trPr>
        <w:tc>
          <w:tcPr>
            <w:cnfStyle w:val="001000000000" w:firstRow="0" w:lastRow="0" w:firstColumn="1" w:lastColumn="0" w:oddVBand="0" w:evenVBand="0" w:oddHBand="0" w:evenHBand="0" w:firstRowFirstColumn="0" w:firstRowLastColumn="0" w:lastRowFirstColumn="0" w:lastRowLastColumn="0"/>
            <w:tcW w:w="3413" w:type="dxa"/>
            <w:noWrap/>
            <w:hideMark/>
          </w:tcPr>
          <w:p w14:paraId="6FE59408" w14:textId="77777777" w:rsidR="002E0ABE" w:rsidRPr="00A61B56" w:rsidRDefault="002E0ABE">
            <w:pPr>
              <w:rPr>
                <w:rFonts w:ascii="Baskerville Old Face" w:hAnsi="Baskerville Old Face" w:cs="Times New Roman"/>
              </w:rPr>
            </w:pPr>
            <w:r w:rsidRPr="00A61B56">
              <w:rPr>
                <w:rFonts w:ascii="Baskerville Old Face" w:hAnsi="Baskerville Old Face" w:cs="Times New Roman"/>
              </w:rPr>
              <w:t>TOTAL</w:t>
            </w:r>
          </w:p>
        </w:tc>
        <w:tc>
          <w:tcPr>
            <w:tcW w:w="1377" w:type="dxa"/>
            <w:noWrap/>
            <w:hideMark/>
          </w:tcPr>
          <w:p w14:paraId="556CFC0E" w14:textId="61F40A0A"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highlight w:val="yellow"/>
              </w:rPr>
            </w:pPr>
            <w:r w:rsidRPr="00F157F2">
              <w:rPr>
                <w:rFonts w:ascii="Baskerville Old Face" w:hAnsi="Baskerville Old Face" w:cs="Times New Roman"/>
                <w:b/>
                <w:bCs/>
              </w:rPr>
              <w:t>1,055,13</w:t>
            </w:r>
            <w:r w:rsidR="00BA350D" w:rsidRPr="00F157F2">
              <w:rPr>
                <w:rFonts w:ascii="Baskerville Old Face" w:hAnsi="Baskerville Old Face" w:cs="Times New Roman"/>
                <w:b/>
                <w:bCs/>
              </w:rPr>
              <w:t>2</w:t>
            </w:r>
          </w:p>
        </w:tc>
        <w:tc>
          <w:tcPr>
            <w:tcW w:w="1141" w:type="dxa"/>
            <w:noWrap/>
            <w:hideMark/>
          </w:tcPr>
          <w:p w14:paraId="510E7662"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highlight w:val="yellow"/>
              </w:rPr>
            </w:pPr>
            <w:r w:rsidRPr="00A61B56">
              <w:rPr>
                <w:rFonts w:ascii="Baskerville Old Face" w:hAnsi="Baskerville Old Face" w:cs="Times New Roman"/>
                <w:b/>
                <w:bCs/>
              </w:rPr>
              <w:t>703,639</w:t>
            </w:r>
          </w:p>
        </w:tc>
        <w:tc>
          <w:tcPr>
            <w:tcW w:w="1697" w:type="dxa"/>
            <w:noWrap/>
            <w:hideMark/>
          </w:tcPr>
          <w:p w14:paraId="32E06A84" w14:textId="51CF0C43"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highlight w:val="yellow"/>
              </w:rPr>
            </w:pPr>
            <w:r w:rsidRPr="00F157F2">
              <w:rPr>
                <w:rFonts w:ascii="Baskerville Old Face" w:hAnsi="Baskerville Old Face" w:cs="Times New Roman"/>
                <w:b/>
                <w:bCs/>
              </w:rPr>
              <w:t>351,49</w:t>
            </w:r>
            <w:r w:rsidR="00BA350D" w:rsidRPr="00F157F2">
              <w:rPr>
                <w:rFonts w:ascii="Baskerville Old Face" w:hAnsi="Baskerville Old Face" w:cs="Times New Roman"/>
                <w:b/>
                <w:bCs/>
              </w:rPr>
              <w:t>3</w:t>
            </w:r>
          </w:p>
        </w:tc>
        <w:tc>
          <w:tcPr>
            <w:tcW w:w="1936" w:type="dxa"/>
            <w:noWrap/>
            <w:hideMark/>
          </w:tcPr>
          <w:p w14:paraId="6663066B" w14:textId="77777777" w:rsidR="002E0ABE" w:rsidRPr="00A61B56" w:rsidRDefault="002E0ABE" w:rsidP="002E0ABE">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61B56">
              <w:rPr>
                <w:rFonts w:ascii="Baskerville Old Face" w:hAnsi="Baskerville Old Face" w:cs="Times New Roman"/>
                <w:b/>
                <w:bCs/>
              </w:rPr>
              <w:t>49.95%</w:t>
            </w:r>
          </w:p>
        </w:tc>
      </w:tr>
    </w:tbl>
    <w:p w14:paraId="63A9CB13" w14:textId="0442D525" w:rsidR="00AD2A60" w:rsidRPr="00D04E78" w:rsidRDefault="00B90B69" w:rsidP="00D04E78">
      <w:pPr>
        <w:rPr>
          <w:rFonts w:ascii="Baskerville Old Face" w:hAnsi="Baskerville Old Face" w:cs="Times New Roman"/>
          <w:i/>
          <w:iCs/>
          <w:sz w:val="18"/>
          <w:szCs w:val="18"/>
        </w:rPr>
      </w:pPr>
      <w:r w:rsidRPr="00B90B69">
        <w:rPr>
          <w:rFonts w:ascii="Baskerville Old Face" w:hAnsi="Baskerville Old Face" w:cs="Times New Roman"/>
          <w:i/>
          <w:iCs/>
          <w:sz w:val="18"/>
          <w:szCs w:val="18"/>
        </w:rPr>
        <w:t>Source: MRP Department</w:t>
      </w:r>
    </w:p>
    <w:p w14:paraId="11B36263" w14:textId="77777777" w:rsidR="00AA51A6" w:rsidRDefault="00AA51A6" w:rsidP="00F32446">
      <w:pPr>
        <w:pStyle w:val="Heading1"/>
        <w:rPr>
          <w:color w:val="002060"/>
        </w:rPr>
      </w:pPr>
      <w:bookmarkStart w:id="22" w:name="_Toc198205664"/>
    </w:p>
    <w:p w14:paraId="32368543" w14:textId="40FBA9F1" w:rsidR="0008160F" w:rsidRPr="00220584" w:rsidRDefault="00453F41" w:rsidP="00F32446">
      <w:pPr>
        <w:pStyle w:val="Heading1"/>
        <w:rPr>
          <w:color w:val="002060"/>
        </w:rPr>
      </w:pPr>
      <w:r w:rsidRPr="00220584">
        <w:rPr>
          <w:color w:val="002060"/>
        </w:rPr>
        <w:lastRenderedPageBreak/>
        <w:t>CHAPTER THREE</w:t>
      </w:r>
      <w:r w:rsidR="00F32446" w:rsidRPr="00220584">
        <w:rPr>
          <w:color w:val="002060"/>
        </w:rPr>
        <w:t xml:space="preserve">: </w:t>
      </w:r>
      <w:r w:rsidRPr="00220584">
        <w:rPr>
          <w:color w:val="002060"/>
        </w:rPr>
        <w:t>KEY NON-REVENUE ACHIEVEMENTS</w:t>
      </w:r>
      <w:bookmarkEnd w:id="22"/>
    </w:p>
    <w:p w14:paraId="3EE8C6A5" w14:textId="6334D795" w:rsidR="0008160F" w:rsidRDefault="00C77C72" w:rsidP="00C77C72">
      <w:pPr>
        <w:spacing w:line="360" w:lineRule="auto"/>
        <w:jc w:val="both"/>
        <w:rPr>
          <w:rFonts w:ascii="Baskerville Old Face" w:hAnsi="Baskerville Old Face" w:cs="Times New Roman"/>
          <w:sz w:val="24"/>
          <w:szCs w:val="24"/>
        </w:rPr>
      </w:pPr>
      <w:r w:rsidRPr="00C77C72">
        <w:rPr>
          <w:rFonts w:ascii="Baskerville Old Face" w:hAnsi="Baskerville Old Face" w:cs="Times New Roman"/>
          <w:sz w:val="24"/>
          <w:szCs w:val="24"/>
        </w:rPr>
        <w:t xml:space="preserve">This chapter provides a comprehensive </w:t>
      </w:r>
      <w:r w:rsidR="00C13433">
        <w:rPr>
          <w:rFonts w:ascii="Baskerville Old Face" w:hAnsi="Baskerville Old Face" w:cs="Times New Roman"/>
          <w:sz w:val="24"/>
          <w:szCs w:val="24"/>
        </w:rPr>
        <w:t>update</w:t>
      </w:r>
      <w:r w:rsidRPr="00C77C72">
        <w:rPr>
          <w:rFonts w:ascii="Baskerville Old Face" w:hAnsi="Baskerville Old Face" w:cs="Times New Roman"/>
          <w:sz w:val="24"/>
          <w:szCs w:val="24"/>
        </w:rPr>
        <w:t xml:space="preserve"> of non-revenue achievements in 2023, spanning multiple functional areas such as </w:t>
      </w:r>
      <w:r w:rsidR="00C13433">
        <w:rPr>
          <w:rFonts w:ascii="Baskerville Old Face" w:hAnsi="Baskerville Old Face" w:cs="Times New Roman"/>
          <w:sz w:val="24"/>
          <w:szCs w:val="24"/>
        </w:rPr>
        <w:t>taxpayers</w:t>
      </w:r>
      <w:r w:rsidR="007215FF">
        <w:rPr>
          <w:rFonts w:ascii="Baskerville Old Face" w:hAnsi="Baskerville Old Face" w:cs="Times New Roman"/>
          <w:sz w:val="24"/>
          <w:szCs w:val="24"/>
        </w:rPr>
        <w:t>’</w:t>
      </w:r>
      <w:r w:rsidR="00C13433">
        <w:rPr>
          <w:rFonts w:ascii="Baskerville Old Face" w:hAnsi="Baskerville Old Face" w:cs="Times New Roman"/>
          <w:sz w:val="24"/>
          <w:szCs w:val="24"/>
        </w:rPr>
        <w:t xml:space="preserve"> and </w:t>
      </w:r>
      <w:r w:rsidR="007215FF">
        <w:rPr>
          <w:rFonts w:ascii="Baskerville Old Face" w:hAnsi="Baskerville Old Face" w:cs="Times New Roman"/>
          <w:sz w:val="24"/>
          <w:szCs w:val="24"/>
        </w:rPr>
        <w:t>stakeholders’</w:t>
      </w:r>
      <w:r w:rsidR="00C13433">
        <w:rPr>
          <w:rFonts w:ascii="Baskerville Old Face" w:hAnsi="Baskerville Old Face" w:cs="Times New Roman"/>
          <w:sz w:val="24"/>
          <w:szCs w:val="24"/>
        </w:rPr>
        <w:t xml:space="preserve"> engagement, </w:t>
      </w:r>
      <w:r w:rsidRPr="00C77C72">
        <w:rPr>
          <w:rFonts w:ascii="Baskerville Old Face" w:hAnsi="Baskerville Old Face" w:cs="Times New Roman"/>
          <w:sz w:val="24"/>
          <w:szCs w:val="24"/>
        </w:rPr>
        <w:t>revenue intelligence and investigation</w:t>
      </w:r>
      <w:r>
        <w:rPr>
          <w:rFonts w:ascii="Baskerville Old Face" w:hAnsi="Baskerville Old Face" w:cs="Times New Roman"/>
          <w:sz w:val="24"/>
          <w:szCs w:val="24"/>
        </w:rPr>
        <w:t>s</w:t>
      </w:r>
      <w:r w:rsidRPr="00C77C72">
        <w:rPr>
          <w:rFonts w:ascii="Baskerville Old Face" w:hAnsi="Baskerville Old Face" w:cs="Times New Roman"/>
          <w:sz w:val="24"/>
          <w:szCs w:val="24"/>
        </w:rPr>
        <w:t xml:space="preserve">, corporate governance, human resources management, staff integrity, business facilitation, risk management, </w:t>
      </w:r>
      <w:r w:rsidR="005803E4" w:rsidRPr="00C77C72">
        <w:rPr>
          <w:rFonts w:ascii="Baskerville Old Face" w:hAnsi="Baskerville Old Face" w:cs="Times New Roman"/>
          <w:sz w:val="24"/>
          <w:szCs w:val="24"/>
        </w:rPr>
        <w:t>ICT</w:t>
      </w:r>
      <w:r w:rsidR="00A27EEB">
        <w:rPr>
          <w:rFonts w:ascii="Baskerville Old Face" w:hAnsi="Baskerville Old Face" w:cs="Times New Roman"/>
          <w:sz w:val="24"/>
          <w:szCs w:val="24"/>
        </w:rPr>
        <w:t xml:space="preserve"> and </w:t>
      </w:r>
      <w:r w:rsidR="005803E4">
        <w:rPr>
          <w:rFonts w:ascii="Baskerville Old Face" w:hAnsi="Baskerville Old Face" w:cs="Times New Roman"/>
          <w:sz w:val="24"/>
          <w:szCs w:val="24"/>
        </w:rPr>
        <w:t xml:space="preserve">other </w:t>
      </w:r>
      <w:proofErr w:type="spellStart"/>
      <w:r w:rsidR="005803E4">
        <w:rPr>
          <w:rFonts w:ascii="Baskerville Old Face" w:hAnsi="Baskerville Old Face" w:cs="Times New Roman"/>
          <w:sz w:val="24"/>
          <w:szCs w:val="24"/>
        </w:rPr>
        <w:t>modernisation</w:t>
      </w:r>
      <w:proofErr w:type="spellEnd"/>
      <w:r w:rsidR="005803E4">
        <w:rPr>
          <w:rFonts w:ascii="Baskerville Old Face" w:hAnsi="Baskerville Old Face" w:cs="Times New Roman"/>
          <w:sz w:val="24"/>
          <w:szCs w:val="24"/>
        </w:rPr>
        <w:t xml:space="preserve"> </w:t>
      </w:r>
      <w:r w:rsidRPr="00C77C72">
        <w:rPr>
          <w:rFonts w:ascii="Baskerville Old Face" w:hAnsi="Baskerville Old Face" w:cs="Times New Roman"/>
          <w:sz w:val="24"/>
          <w:szCs w:val="24"/>
        </w:rPr>
        <w:t>reform</w:t>
      </w:r>
      <w:r w:rsidR="005803E4">
        <w:rPr>
          <w:rFonts w:ascii="Baskerville Old Face" w:hAnsi="Baskerville Old Face" w:cs="Times New Roman"/>
          <w:sz w:val="24"/>
          <w:szCs w:val="24"/>
        </w:rPr>
        <w:t>s</w:t>
      </w:r>
      <w:r w:rsidRPr="00C77C72">
        <w:rPr>
          <w:rFonts w:ascii="Baskerville Old Face" w:hAnsi="Baskerville Old Face" w:cs="Times New Roman"/>
          <w:sz w:val="24"/>
          <w:szCs w:val="24"/>
        </w:rPr>
        <w:t>.</w:t>
      </w:r>
    </w:p>
    <w:p w14:paraId="78AD8095" w14:textId="6ABE1BAE" w:rsidR="006D4E46" w:rsidRDefault="00D0072F" w:rsidP="00C2678A">
      <w:pPr>
        <w:pStyle w:val="Heading2"/>
      </w:pPr>
      <w:bookmarkStart w:id="23" w:name="_Toc198205665"/>
      <w:r>
        <w:t>3.1</w:t>
      </w:r>
      <w:r w:rsidR="00BB77A6">
        <w:t>:</w:t>
      </w:r>
      <w:r>
        <w:t xml:space="preserve"> </w:t>
      </w:r>
      <w:r w:rsidR="006D4E46" w:rsidRPr="00C13433">
        <w:t>TAXPAYER AND STAKEHOLDER ENGAGEMENT</w:t>
      </w:r>
      <w:bookmarkEnd w:id="23"/>
    </w:p>
    <w:p w14:paraId="3AF3AC23" w14:textId="77777777" w:rsidR="00C2678A" w:rsidRPr="00C2678A" w:rsidRDefault="00C2678A" w:rsidP="00C2678A"/>
    <w:p w14:paraId="0D658F86" w14:textId="5A4350B3" w:rsidR="006D4E46" w:rsidRDefault="007215FF" w:rsidP="00C77C72">
      <w:pPr>
        <w:spacing w:line="360" w:lineRule="auto"/>
        <w:jc w:val="both"/>
        <w:rPr>
          <w:rFonts w:ascii="Baskerville Old Face" w:hAnsi="Baskerville Old Face" w:cs="Times New Roman"/>
          <w:sz w:val="24"/>
          <w:szCs w:val="24"/>
        </w:rPr>
      </w:pPr>
      <w:r w:rsidRPr="007215FF">
        <w:rPr>
          <w:rFonts w:ascii="Baskerville Old Face" w:hAnsi="Baskerville Old Face" w:cs="Times New Roman"/>
          <w:sz w:val="24"/>
          <w:szCs w:val="24"/>
        </w:rPr>
        <w:t>The Public Affairs and Tax Education Unit (PATE), operating within the Legal and Corporate Services Department, assumes the critical responsibility of educating taxpayers, stakeholders, and the broader public on tax matters and the activities undertaken by the Authority. Collaborating closely with various departments and stakeholders, PATE ensures the seamless dissemination of accurate and timely information, aimed at curbing noncompliance and bolstering domestic revenue collection.</w:t>
      </w:r>
      <w:r w:rsidR="006D4E46" w:rsidRPr="006D4E46">
        <w:t xml:space="preserve"> </w:t>
      </w:r>
      <w:r w:rsidR="006D4E46" w:rsidRPr="006D4E46">
        <w:rPr>
          <w:rFonts w:ascii="Baskerville Old Face" w:hAnsi="Baskerville Old Face" w:cs="Times New Roman"/>
          <w:sz w:val="24"/>
          <w:szCs w:val="24"/>
        </w:rPr>
        <w:t xml:space="preserve">A summary of the key activities carried out </w:t>
      </w:r>
      <w:r w:rsidR="00EB52F0">
        <w:rPr>
          <w:rFonts w:ascii="Baskerville Old Face" w:hAnsi="Baskerville Old Face" w:cs="Times New Roman"/>
          <w:sz w:val="24"/>
          <w:szCs w:val="24"/>
        </w:rPr>
        <w:t xml:space="preserve">or facilitated </w:t>
      </w:r>
      <w:r w:rsidR="006D4E46" w:rsidRPr="006D4E46">
        <w:rPr>
          <w:rFonts w:ascii="Baskerville Old Face" w:hAnsi="Baskerville Old Face" w:cs="Times New Roman"/>
          <w:sz w:val="24"/>
          <w:szCs w:val="24"/>
        </w:rPr>
        <w:t xml:space="preserve">by the PATE Unit during the </w:t>
      </w:r>
      <w:r>
        <w:rPr>
          <w:rFonts w:ascii="Baskerville Old Face" w:hAnsi="Baskerville Old Face" w:cs="Times New Roman"/>
          <w:sz w:val="24"/>
          <w:szCs w:val="24"/>
        </w:rPr>
        <w:t>reporting period</w:t>
      </w:r>
      <w:r w:rsidR="006D4E46" w:rsidRPr="006D4E46">
        <w:rPr>
          <w:rFonts w:ascii="Baskerville Old Face" w:hAnsi="Baskerville Old Face" w:cs="Times New Roman"/>
          <w:sz w:val="24"/>
          <w:szCs w:val="24"/>
        </w:rPr>
        <w:t xml:space="preserve"> are provided below:</w:t>
      </w:r>
    </w:p>
    <w:p w14:paraId="7E6987CF" w14:textId="6BA1DE66" w:rsidR="00122B2B" w:rsidRDefault="006D4E46" w:rsidP="006D4E46">
      <w:pPr>
        <w:spacing w:line="360" w:lineRule="auto"/>
        <w:jc w:val="both"/>
        <w:rPr>
          <w:rFonts w:ascii="Baskerville Old Face" w:hAnsi="Baskerville Old Face" w:cs="Times New Roman"/>
          <w:sz w:val="24"/>
          <w:szCs w:val="24"/>
        </w:rPr>
      </w:pPr>
      <w:r w:rsidRPr="006D4E46">
        <w:rPr>
          <w:rFonts w:ascii="Baskerville Old Face" w:hAnsi="Baskerville Old Face" w:cs="Times New Roman"/>
          <w:b/>
          <w:bCs/>
          <w:sz w:val="24"/>
          <w:szCs w:val="24"/>
        </w:rPr>
        <w:t xml:space="preserve">Stakeholders' Engagement with </w:t>
      </w:r>
      <w:r w:rsidR="00553521" w:rsidRPr="006D4E46">
        <w:rPr>
          <w:rFonts w:ascii="Baskerville Old Face" w:hAnsi="Baskerville Old Face" w:cs="Times New Roman"/>
          <w:b/>
          <w:bCs/>
          <w:sz w:val="24"/>
          <w:szCs w:val="24"/>
        </w:rPr>
        <w:t xml:space="preserve">Tax Consultants </w:t>
      </w:r>
      <w:r w:rsidRPr="006D4E46">
        <w:rPr>
          <w:rFonts w:ascii="Baskerville Old Face" w:hAnsi="Baskerville Old Face" w:cs="Times New Roman"/>
          <w:b/>
          <w:bCs/>
          <w:sz w:val="24"/>
          <w:szCs w:val="24"/>
        </w:rPr>
        <w:t>on the Finance Act 2023</w:t>
      </w:r>
      <w:r w:rsidRPr="006D4E46">
        <w:rPr>
          <w:rFonts w:ascii="Baskerville Old Face" w:hAnsi="Baskerville Old Face" w:cs="Times New Roman"/>
          <w:sz w:val="24"/>
          <w:szCs w:val="24"/>
        </w:rPr>
        <w:t xml:space="preserve">- </w:t>
      </w:r>
      <w:r w:rsidR="00122B2B" w:rsidRPr="00122B2B">
        <w:rPr>
          <w:rFonts w:ascii="Baskerville Old Face" w:hAnsi="Baskerville Old Face" w:cs="Times New Roman"/>
          <w:sz w:val="24"/>
          <w:szCs w:val="24"/>
        </w:rPr>
        <w:t>A meeting convened with tax consultants and audit firms centered on fostering comprehension and generating strategies for the effective implementation of provisions outlined in the Finance Act 2023, particularly concerning affected sectors.</w:t>
      </w:r>
    </w:p>
    <w:p w14:paraId="382E60A2" w14:textId="79220CBD" w:rsidR="00122B2B" w:rsidRDefault="006D4E46" w:rsidP="006D4E46">
      <w:pPr>
        <w:spacing w:line="360" w:lineRule="auto"/>
        <w:jc w:val="both"/>
        <w:rPr>
          <w:rFonts w:ascii="Baskerville Old Face" w:hAnsi="Baskerville Old Face" w:cs="Times New Roman"/>
          <w:sz w:val="24"/>
          <w:szCs w:val="24"/>
        </w:rPr>
      </w:pPr>
      <w:r w:rsidRPr="006D4E46">
        <w:rPr>
          <w:rFonts w:ascii="Baskerville Old Face" w:hAnsi="Baskerville Old Face" w:cs="Times New Roman"/>
          <w:b/>
          <w:bCs/>
          <w:sz w:val="24"/>
          <w:szCs w:val="24"/>
        </w:rPr>
        <w:t>Meeting with the National Telecommunication</w:t>
      </w:r>
      <w:r w:rsidR="00553521">
        <w:rPr>
          <w:rFonts w:ascii="Baskerville Old Face" w:hAnsi="Baskerville Old Face" w:cs="Times New Roman"/>
          <w:b/>
          <w:bCs/>
          <w:sz w:val="24"/>
          <w:szCs w:val="24"/>
        </w:rPr>
        <w:t>s</w:t>
      </w:r>
      <w:r w:rsidRPr="006D4E46">
        <w:rPr>
          <w:rFonts w:ascii="Baskerville Old Face" w:hAnsi="Baskerville Old Face" w:cs="Times New Roman"/>
          <w:b/>
          <w:bCs/>
          <w:sz w:val="24"/>
          <w:szCs w:val="24"/>
        </w:rPr>
        <w:t xml:space="preserve"> Authority (NaTCA</w:t>
      </w:r>
      <w:r w:rsidRPr="006D4E46">
        <w:rPr>
          <w:rFonts w:ascii="Baskerville Old Face" w:hAnsi="Baskerville Old Face" w:cs="Times New Roman"/>
          <w:sz w:val="24"/>
          <w:szCs w:val="24"/>
        </w:rPr>
        <w:t xml:space="preserve">)- </w:t>
      </w:r>
      <w:r w:rsidR="00122B2B" w:rsidRPr="00122B2B">
        <w:rPr>
          <w:rFonts w:ascii="Baskerville Old Face" w:hAnsi="Baskerville Old Face" w:cs="Times New Roman"/>
          <w:sz w:val="24"/>
          <w:szCs w:val="24"/>
        </w:rPr>
        <w:t xml:space="preserve">Deliberations were held with NaTCA leadership to </w:t>
      </w:r>
      <w:proofErr w:type="spellStart"/>
      <w:r w:rsidR="00122B2B" w:rsidRPr="00122B2B">
        <w:rPr>
          <w:rFonts w:ascii="Baskerville Old Face" w:hAnsi="Baskerville Old Face" w:cs="Times New Roman"/>
          <w:sz w:val="24"/>
          <w:szCs w:val="24"/>
        </w:rPr>
        <w:t>finali</w:t>
      </w:r>
      <w:r w:rsidR="00553521">
        <w:rPr>
          <w:rFonts w:ascii="Baskerville Old Face" w:hAnsi="Baskerville Old Face" w:cs="Times New Roman"/>
          <w:sz w:val="24"/>
          <w:szCs w:val="24"/>
        </w:rPr>
        <w:t>s</w:t>
      </w:r>
      <w:r w:rsidR="00122B2B" w:rsidRPr="00122B2B">
        <w:rPr>
          <w:rFonts w:ascii="Baskerville Old Face" w:hAnsi="Baskerville Old Face" w:cs="Times New Roman"/>
          <w:sz w:val="24"/>
          <w:szCs w:val="24"/>
        </w:rPr>
        <w:t>e</w:t>
      </w:r>
      <w:proofErr w:type="spellEnd"/>
      <w:r w:rsidR="00122B2B" w:rsidRPr="00122B2B">
        <w:rPr>
          <w:rFonts w:ascii="Baskerville Old Face" w:hAnsi="Baskerville Old Face" w:cs="Times New Roman"/>
          <w:sz w:val="24"/>
          <w:szCs w:val="24"/>
        </w:rPr>
        <w:t xml:space="preserve"> the implementation timeline for surcharges on cellular services, as stipulated in the Finance Act 2023.</w:t>
      </w:r>
    </w:p>
    <w:p w14:paraId="49D47BDF" w14:textId="258FDC5D" w:rsidR="006D4E46" w:rsidRPr="006D4E46" w:rsidRDefault="006D4E46" w:rsidP="006D4E46">
      <w:pPr>
        <w:spacing w:line="360" w:lineRule="auto"/>
        <w:jc w:val="both"/>
        <w:rPr>
          <w:rFonts w:ascii="Baskerville Old Face" w:hAnsi="Baskerville Old Face" w:cs="Times New Roman"/>
          <w:sz w:val="24"/>
          <w:szCs w:val="24"/>
        </w:rPr>
      </w:pPr>
      <w:r w:rsidRPr="006D4E46">
        <w:rPr>
          <w:rFonts w:ascii="Baskerville Old Face" w:hAnsi="Baskerville Old Face" w:cs="Times New Roman"/>
          <w:b/>
          <w:bCs/>
          <w:sz w:val="24"/>
          <w:szCs w:val="24"/>
        </w:rPr>
        <w:t>Stakeholders Dialogue with Financial Institutions</w:t>
      </w:r>
      <w:r w:rsidRPr="006D4E46">
        <w:rPr>
          <w:rFonts w:ascii="Baskerville Old Face" w:hAnsi="Baskerville Old Face" w:cs="Times New Roman"/>
          <w:sz w:val="24"/>
          <w:szCs w:val="24"/>
        </w:rPr>
        <w:t xml:space="preserve">- </w:t>
      </w:r>
      <w:r w:rsidR="00122B2B" w:rsidRPr="00122B2B">
        <w:rPr>
          <w:rFonts w:ascii="Baskerville Old Face" w:hAnsi="Baskerville Old Face" w:cs="Times New Roman"/>
          <w:sz w:val="24"/>
          <w:szCs w:val="24"/>
        </w:rPr>
        <w:t xml:space="preserve">Financial institutions, </w:t>
      </w:r>
      <w:r w:rsidR="00122B2B">
        <w:rPr>
          <w:rFonts w:ascii="Baskerville Old Face" w:hAnsi="Baskerville Old Face" w:cs="Times New Roman"/>
          <w:sz w:val="24"/>
          <w:szCs w:val="24"/>
        </w:rPr>
        <w:t>including</w:t>
      </w:r>
      <w:r w:rsidR="00122B2B" w:rsidRPr="00122B2B">
        <w:rPr>
          <w:rFonts w:ascii="Baskerville Old Face" w:hAnsi="Baskerville Old Face" w:cs="Times New Roman"/>
          <w:sz w:val="24"/>
          <w:szCs w:val="24"/>
        </w:rPr>
        <w:t xml:space="preserve"> banks and insurance companies, were briefed on the commencement of GST imposition on all financial transactions, as mandated by the Finance Act 2023.</w:t>
      </w:r>
    </w:p>
    <w:p w14:paraId="761C33D4" w14:textId="7C5A6D78" w:rsidR="006D4E46" w:rsidRPr="006D4E46"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Dialogue with the Hospitality Sector on the Finance Act 2023</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 xml:space="preserve">The hospitality sector was engaged in a session with NRA Senior Management to provide guidance and </w:t>
      </w:r>
      <w:r w:rsidR="004B161F">
        <w:rPr>
          <w:rFonts w:ascii="Baskerville Old Face" w:hAnsi="Baskerville Old Face" w:cs="Times New Roman"/>
          <w:sz w:val="24"/>
          <w:szCs w:val="24"/>
        </w:rPr>
        <w:t>advice</w:t>
      </w:r>
      <w:r w:rsidR="004B161F" w:rsidRPr="004B161F">
        <w:rPr>
          <w:rFonts w:ascii="Baskerville Old Face" w:hAnsi="Baskerville Old Face" w:cs="Times New Roman"/>
          <w:sz w:val="24"/>
          <w:szCs w:val="24"/>
        </w:rPr>
        <w:t xml:space="preserve"> on the application of the 2% Tourism Levy, in accordance with the Finance Act 2023.</w:t>
      </w:r>
    </w:p>
    <w:p w14:paraId="32FD3FA2" w14:textId="77777777" w:rsidR="006D4E46" w:rsidRPr="006D4E46" w:rsidRDefault="006D4E46" w:rsidP="006D4E46">
      <w:pPr>
        <w:spacing w:line="360" w:lineRule="auto"/>
        <w:jc w:val="both"/>
        <w:rPr>
          <w:rFonts w:ascii="Baskerville Old Face" w:hAnsi="Baskerville Old Face" w:cs="Times New Roman"/>
          <w:sz w:val="24"/>
          <w:szCs w:val="24"/>
        </w:rPr>
      </w:pPr>
    </w:p>
    <w:p w14:paraId="7D58A18B" w14:textId="71B2CBCA" w:rsidR="004B161F"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lastRenderedPageBreak/>
        <w:t>Weekly Radio and Television Programs</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A series of televised discussions were conducted on African Young Voice (AYV) and the Sierra Leone Broadcasting Corporation (SLBC) Television, alongside radio broadcasts on the Society for Radio Democracy, totaling seven television program</w:t>
      </w:r>
      <w:r w:rsidR="00565197">
        <w:rPr>
          <w:rFonts w:ascii="Baskerville Old Face" w:hAnsi="Baskerville Old Face" w:cs="Times New Roman"/>
          <w:sz w:val="24"/>
          <w:szCs w:val="24"/>
        </w:rPr>
        <w:t>me</w:t>
      </w:r>
      <w:r w:rsidR="004B161F" w:rsidRPr="004B161F">
        <w:rPr>
          <w:rFonts w:ascii="Baskerville Old Face" w:hAnsi="Baskerville Old Face" w:cs="Times New Roman"/>
          <w:sz w:val="24"/>
          <w:szCs w:val="24"/>
        </w:rPr>
        <w:t>s and eight radio sessions. These platforms served as forums for discourse on tax administration reforms and pertinent issues related to NRA</w:t>
      </w:r>
      <w:r w:rsidR="00565197">
        <w:rPr>
          <w:rFonts w:ascii="Baskerville Old Face" w:hAnsi="Baskerville Old Face" w:cs="Times New Roman"/>
          <w:sz w:val="24"/>
          <w:szCs w:val="24"/>
        </w:rPr>
        <w:t>’s</w:t>
      </w:r>
      <w:r w:rsidR="004B161F" w:rsidRPr="004B161F">
        <w:rPr>
          <w:rFonts w:ascii="Baskerville Old Face" w:hAnsi="Baskerville Old Face" w:cs="Times New Roman"/>
          <w:sz w:val="24"/>
          <w:szCs w:val="24"/>
        </w:rPr>
        <w:t xml:space="preserve"> operations and the Finance Act 2023.</w:t>
      </w:r>
    </w:p>
    <w:p w14:paraId="0898F3D5" w14:textId="08DADBAF" w:rsidR="004B161F"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 xml:space="preserve">The Commissioner General’s Dialogue with the Business Sector </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Stakeholder dialogues were convened with representatives from various sectors, including general merchandise trading, hospitality, financial institutions, mining companies, and State-Owned Enterprises, facilitating interaction with the Commissioner</w:t>
      </w:r>
      <w:r w:rsidR="004B161F">
        <w:rPr>
          <w:rFonts w:ascii="Baskerville Old Face" w:hAnsi="Baskerville Old Face" w:cs="Times New Roman"/>
          <w:sz w:val="24"/>
          <w:szCs w:val="24"/>
        </w:rPr>
        <w:t>-</w:t>
      </w:r>
      <w:r w:rsidR="004B161F" w:rsidRPr="004B161F">
        <w:rPr>
          <w:rFonts w:ascii="Baskerville Old Face" w:hAnsi="Baskerville Old Face" w:cs="Times New Roman"/>
          <w:sz w:val="24"/>
          <w:szCs w:val="24"/>
        </w:rPr>
        <w:t>General to underscore the importance of tax compliance.</w:t>
      </w:r>
    </w:p>
    <w:p w14:paraId="3FCD911A" w14:textId="7887D7DA" w:rsidR="004B161F" w:rsidRDefault="006D4E46" w:rsidP="006D4E46">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Media Engagement on GST Charge on Mobile Money Transactions</w:t>
      </w:r>
      <w:r w:rsidRPr="006D4E46">
        <w:rPr>
          <w:rFonts w:ascii="Baskerville Old Face" w:hAnsi="Baskerville Old Face" w:cs="Times New Roman"/>
          <w:sz w:val="24"/>
          <w:szCs w:val="24"/>
        </w:rPr>
        <w:t xml:space="preserve">- </w:t>
      </w:r>
      <w:r w:rsidR="004B161F" w:rsidRPr="004B161F">
        <w:rPr>
          <w:rFonts w:ascii="Baskerville Old Face" w:hAnsi="Baskerville Old Face" w:cs="Times New Roman"/>
          <w:sz w:val="24"/>
          <w:szCs w:val="24"/>
        </w:rPr>
        <w:t>Media appearances featuring the Senior Commissioner-DTD and the Assistant Commissioner LTO were arranged to address queries regarding GST on Mobile Money Transactions, disseminated through SLBC TV, AYV TV, and Radio Democracy FM 98.1.</w:t>
      </w:r>
    </w:p>
    <w:p w14:paraId="52DB79D3" w14:textId="3F35E688" w:rsidR="006D4E46" w:rsidRDefault="006D4E46" w:rsidP="00C77C72">
      <w:pPr>
        <w:spacing w:line="360" w:lineRule="auto"/>
        <w:jc w:val="both"/>
        <w:rPr>
          <w:rFonts w:ascii="Baskerville Old Face" w:hAnsi="Baskerville Old Face" w:cs="Times New Roman"/>
          <w:sz w:val="24"/>
          <w:szCs w:val="24"/>
        </w:rPr>
      </w:pPr>
      <w:r w:rsidRPr="00EB52F0">
        <w:rPr>
          <w:rFonts w:ascii="Baskerville Old Face" w:hAnsi="Baskerville Old Face" w:cs="Times New Roman"/>
          <w:b/>
          <w:bCs/>
          <w:sz w:val="24"/>
          <w:szCs w:val="24"/>
        </w:rPr>
        <w:t xml:space="preserve">Blue Ribbon Solutions </w:t>
      </w:r>
      <w:r w:rsidR="00EB52F0">
        <w:rPr>
          <w:rFonts w:ascii="Baskerville Old Face" w:hAnsi="Baskerville Old Face" w:cs="Times New Roman"/>
          <w:b/>
          <w:bCs/>
          <w:sz w:val="24"/>
          <w:szCs w:val="24"/>
        </w:rPr>
        <w:t>S</w:t>
      </w:r>
      <w:r w:rsidRPr="00EB52F0">
        <w:rPr>
          <w:rFonts w:ascii="Baskerville Old Face" w:hAnsi="Baskerville Old Face" w:cs="Times New Roman"/>
          <w:b/>
          <w:bCs/>
          <w:sz w:val="24"/>
          <w:szCs w:val="24"/>
        </w:rPr>
        <w:t xml:space="preserve">ponsored Radio and Television </w:t>
      </w:r>
      <w:r w:rsidR="00EB52F0">
        <w:rPr>
          <w:rFonts w:ascii="Baskerville Old Face" w:hAnsi="Baskerville Old Face" w:cs="Times New Roman"/>
          <w:b/>
          <w:bCs/>
          <w:sz w:val="24"/>
          <w:szCs w:val="24"/>
        </w:rPr>
        <w:t>P</w:t>
      </w:r>
      <w:r w:rsidRPr="00EB52F0">
        <w:rPr>
          <w:rFonts w:ascii="Baskerville Old Face" w:hAnsi="Baskerville Old Face" w:cs="Times New Roman"/>
          <w:b/>
          <w:bCs/>
          <w:sz w:val="24"/>
          <w:szCs w:val="24"/>
        </w:rPr>
        <w:t>rogram</w:t>
      </w:r>
      <w:r w:rsidR="00EB52F0">
        <w:rPr>
          <w:rFonts w:ascii="Baskerville Old Face" w:hAnsi="Baskerville Old Face" w:cs="Times New Roman"/>
          <w:b/>
          <w:bCs/>
          <w:sz w:val="24"/>
          <w:szCs w:val="24"/>
        </w:rPr>
        <w:t>me</w:t>
      </w:r>
      <w:r w:rsidRPr="00EB52F0">
        <w:rPr>
          <w:rFonts w:ascii="Baskerville Old Face" w:hAnsi="Baskerville Old Face" w:cs="Times New Roman"/>
          <w:b/>
          <w:bCs/>
          <w:sz w:val="24"/>
          <w:szCs w:val="24"/>
        </w:rPr>
        <w:t>s</w:t>
      </w:r>
      <w:r w:rsidRPr="006D4E46">
        <w:rPr>
          <w:rFonts w:ascii="Baskerville Old Face" w:hAnsi="Baskerville Old Face" w:cs="Times New Roman"/>
          <w:sz w:val="24"/>
          <w:szCs w:val="24"/>
        </w:rPr>
        <w:t xml:space="preserve">- </w:t>
      </w:r>
      <w:r w:rsidR="00BA5C06" w:rsidRPr="00BA5C06">
        <w:rPr>
          <w:rFonts w:ascii="Baskerville Old Face" w:hAnsi="Baskerville Old Face" w:cs="Times New Roman"/>
          <w:sz w:val="24"/>
          <w:szCs w:val="24"/>
        </w:rPr>
        <w:t xml:space="preserve">Blue Ribbon Solutions, an ICT company contracted for the </w:t>
      </w:r>
      <w:r w:rsidR="00BA5C06">
        <w:rPr>
          <w:rFonts w:ascii="Baskerville Old Face" w:hAnsi="Baskerville Old Face" w:cs="Times New Roman"/>
          <w:sz w:val="24"/>
          <w:szCs w:val="24"/>
        </w:rPr>
        <w:t xml:space="preserve">design of </w:t>
      </w:r>
      <w:r w:rsidR="00BA5C06" w:rsidRPr="00BA5C06">
        <w:rPr>
          <w:rFonts w:ascii="Baskerville Old Face" w:hAnsi="Baskerville Old Face" w:cs="Times New Roman"/>
          <w:sz w:val="24"/>
          <w:szCs w:val="24"/>
        </w:rPr>
        <w:t>NTR's Mobile Payment App, sponsored two radio discussion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s on Radio Democracy FM 98.1, two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s on Voice of Peace and Development (VoPAD) in Waterloo, two television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s on the SLBC, and two program</w:t>
      </w:r>
      <w:r w:rsidR="00BA5C06">
        <w:rPr>
          <w:rFonts w:ascii="Baskerville Old Face" w:hAnsi="Baskerville Old Face" w:cs="Times New Roman"/>
          <w:sz w:val="24"/>
          <w:szCs w:val="24"/>
        </w:rPr>
        <w:t>me</w:t>
      </w:r>
      <w:r w:rsidR="00BA5C06" w:rsidRPr="00BA5C06">
        <w:rPr>
          <w:rFonts w:ascii="Baskerville Old Face" w:hAnsi="Baskerville Old Face" w:cs="Times New Roman"/>
          <w:sz w:val="24"/>
          <w:szCs w:val="24"/>
        </w:rPr>
        <w:t xml:space="preserve">s on </w:t>
      </w:r>
      <w:r w:rsidR="00565197">
        <w:rPr>
          <w:rFonts w:ascii="Baskerville Old Face" w:hAnsi="Baskerville Old Face" w:cs="Times New Roman"/>
          <w:sz w:val="24"/>
          <w:szCs w:val="24"/>
        </w:rPr>
        <w:t>AYV</w:t>
      </w:r>
      <w:r w:rsidR="00BA5C06" w:rsidRPr="00BA5C06">
        <w:rPr>
          <w:rFonts w:ascii="Baskerville Old Face" w:hAnsi="Baskerville Old Face" w:cs="Times New Roman"/>
          <w:sz w:val="24"/>
          <w:szCs w:val="24"/>
        </w:rPr>
        <w:t xml:space="preserve"> Television to augment the NRA's public awareness initiatives.</w:t>
      </w:r>
    </w:p>
    <w:p w14:paraId="3135B620" w14:textId="15D1CB3B" w:rsidR="00641C9D" w:rsidRDefault="00BB77A6" w:rsidP="00C2678A">
      <w:pPr>
        <w:pStyle w:val="Heading2"/>
      </w:pPr>
      <w:bookmarkStart w:id="24" w:name="_Toc198205666"/>
      <w:r>
        <w:t xml:space="preserve">3.2: </w:t>
      </w:r>
      <w:r w:rsidR="00364236" w:rsidRPr="00364236">
        <w:t>UPDATE ON 2022 CORPORATE SOCIAL RESPONSIBILITIES</w:t>
      </w:r>
      <w:bookmarkEnd w:id="24"/>
    </w:p>
    <w:p w14:paraId="77E516D3" w14:textId="77777777" w:rsidR="00C2678A" w:rsidRDefault="00C2678A" w:rsidP="00364236">
      <w:pPr>
        <w:spacing w:line="360" w:lineRule="auto"/>
        <w:jc w:val="both"/>
        <w:rPr>
          <w:rFonts w:ascii="Baskerville Old Face" w:hAnsi="Baskerville Old Face" w:cs="Times New Roman"/>
          <w:sz w:val="24"/>
          <w:szCs w:val="24"/>
        </w:rPr>
      </w:pPr>
    </w:p>
    <w:p w14:paraId="25857A90" w14:textId="6F324DF1" w:rsidR="00364236" w:rsidRPr="00641C9D" w:rsidRDefault="00364236" w:rsidP="00364236">
      <w:pPr>
        <w:spacing w:line="360" w:lineRule="auto"/>
        <w:jc w:val="both"/>
        <w:rPr>
          <w:rFonts w:ascii="Baskerville Old Face" w:hAnsi="Baskerville Old Face" w:cs="Times New Roman"/>
          <w:b/>
          <w:bCs/>
          <w:sz w:val="24"/>
          <w:szCs w:val="24"/>
        </w:rPr>
      </w:pPr>
      <w:r w:rsidRPr="00364236">
        <w:rPr>
          <w:rFonts w:ascii="Baskerville Old Face" w:hAnsi="Baskerville Old Face" w:cs="Times New Roman"/>
          <w:sz w:val="24"/>
          <w:szCs w:val="24"/>
        </w:rPr>
        <w:t xml:space="preserve">Throughout </w:t>
      </w:r>
      <w:r>
        <w:rPr>
          <w:rFonts w:ascii="Baskerville Old Face" w:hAnsi="Baskerville Old Face" w:cs="Times New Roman"/>
          <w:sz w:val="24"/>
          <w:szCs w:val="24"/>
        </w:rPr>
        <w:t>2023</w:t>
      </w:r>
      <w:r w:rsidRPr="00364236">
        <w:rPr>
          <w:rFonts w:ascii="Baskerville Old Face" w:hAnsi="Baskerville Old Face" w:cs="Times New Roman"/>
          <w:sz w:val="24"/>
          <w:szCs w:val="24"/>
        </w:rPr>
        <w:t xml:space="preserve">, requests for Corporate Social Responsibility initiatives followed their typical trend. However, owing to the </w:t>
      </w:r>
      <w:r>
        <w:rPr>
          <w:rFonts w:ascii="Baskerville Old Face" w:hAnsi="Baskerville Old Face" w:cs="Times New Roman"/>
          <w:sz w:val="24"/>
          <w:szCs w:val="24"/>
        </w:rPr>
        <w:t>challenges</w:t>
      </w:r>
      <w:r w:rsidRPr="00364236">
        <w:rPr>
          <w:rFonts w:ascii="Baskerville Old Face" w:hAnsi="Baskerville Old Face" w:cs="Times New Roman"/>
          <w:sz w:val="24"/>
          <w:szCs w:val="24"/>
        </w:rPr>
        <w:t xml:space="preserve"> encountered in revenue collection during 2023, the Authority opted to allocate funds primarily toward revenue </w:t>
      </w:r>
      <w:proofErr w:type="spellStart"/>
      <w:r w:rsidRPr="00364236">
        <w:rPr>
          <w:rFonts w:ascii="Baskerville Old Face" w:hAnsi="Baskerville Old Face" w:cs="Times New Roman"/>
          <w:sz w:val="24"/>
          <w:szCs w:val="24"/>
        </w:rPr>
        <w:t>mobili</w:t>
      </w:r>
      <w:r>
        <w:rPr>
          <w:rFonts w:ascii="Baskerville Old Face" w:hAnsi="Baskerville Old Face" w:cs="Times New Roman"/>
          <w:sz w:val="24"/>
          <w:szCs w:val="24"/>
        </w:rPr>
        <w:t>s</w:t>
      </w:r>
      <w:r w:rsidRPr="00364236">
        <w:rPr>
          <w:rFonts w:ascii="Baskerville Old Face" w:hAnsi="Baskerville Old Face" w:cs="Times New Roman"/>
          <w:sz w:val="24"/>
          <w:szCs w:val="24"/>
        </w:rPr>
        <w:t>ation</w:t>
      </w:r>
      <w:proofErr w:type="spellEnd"/>
      <w:r w:rsidRPr="00364236">
        <w:rPr>
          <w:rFonts w:ascii="Baskerville Old Face" w:hAnsi="Baskerville Old Face" w:cs="Times New Roman"/>
          <w:sz w:val="24"/>
          <w:szCs w:val="24"/>
        </w:rPr>
        <w:t xml:space="preserve"> efforts and staff welfare.</w:t>
      </w:r>
    </w:p>
    <w:p w14:paraId="5FD2A4EA" w14:textId="6FCA7BDD" w:rsidR="00364236" w:rsidRDefault="00364236" w:rsidP="00364236">
      <w:pPr>
        <w:spacing w:line="360" w:lineRule="auto"/>
        <w:jc w:val="both"/>
        <w:rPr>
          <w:rFonts w:ascii="Baskerville Old Face" w:hAnsi="Baskerville Old Face" w:cs="Times New Roman"/>
          <w:sz w:val="24"/>
          <w:szCs w:val="24"/>
        </w:rPr>
      </w:pPr>
      <w:r w:rsidRPr="00364236">
        <w:rPr>
          <w:rFonts w:ascii="Baskerville Old Face" w:hAnsi="Baskerville Old Face" w:cs="Times New Roman"/>
          <w:sz w:val="24"/>
          <w:szCs w:val="24"/>
        </w:rPr>
        <w:t>Nevertheless, certain requests deemed instrumental in bolstering government program</w:t>
      </w:r>
      <w:r>
        <w:rPr>
          <w:rFonts w:ascii="Baskerville Old Face" w:hAnsi="Baskerville Old Face" w:cs="Times New Roman"/>
          <w:sz w:val="24"/>
          <w:szCs w:val="24"/>
        </w:rPr>
        <w:t>me</w:t>
      </w:r>
      <w:r w:rsidRPr="00364236">
        <w:rPr>
          <w:rFonts w:ascii="Baskerville Old Face" w:hAnsi="Baskerville Old Face" w:cs="Times New Roman"/>
          <w:sz w:val="24"/>
          <w:szCs w:val="24"/>
        </w:rPr>
        <w:t xml:space="preserve">s, particularly those pertaining to education, agriculture, urgent medical assistance for the underprivileged, and breast cancer awareness campaigns, were </w:t>
      </w:r>
      <w:r>
        <w:rPr>
          <w:rFonts w:ascii="Baskerville Old Face" w:hAnsi="Baskerville Old Face" w:cs="Times New Roman"/>
          <w:sz w:val="24"/>
          <w:szCs w:val="24"/>
        </w:rPr>
        <w:t>considered</w:t>
      </w:r>
      <w:r w:rsidRPr="00364236">
        <w:rPr>
          <w:rFonts w:ascii="Baskerville Old Face" w:hAnsi="Baskerville Old Face" w:cs="Times New Roman"/>
          <w:sz w:val="24"/>
          <w:szCs w:val="24"/>
        </w:rPr>
        <w:t xml:space="preserve"> in alignment with our </w:t>
      </w:r>
      <w:r w:rsidR="00BF0677" w:rsidRPr="00BF0677">
        <w:rPr>
          <w:rFonts w:ascii="Baskerville Old Face" w:hAnsi="Baskerville Old Face" w:cs="Times New Roman"/>
          <w:sz w:val="24"/>
          <w:szCs w:val="24"/>
        </w:rPr>
        <w:t>Corporate Social Responsibility</w:t>
      </w:r>
      <w:r w:rsidRPr="00364236">
        <w:rPr>
          <w:rFonts w:ascii="Baskerville Old Face" w:hAnsi="Baskerville Old Face" w:cs="Times New Roman"/>
          <w:sz w:val="24"/>
          <w:szCs w:val="24"/>
        </w:rPr>
        <w:t xml:space="preserve"> policy.</w:t>
      </w:r>
    </w:p>
    <w:p w14:paraId="149D6F62" w14:textId="77777777" w:rsidR="008D59CB" w:rsidRDefault="008D59CB" w:rsidP="00C77C72">
      <w:pPr>
        <w:spacing w:line="360" w:lineRule="auto"/>
        <w:jc w:val="both"/>
        <w:rPr>
          <w:rFonts w:ascii="Baskerville Old Face" w:hAnsi="Baskerville Old Face" w:cs="Times New Roman"/>
          <w:b/>
          <w:bCs/>
          <w:sz w:val="24"/>
          <w:szCs w:val="24"/>
        </w:rPr>
      </w:pPr>
    </w:p>
    <w:p w14:paraId="43070F20" w14:textId="77777777" w:rsidR="008D59CB" w:rsidRDefault="008D59CB" w:rsidP="00C77C72">
      <w:pPr>
        <w:spacing w:line="360" w:lineRule="auto"/>
        <w:jc w:val="both"/>
        <w:rPr>
          <w:rFonts w:ascii="Baskerville Old Face" w:hAnsi="Baskerville Old Face" w:cs="Times New Roman"/>
          <w:b/>
          <w:bCs/>
          <w:sz w:val="24"/>
          <w:szCs w:val="24"/>
        </w:rPr>
      </w:pPr>
    </w:p>
    <w:p w14:paraId="34BAD9AD" w14:textId="52E71615" w:rsidR="00C2678A" w:rsidRDefault="00DC245C" w:rsidP="00C2678A">
      <w:pPr>
        <w:pStyle w:val="Heading2"/>
      </w:pPr>
      <w:bookmarkStart w:id="25" w:name="_Toc198205667"/>
      <w:r>
        <w:lastRenderedPageBreak/>
        <w:t xml:space="preserve">3.3: </w:t>
      </w:r>
      <w:r w:rsidR="009A64B5" w:rsidRPr="00B01406">
        <w:t xml:space="preserve">COLLABORATION </w:t>
      </w:r>
      <w:r w:rsidR="009A64B5">
        <w:t xml:space="preserve">WITH </w:t>
      </w:r>
      <w:r w:rsidR="00B01406" w:rsidRPr="00B01406">
        <w:t>STAKEHOLDERS</w:t>
      </w:r>
      <w:bookmarkEnd w:id="25"/>
    </w:p>
    <w:p w14:paraId="375A3361" w14:textId="675EA3B2" w:rsidR="00364236" w:rsidRPr="00B01406" w:rsidRDefault="00B01406" w:rsidP="00C2678A">
      <w:pPr>
        <w:pStyle w:val="Heading2"/>
      </w:pPr>
      <w:r w:rsidRPr="00B01406">
        <w:t xml:space="preserve"> </w:t>
      </w:r>
    </w:p>
    <w:p w14:paraId="44079A10" w14:textId="099DE811" w:rsidR="009A64B5" w:rsidRDefault="009A64B5" w:rsidP="00C77C72">
      <w:pPr>
        <w:spacing w:line="360" w:lineRule="auto"/>
        <w:jc w:val="both"/>
        <w:rPr>
          <w:rFonts w:ascii="Baskerville Old Face" w:hAnsi="Baskerville Old Face" w:cs="Times New Roman"/>
          <w:sz w:val="24"/>
          <w:szCs w:val="24"/>
        </w:rPr>
      </w:pPr>
      <w:r w:rsidRPr="009A64B5">
        <w:rPr>
          <w:rFonts w:ascii="Baskerville Old Face" w:hAnsi="Baskerville Old Face" w:cs="Times New Roman"/>
          <w:sz w:val="24"/>
          <w:szCs w:val="24"/>
        </w:rPr>
        <w:t xml:space="preserve">Throughout the reviewed period, the </w:t>
      </w:r>
      <w:r w:rsidR="000E4CEC">
        <w:rPr>
          <w:rFonts w:ascii="Baskerville Old Face" w:hAnsi="Baskerville Old Face" w:cs="Times New Roman"/>
          <w:sz w:val="24"/>
          <w:szCs w:val="24"/>
        </w:rPr>
        <w:t>NRA</w:t>
      </w:r>
      <w:r w:rsidRPr="009A64B5">
        <w:rPr>
          <w:rFonts w:ascii="Baskerville Old Face" w:hAnsi="Baskerville Old Face" w:cs="Times New Roman"/>
          <w:sz w:val="24"/>
          <w:szCs w:val="24"/>
        </w:rPr>
        <w:t xml:space="preserve"> engaged in collaborative efforts with various stakeholders to fulfill its mandate. This section highlights </w:t>
      </w:r>
      <w:proofErr w:type="gramStart"/>
      <w:r w:rsidRPr="009A64B5">
        <w:rPr>
          <w:rFonts w:ascii="Baskerville Old Face" w:hAnsi="Baskerville Old Face" w:cs="Times New Roman"/>
          <w:sz w:val="24"/>
          <w:szCs w:val="24"/>
        </w:rPr>
        <w:t>select</w:t>
      </w:r>
      <w:proofErr w:type="gramEnd"/>
      <w:r w:rsidRPr="009A64B5">
        <w:rPr>
          <w:rFonts w:ascii="Baskerville Old Face" w:hAnsi="Baskerville Old Face" w:cs="Times New Roman"/>
          <w:sz w:val="24"/>
          <w:szCs w:val="24"/>
        </w:rPr>
        <w:t xml:space="preserve"> activities carried out by the Authority in partnership with stakeholders.</w:t>
      </w:r>
    </w:p>
    <w:p w14:paraId="7C58AF77" w14:textId="3DF4BE93" w:rsidR="00B01406" w:rsidRPr="001515AC" w:rsidRDefault="009A64B5" w:rsidP="008C5C22">
      <w:pPr>
        <w:pStyle w:val="Heading3"/>
        <w:rPr>
          <w:lang w:val="fr-FR"/>
        </w:rPr>
      </w:pPr>
      <w:bookmarkStart w:id="26" w:name="_Toc198205668"/>
      <w:r w:rsidRPr="001515AC">
        <w:rPr>
          <w:lang w:val="fr-FR"/>
        </w:rPr>
        <w:t>Société Industrielle et Commerciale de Produits Alimentaires (SICPA)</w:t>
      </w:r>
      <w:bookmarkEnd w:id="26"/>
    </w:p>
    <w:p w14:paraId="78F23E52" w14:textId="107BB8B7" w:rsidR="009A64B5" w:rsidRPr="009A64B5" w:rsidRDefault="00163678" w:rsidP="009A64B5">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O</w:t>
      </w:r>
      <w:r w:rsidR="009A64B5" w:rsidRPr="009A64B5">
        <w:rPr>
          <w:rFonts w:ascii="Baskerville Old Face" w:hAnsi="Baskerville Old Face" w:cs="Times New Roman"/>
          <w:sz w:val="24"/>
          <w:szCs w:val="24"/>
        </w:rPr>
        <w:t xml:space="preserve">ngoing collaboration with SICPA continues in preparation for the forthcoming implementation of the new Excise Tax Stamp. Multiple meetings </w:t>
      </w:r>
      <w:r w:rsidR="009A64B5">
        <w:rPr>
          <w:rFonts w:ascii="Baskerville Old Face" w:hAnsi="Baskerville Old Face" w:cs="Times New Roman"/>
          <w:sz w:val="24"/>
          <w:szCs w:val="24"/>
        </w:rPr>
        <w:t>were</w:t>
      </w:r>
      <w:r w:rsidR="009A64B5" w:rsidRPr="009A64B5">
        <w:rPr>
          <w:rFonts w:ascii="Baskerville Old Face" w:hAnsi="Baskerville Old Face" w:cs="Times New Roman"/>
          <w:sz w:val="24"/>
          <w:szCs w:val="24"/>
        </w:rPr>
        <w:t xml:space="preserve"> facilitated with SICPA, the Petroleum Regulatory Authority, Ministry of Trade</w:t>
      </w:r>
      <w:r w:rsidR="009A64B5">
        <w:rPr>
          <w:rFonts w:ascii="Baskerville Old Face" w:hAnsi="Baskerville Old Face" w:cs="Times New Roman"/>
          <w:sz w:val="24"/>
          <w:szCs w:val="24"/>
        </w:rPr>
        <w:t xml:space="preserve"> and Industry</w:t>
      </w:r>
      <w:r w:rsidR="009A64B5" w:rsidRPr="009A64B5">
        <w:rPr>
          <w:rFonts w:ascii="Baskerville Old Face" w:hAnsi="Baskerville Old Face" w:cs="Times New Roman"/>
          <w:sz w:val="24"/>
          <w:szCs w:val="24"/>
        </w:rPr>
        <w:t>, importers, manufacturers, and other pertinent stakeholders. These engagements aim</w:t>
      </w:r>
      <w:r w:rsidR="009A64B5">
        <w:rPr>
          <w:rFonts w:ascii="Baskerville Old Face" w:hAnsi="Baskerville Old Face" w:cs="Times New Roman"/>
          <w:sz w:val="24"/>
          <w:szCs w:val="24"/>
        </w:rPr>
        <w:t>ed</w:t>
      </w:r>
      <w:r w:rsidR="009A64B5" w:rsidRPr="009A64B5">
        <w:rPr>
          <w:rFonts w:ascii="Baskerville Old Face" w:hAnsi="Baskerville Old Face" w:cs="Times New Roman"/>
          <w:sz w:val="24"/>
          <w:szCs w:val="24"/>
        </w:rPr>
        <w:t xml:space="preserve"> to ensure the seamless and effective implementation of the Excise Tax Stamp and other Fuel Markings, slated to commence in early 2024.</w:t>
      </w:r>
    </w:p>
    <w:p w14:paraId="41B5D1AD" w14:textId="4F94E496" w:rsidR="009A64B5" w:rsidRPr="009A64B5" w:rsidRDefault="009A64B5" w:rsidP="008C5C22">
      <w:pPr>
        <w:pStyle w:val="Heading3"/>
      </w:pPr>
      <w:bookmarkStart w:id="27" w:name="_Toc198205669"/>
      <w:r w:rsidRPr="009A64B5">
        <w:t>N-SOFT</w:t>
      </w:r>
      <w:bookmarkEnd w:id="27"/>
    </w:p>
    <w:p w14:paraId="7739B735" w14:textId="15E40E35" w:rsidR="009A64B5" w:rsidRPr="009A64B5" w:rsidRDefault="009A64B5" w:rsidP="009A64B5">
      <w:pPr>
        <w:spacing w:line="360" w:lineRule="auto"/>
        <w:jc w:val="both"/>
        <w:rPr>
          <w:rFonts w:ascii="Baskerville Old Face" w:hAnsi="Baskerville Old Face" w:cs="Times New Roman"/>
          <w:sz w:val="24"/>
          <w:szCs w:val="24"/>
        </w:rPr>
      </w:pPr>
      <w:r w:rsidRPr="009A64B5">
        <w:rPr>
          <w:rFonts w:ascii="Baskerville Old Face" w:hAnsi="Baskerville Old Face" w:cs="Times New Roman"/>
          <w:sz w:val="24"/>
          <w:szCs w:val="24"/>
        </w:rPr>
        <w:t xml:space="preserve">In </w:t>
      </w:r>
      <w:r w:rsidR="001C0883">
        <w:rPr>
          <w:rFonts w:ascii="Baskerville Old Face" w:hAnsi="Baskerville Old Face" w:cs="Times New Roman"/>
          <w:sz w:val="24"/>
          <w:szCs w:val="24"/>
        </w:rPr>
        <w:t>collaboration</w:t>
      </w:r>
      <w:r w:rsidRPr="009A64B5">
        <w:rPr>
          <w:rFonts w:ascii="Baskerville Old Face" w:hAnsi="Baskerville Old Face" w:cs="Times New Roman"/>
          <w:sz w:val="24"/>
          <w:szCs w:val="24"/>
        </w:rPr>
        <w:t xml:space="preserve"> with the Ministry of Finance, the Legal </w:t>
      </w:r>
      <w:r>
        <w:rPr>
          <w:rFonts w:ascii="Baskerville Old Face" w:hAnsi="Baskerville Old Face" w:cs="Times New Roman"/>
          <w:sz w:val="24"/>
          <w:szCs w:val="24"/>
        </w:rPr>
        <w:t xml:space="preserve">and Corporate Services </w:t>
      </w:r>
      <w:r w:rsidRPr="009A64B5">
        <w:rPr>
          <w:rFonts w:ascii="Baskerville Old Face" w:hAnsi="Baskerville Old Face" w:cs="Times New Roman"/>
          <w:sz w:val="24"/>
          <w:szCs w:val="24"/>
        </w:rPr>
        <w:t xml:space="preserve">Department </w:t>
      </w:r>
      <w:r w:rsidR="001C0883">
        <w:rPr>
          <w:rFonts w:ascii="Baskerville Old Face" w:hAnsi="Baskerville Old Face" w:cs="Times New Roman"/>
          <w:sz w:val="24"/>
          <w:szCs w:val="24"/>
        </w:rPr>
        <w:t xml:space="preserve">signed the N-SOFT </w:t>
      </w:r>
      <w:r w:rsidR="000A29E5" w:rsidRPr="009A64B5">
        <w:rPr>
          <w:rFonts w:ascii="Baskerville Old Face" w:hAnsi="Baskerville Old Face" w:cs="Times New Roman"/>
          <w:sz w:val="24"/>
          <w:szCs w:val="24"/>
        </w:rPr>
        <w:t>agreement,</w:t>
      </w:r>
      <w:r w:rsidR="001C0883">
        <w:rPr>
          <w:rFonts w:ascii="Baskerville Old Face" w:hAnsi="Baskerville Old Face" w:cs="Times New Roman"/>
          <w:sz w:val="24"/>
          <w:szCs w:val="24"/>
        </w:rPr>
        <w:t xml:space="preserve"> which was ratified by the Parliament of Sierra Leone</w:t>
      </w:r>
      <w:r w:rsidRPr="009A64B5">
        <w:rPr>
          <w:rFonts w:ascii="Baskerville Old Face" w:hAnsi="Baskerville Old Face" w:cs="Times New Roman"/>
          <w:sz w:val="24"/>
          <w:szCs w:val="24"/>
        </w:rPr>
        <w:t xml:space="preserve">, </w:t>
      </w:r>
      <w:r w:rsidR="001C0883">
        <w:rPr>
          <w:rFonts w:ascii="Baskerville Old Face" w:hAnsi="Baskerville Old Face" w:cs="Times New Roman"/>
          <w:sz w:val="24"/>
          <w:szCs w:val="24"/>
        </w:rPr>
        <w:t xml:space="preserve">and has </w:t>
      </w:r>
      <w:r w:rsidRPr="009A64B5">
        <w:rPr>
          <w:rFonts w:ascii="Baskerville Old Face" w:hAnsi="Baskerville Old Face" w:cs="Times New Roman"/>
          <w:sz w:val="24"/>
          <w:szCs w:val="24"/>
        </w:rPr>
        <w:t>been fully implemented in conjunction with mobile companies.</w:t>
      </w:r>
    </w:p>
    <w:p w14:paraId="4D30EA2B" w14:textId="766FEA35" w:rsidR="009A64B5" w:rsidRPr="009A64B5" w:rsidRDefault="009A64B5" w:rsidP="008C5C22">
      <w:pPr>
        <w:pStyle w:val="Heading3"/>
      </w:pPr>
      <w:bookmarkStart w:id="28" w:name="_Toc198205670"/>
      <w:r w:rsidRPr="000A29E5">
        <w:t>Swedish Tax Agency Study Tour</w:t>
      </w:r>
      <w:bookmarkEnd w:id="28"/>
    </w:p>
    <w:p w14:paraId="35364DD4" w14:textId="00A13511" w:rsidR="00B01406" w:rsidRDefault="009A64B5" w:rsidP="009A64B5">
      <w:pPr>
        <w:spacing w:line="360" w:lineRule="auto"/>
        <w:jc w:val="both"/>
        <w:rPr>
          <w:rFonts w:ascii="Baskerville Old Face" w:hAnsi="Baskerville Old Face" w:cs="Times New Roman"/>
          <w:sz w:val="24"/>
          <w:szCs w:val="24"/>
        </w:rPr>
      </w:pPr>
      <w:r w:rsidRPr="009A64B5">
        <w:rPr>
          <w:rFonts w:ascii="Baskerville Old Face" w:hAnsi="Baskerville Old Face" w:cs="Times New Roman"/>
          <w:sz w:val="24"/>
          <w:szCs w:val="24"/>
        </w:rPr>
        <w:t>The Authority organi</w:t>
      </w:r>
      <w:r w:rsidR="000A29E5">
        <w:rPr>
          <w:rFonts w:ascii="Baskerville Old Face" w:hAnsi="Baskerville Old Face" w:cs="Times New Roman"/>
          <w:sz w:val="24"/>
          <w:szCs w:val="24"/>
        </w:rPr>
        <w:t>s</w:t>
      </w:r>
      <w:r w:rsidRPr="009A64B5">
        <w:rPr>
          <w:rFonts w:ascii="Baskerville Old Face" w:hAnsi="Baskerville Old Face" w:cs="Times New Roman"/>
          <w:sz w:val="24"/>
          <w:szCs w:val="24"/>
        </w:rPr>
        <w:t xml:space="preserve">ed a study tour to the Swedish Tax Agency (STA), specifically focusing on their revenue administration practices. The NRA delegation, comprising the </w:t>
      </w:r>
      <w:r w:rsidRPr="00967EA6">
        <w:rPr>
          <w:rFonts w:ascii="Baskerville Old Face" w:hAnsi="Baskerville Old Face" w:cs="Times New Roman"/>
          <w:sz w:val="24"/>
          <w:szCs w:val="24"/>
        </w:rPr>
        <w:t xml:space="preserve">Commissioner General, Senior Director of </w:t>
      </w:r>
      <w:r w:rsidR="00A10E9C" w:rsidRPr="00967EA6">
        <w:rPr>
          <w:rFonts w:ascii="Baskerville Old Face" w:hAnsi="Baskerville Old Face" w:cs="Times New Roman"/>
          <w:sz w:val="24"/>
          <w:szCs w:val="24"/>
        </w:rPr>
        <w:t>MRP</w:t>
      </w:r>
      <w:r w:rsidRPr="00967EA6">
        <w:rPr>
          <w:rFonts w:ascii="Baskerville Old Face" w:hAnsi="Baskerville Old Face" w:cs="Times New Roman"/>
          <w:sz w:val="24"/>
          <w:szCs w:val="24"/>
        </w:rPr>
        <w:t xml:space="preserve"> </w:t>
      </w:r>
      <w:r w:rsidR="002C3981" w:rsidRPr="00967EA6">
        <w:rPr>
          <w:rFonts w:ascii="Baskerville Old Face" w:hAnsi="Baskerville Old Face" w:cs="Times New Roman"/>
          <w:sz w:val="24"/>
          <w:szCs w:val="24"/>
        </w:rPr>
        <w:t>Department</w:t>
      </w:r>
      <w:r w:rsidRPr="00967EA6">
        <w:rPr>
          <w:rFonts w:ascii="Baskerville Old Face" w:hAnsi="Baskerville Old Face" w:cs="Times New Roman"/>
          <w:sz w:val="24"/>
          <w:szCs w:val="24"/>
        </w:rPr>
        <w:t xml:space="preserve">, Senior Commissioner of </w:t>
      </w:r>
      <w:r w:rsidR="002C3981" w:rsidRPr="00967EA6">
        <w:rPr>
          <w:rFonts w:ascii="Baskerville Old Face" w:hAnsi="Baskerville Old Face" w:cs="Times New Roman"/>
          <w:sz w:val="24"/>
          <w:szCs w:val="24"/>
        </w:rPr>
        <w:t>DTD</w:t>
      </w:r>
      <w:r w:rsidRPr="00967EA6">
        <w:rPr>
          <w:rFonts w:ascii="Baskerville Old Face" w:hAnsi="Baskerville Old Face" w:cs="Times New Roman"/>
          <w:sz w:val="24"/>
          <w:szCs w:val="24"/>
        </w:rPr>
        <w:t xml:space="preserve">, Director of </w:t>
      </w:r>
      <w:r w:rsidR="002C3981" w:rsidRPr="00967EA6">
        <w:rPr>
          <w:rFonts w:ascii="Baskerville Old Face" w:hAnsi="Baskerville Old Face" w:cs="Times New Roman"/>
          <w:sz w:val="24"/>
          <w:szCs w:val="24"/>
        </w:rPr>
        <w:t>HRD</w:t>
      </w:r>
      <w:r w:rsidRPr="00967EA6">
        <w:rPr>
          <w:rFonts w:ascii="Baskerville Old Face" w:hAnsi="Baskerville Old Face" w:cs="Times New Roman"/>
          <w:sz w:val="24"/>
          <w:szCs w:val="24"/>
        </w:rPr>
        <w:t xml:space="preserve">, and Director of Legal </w:t>
      </w:r>
      <w:r w:rsidR="002C3981" w:rsidRPr="00967EA6">
        <w:rPr>
          <w:rFonts w:ascii="Baskerville Old Face" w:hAnsi="Baskerville Old Face" w:cs="Times New Roman"/>
          <w:sz w:val="24"/>
          <w:szCs w:val="24"/>
        </w:rPr>
        <w:t>and Corporate Services Department</w:t>
      </w:r>
      <w:r w:rsidRPr="00967EA6">
        <w:rPr>
          <w:rFonts w:ascii="Baskerville Old Face" w:hAnsi="Baskerville Old Face" w:cs="Times New Roman"/>
          <w:sz w:val="24"/>
          <w:szCs w:val="24"/>
        </w:rPr>
        <w:t>,</w:t>
      </w:r>
      <w:r w:rsidRPr="009A64B5">
        <w:rPr>
          <w:rFonts w:ascii="Baskerville Old Face" w:hAnsi="Baskerville Old Face" w:cs="Times New Roman"/>
          <w:sz w:val="24"/>
          <w:szCs w:val="24"/>
        </w:rPr>
        <w:t xml:space="preserve"> visited the STA. While impressed by the Authority's Digital Transformation Maturity Model</w:t>
      </w:r>
      <w:r w:rsidR="001245C4">
        <w:rPr>
          <w:rFonts w:ascii="Baskerville Old Face" w:hAnsi="Baskerville Old Face" w:cs="Times New Roman"/>
          <w:sz w:val="24"/>
          <w:szCs w:val="24"/>
        </w:rPr>
        <w:t xml:space="preserve"> (DTMM)</w:t>
      </w:r>
      <w:r w:rsidRPr="009A64B5">
        <w:rPr>
          <w:rFonts w:ascii="Baskerville Old Face" w:hAnsi="Baskerville Old Face" w:cs="Times New Roman"/>
          <w:sz w:val="24"/>
          <w:szCs w:val="24"/>
        </w:rPr>
        <w:t xml:space="preserve">, the STA expressed interest in future collaboration with the Authority. Potential areas of cooperation include </w:t>
      </w:r>
      <w:r w:rsidR="002C3981">
        <w:rPr>
          <w:rFonts w:ascii="Baskerville Old Face" w:hAnsi="Baskerville Old Face" w:cs="Times New Roman"/>
          <w:sz w:val="24"/>
          <w:szCs w:val="24"/>
        </w:rPr>
        <w:t>c</w:t>
      </w:r>
      <w:r w:rsidRPr="009A64B5">
        <w:rPr>
          <w:rFonts w:ascii="Baskerville Old Face" w:hAnsi="Baskerville Old Face" w:cs="Times New Roman"/>
          <w:sz w:val="24"/>
          <w:szCs w:val="24"/>
        </w:rPr>
        <w:t xml:space="preserve">hange </w:t>
      </w:r>
      <w:r w:rsidR="002C3981">
        <w:rPr>
          <w:rFonts w:ascii="Baskerville Old Face" w:hAnsi="Baskerville Old Face" w:cs="Times New Roman"/>
          <w:sz w:val="24"/>
          <w:szCs w:val="24"/>
        </w:rPr>
        <w:t>m</w:t>
      </w:r>
      <w:r w:rsidRPr="009A64B5">
        <w:rPr>
          <w:rFonts w:ascii="Baskerville Old Face" w:hAnsi="Baskerville Old Face" w:cs="Times New Roman"/>
          <w:sz w:val="24"/>
          <w:szCs w:val="24"/>
        </w:rPr>
        <w:t xml:space="preserve">anagement, </w:t>
      </w:r>
      <w:r w:rsidR="002C3981">
        <w:rPr>
          <w:rFonts w:ascii="Baskerville Old Face" w:hAnsi="Baskerville Old Face" w:cs="Times New Roman"/>
          <w:sz w:val="24"/>
          <w:szCs w:val="24"/>
        </w:rPr>
        <w:t>l</w:t>
      </w:r>
      <w:r w:rsidRPr="009A64B5">
        <w:rPr>
          <w:rFonts w:ascii="Baskerville Old Face" w:hAnsi="Baskerville Old Face" w:cs="Times New Roman"/>
          <w:sz w:val="24"/>
          <w:szCs w:val="24"/>
        </w:rPr>
        <w:t xml:space="preserve">egal </w:t>
      </w:r>
      <w:r w:rsidR="002C3981">
        <w:rPr>
          <w:rFonts w:ascii="Baskerville Old Face" w:hAnsi="Baskerville Old Face" w:cs="Times New Roman"/>
          <w:sz w:val="24"/>
          <w:szCs w:val="24"/>
        </w:rPr>
        <w:t>s</w:t>
      </w:r>
      <w:r w:rsidRPr="009A64B5">
        <w:rPr>
          <w:rFonts w:ascii="Baskerville Old Face" w:hAnsi="Baskerville Old Face" w:cs="Times New Roman"/>
          <w:sz w:val="24"/>
          <w:szCs w:val="24"/>
        </w:rPr>
        <w:t xml:space="preserve">upport, </w:t>
      </w:r>
      <w:r w:rsidR="002C3981">
        <w:rPr>
          <w:rFonts w:ascii="Baskerville Old Face" w:hAnsi="Baskerville Old Face" w:cs="Times New Roman"/>
          <w:sz w:val="24"/>
          <w:szCs w:val="24"/>
        </w:rPr>
        <w:t>and h</w:t>
      </w:r>
      <w:r w:rsidRPr="009A64B5">
        <w:rPr>
          <w:rFonts w:ascii="Baskerville Old Face" w:hAnsi="Baskerville Old Face" w:cs="Times New Roman"/>
          <w:sz w:val="24"/>
          <w:szCs w:val="24"/>
        </w:rPr>
        <w:t xml:space="preserve">uman </w:t>
      </w:r>
      <w:r w:rsidR="002C3981">
        <w:rPr>
          <w:rFonts w:ascii="Baskerville Old Face" w:hAnsi="Baskerville Old Face" w:cs="Times New Roman"/>
          <w:sz w:val="24"/>
          <w:szCs w:val="24"/>
        </w:rPr>
        <w:t>r</w:t>
      </w:r>
      <w:r w:rsidRPr="009A64B5">
        <w:rPr>
          <w:rFonts w:ascii="Baskerville Old Face" w:hAnsi="Baskerville Old Face" w:cs="Times New Roman"/>
          <w:sz w:val="24"/>
          <w:szCs w:val="24"/>
        </w:rPr>
        <w:t>esources</w:t>
      </w:r>
      <w:r w:rsidR="002C3981">
        <w:rPr>
          <w:rFonts w:ascii="Baskerville Old Face" w:hAnsi="Baskerville Old Face" w:cs="Times New Roman"/>
          <w:sz w:val="24"/>
          <w:szCs w:val="24"/>
        </w:rPr>
        <w:t xml:space="preserve"> development.</w:t>
      </w:r>
    </w:p>
    <w:p w14:paraId="3FB447A2" w14:textId="3DD27C66" w:rsidR="00F76103" w:rsidRPr="00F76103" w:rsidRDefault="00F76103" w:rsidP="008C5C22">
      <w:pPr>
        <w:pStyle w:val="Heading3"/>
      </w:pPr>
      <w:bookmarkStart w:id="29" w:name="_Toc198205671"/>
      <w:r w:rsidRPr="00F76103">
        <w:t>Global Forum</w:t>
      </w:r>
      <w:bookmarkEnd w:id="29"/>
    </w:p>
    <w:p w14:paraId="022CDE95" w14:textId="1EFC8AC4" w:rsidR="00F76103" w:rsidRDefault="00F76103" w:rsidP="00F76103">
      <w:pPr>
        <w:spacing w:line="360" w:lineRule="auto"/>
        <w:jc w:val="both"/>
        <w:rPr>
          <w:rFonts w:ascii="Baskerville Old Face" w:hAnsi="Baskerville Old Face" w:cs="Times New Roman"/>
          <w:sz w:val="24"/>
          <w:szCs w:val="24"/>
        </w:rPr>
      </w:pPr>
      <w:r w:rsidRPr="00F76103">
        <w:rPr>
          <w:rFonts w:ascii="Baskerville Old Face" w:hAnsi="Baskerville Old Face" w:cs="Times New Roman"/>
          <w:sz w:val="24"/>
          <w:szCs w:val="24"/>
        </w:rPr>
        <w:t xml:space="preserve">The </w:t>
      </w:r>
      <w:r>
        <w:rPr>
          <w:rFonts w:ascii="Baskerville Old Face" w:hAnsi="Baskerville Old Face" w:cs="Times New Roman"/>
          <w:sz w:val="24"/>
          <w:szCs w:val="24"/>
        </w:rPr>
        <w:t>NRA</w:t>
      </w:r>
      <w:r w:rsidRPr="00F76103">
        <w:rPr>
          <w:rFonts w:ascii="Baskerville Old Face" w:hAnsi="Baskerville Old Face" w:cs="Times New Roman"/>
          <w:sz w:val="24"/>
          <w:szCs w:val="24"/>
        </w:rPr>
        <w:t xml:space="preserve">, in collaboration with the </w:t>
      </w:r>
      <w:r>
        <w:rPr>
          <w:rFonts w:ascii="Baskerville Old Face" w:hAnsi="Baskerville Old Face" w:cs="Times New Roman"/>
          <w:sz w:val="24"/>
          <w:szCs w:val="24"/>
        </w:rPr>
        <w:t>MoF</w:t>
      </w:r>
      <w:r w:rsidRPr="00F76103">
        <w:rPr>
          <w:rFonts w:ascii="Baskerville Old Face" w:hAnsi="Baskerville Old Face" w:cs="Times New Roman"/>
          <w:sz w:val="24"/>
          <w:szCs w:val="24"/>
        </w:rPr>
        <w:t>, became a member of the Global Forum on Transparency and Exchange of Information for Tax Purposes. This international organi</w:t>
      </w:r>
      <w:r>
        <w:rPr>
          <w:rFonts w:ascii="Baskerville Old Face" w:hAnsi="Baskerville Old Face" w:cs="Times New Roman"/>
          <w:sz w:val="24"/>
          <w:szCs w:val="24"/>
        </w:rPr>
        <w:t>s</w:t>
      </w:r>
      <w:r w:rsidRPr="00F76103">
        <w:rPr>
          <w:rFonts w:ascii="Baskerville Old Face" w:hAnsi="Baskerville Old Face" w:cs="Times New Roman"/>
          <w:sz w:val="24"/>
          <w:szCs w:val="24"/>
        </w:rPr>
        <w:t xml:space="preserve">ation comprises 171 </w:t>
      </w:r>
      <w:r>
        <w:rPr>
          <w:rFonts w:ascii="Baskerville Old Face" w:hAnsi="Baskerville Old Face" w:cs="Times New Roman"/>
          <w:sz w:val="24"/>
          <w:szCs w:val="24"/>
        </w:rPr>
        <w:t>members</w:t>
      </w:r>
      <w:r w:rsidRPr="00F76103">
        <w:rPr>
          <w:rFonts w:ascii="Baskerville Old Face" w:hAnsi="Baskerville Old Face" w:cs="Times New Roman"/>
          <w:sz w:val="24"/>
          <w:szCs w:val="24"/>
        </w:rPr>
        <w:t xml:space="preserve"> working collectively to combat tax evasion by enhancing transparency and information exchange.</w:t>
      </w:r>
    </w:p>
    <w:p w14:paraId="33978B8A" w14:textId="77777777" w:rsidR="00762EA3" w:rsidRDefault="00762EA3" w:rsidP="00F76103">
      <w:pPr>
        <w:spacing w:line="360" w:lineRule="auto"/>
        <w:jc w:val="both"/>
        <w:rPr>
          <w:rFonts w:ascii="Baskerville Old Face" w:hAnsi="Baskerville Old Face" w:cs="Times New Roman"/>
          <w:sz w:val="24"/>
          <w:szCs w:val="24"/>
        </w:rPr>
      </w:pPr>
    </w:p>
    <w:p w14:paraId="06FD078A" w14:textId="77777777" w:rsidR="00762EA3" w:rsidRPr="00F76103" w:rsidRDefault="00762EA3" w:rsidP="00F76103">
      <w:pPr>
        <w:spacing w:line="360" w:lineRule="auto"/>
        <w:jc w:val="both"/>
        <w:rPr>
          <w:rFonts w:ascii="Baskerville Old Face" w:hAnsi="Baskerville Old Face" w:cs="Times New Roman"/>
          <w:sz w:val="24"/>
          <w:szCs w:val="24"/>
        </w:rPr>
      </w:pPr>
    </w:p>
    <w:p w14:paraId="2107E4FC" w14:textId="59DCC8B1" w:rsidR="00F76103" w:rsidRPr="00F76103" w:rsidRDefault="00344C0C" w:rsidP="008C5C22">
      <w:pPr>
        <w:pStyle w:val="Heading3"/>
      </w:pPr>
      <w:bookmarkStart w:id="30" w:name="_Toc198205672"/>
      <w:r>
        <w:lastRenderedPageBreak/>
        <w:t xml:space="preserve">Proposed </w:t>
      </w:r>
      <w:r w:rsidR="00F76103" w:rsidRPr="00F76103">
        <w:t>Revenue Court</w:t>
      </w:r>
      <w:bookmarkEnd w:id="30"/>
    </w:p>
    <w:p w14:paraId="46E86193" w14:textId="7B365980" w:rsidR="00F76103" w:rsidRPr="00F76103" w:rsidRDefault="00F76103" w:rsidP="00F76103">
      <w:pPr>
        <w:spacing w:line="360" w:lineRule="auto"/>
        <w:jc w:val="both"/>
        <w:rPr>
          <w:rFonts w:ascii="Baskerville Old Face" w:hAnsi="Baskerville Old Face" w:cs="Times New Roman"/>
          <w:sz w:val="24"/>
          <w:szCs w:val="24"/>
        </w:rPr>
      </w:pPr>
      <w:r w:rsidRPr="00F76103">
        <w:rPr>
          <w:rFonts w:ascii="Baskerville Old Face" w:hAnsi="Baskerville Old Face" w:cs="Times New Roman"/>
          <w:sz w:val="24"/>
          <w:szCs w:val="24"/>
        </w:rPr>
        <w:t xml:space="preserve">The Legal and </w:t>
      </w:r>
      <w:r>
        <w:rPr>
          <w:rFonts w:ascii="Baskerville Old Face" w:hAnsi="Baskerville Old Face" w:cs="Times New Roman"/>
          <w:sz w:val="24"/>
          <w:szCs w:val="24"/>
        </w:rPr>
        <w:t xml:space="preserve">Corporate Services Department </w:t>
      </w:r>
      <w:r w:rsidRPr="00F76103">
        <w:rPr>
          <w:rFonts w:ascii="Baskerville Old Face" w:hAnsi="Baskerville Old Face" w:cs="Times New Roman"/>
          <w:sz w:val="24"/>
          <w:szCs w:val="24"/>
        </w:rPr>
        <w:t xml:space="preserve">conducted multiple meetings with the Chief Justice to establish the Revenue Court. </w:t>
      </w:r>
      <w:r>
        <w:rPr>
          <w:rFonts w:ascii="Baskerville Old Face" w:hAnsi="Baskerville Old Face" w:cs="Times New Roman"/>
          <w:sz w:val="24"/>
          <w:szCs w:val="24"/>
        </w:rPr>
        <w:t>The</w:t>
      </w:r>
      <w:r w:rsidRPr="00F76103">
        <w:rPr>
          <w:rFonts w:ascii="Baskerville Old Face" w:hAnsi="Baskerville Old Face" w:cs="Times New Roman"/>
          <w:sz w:val="24"/>
          <w:szCs w:val="24"/>
        </w:rPr>
        <w:t xml:space="preserve"> former special court facility was identified as the venue for court proceedings. Subsequently, the Chief Justice met with the </w:t>
      </w:r>
      <w:proofErr w:type="gramStart"/>
      <w:r w:rsidR="00BE4BC1">
        <w:rPr>
          <w:rFonts w:ascii="Baskerville Old Face" w:hAnsi="Baskerville Old Face" w:cs="Times New Roman"/>
          <w:sz w:val="24"/>
          <w:szCs w:val="24"/>
        </w:rPr>
        <w:t>then-</w:t>
      </w:r>
      <w:r w:rsidRPr="00F76103">
        <w:rPr>
          <w:rFonts w:ascii="Baskerville Old Face" w:hAnsi="Baskerville Old Face" w:cs="Times New Roman"/>
          <w:sz w:val="24"/>
          <w:szCs w:val="24"/>
        </w:rPr>
        <w:t>Commissioner</w:t>
      </w:r>
      <w:proofErr w:type="gramEnd"/>
      <w:r>
        <w:rPr>
          <w:rFonts w:ascii="Baskerville Old Face" w:hAnsi="Baskerville Old Face" w:cs="Times New Roman"/>
          <w:sz w:val="24"/>
          <w:szCs w:val="24"/>
        </w:rPr>
        <w:t>-</w:t>
      </w:r>
      <w:r w:rsidRPr="00F76103">
        <w:rPr>
          <w:rFonts w:ascii="Baskerville Old Face" w:hAnsi="Baskerville Old Face" w:cs="Times New Roman"/>
          <w:sz w:val="24"/>
          <w:szCs w:val="24"/>
        </w:rPr>
        <w:t>General, Mr. Swarray, to discuss funding for the rehabilitation of the special court</w:t>
      </w:r>
      <w:r>
        <w:rPr>
          <w:rFonts w:ascii="Baskerville Old Face" w:hAnsi="Baskerville Old Face" w:cs="Times New Roman"/>
          <w:sz w:val="24"/>
          <w:szCs w:val="24"/>
        </w:rPr>
        <w:t xml:space="preserve"> facility</w:t>
      </w:r>
      <w:r w:rsidRPr="00F76103">
        <w:rPr>
          <w:rFonts w:ascii="Baskerville Old Face" w:hAnsi="Baskerville Old Face" w:cs="Times New Roman"/>
          <w:sz w:val="24"/>
          <w:szCs w:val="24"/>
        </w:rPr>
        <w:t xml:space="preserve">. However, a consensus regarding funding for the refurbishment of the deteriorated facility is yet to be reached by </w:t>
      </w:r>
      <w:r>
        <w:rPr>
          <w:rFonts w:ascii="Baskerville Old Face" w:hAnsi="Baskerville Old Face" w:cs="Times New Roman"/>
          <w:sz w:val="24"/>
          <w:szCs w:val="24"/>
        </w:rPr>
        <w:t>the</w:t>
      </w:r>
      <w:r w:rsidRPr="00F76103">
        <w:rPr>
          <w:rFonts w:ascii="Baskerville Old Face" w:hAnsi="Baskerville Old Face" w:cs="Times New Roman"/>
          <w:sz w:val="24"/>
          <w:szCs w:val="24"/>
        </w:rPr>
        <w:t xml:space="preserve"> </w:t>
      </w:r>
      <w:r>
        <w:rPr>
          <w:rFonts w:ascii="Baskerville Old Face" w:hAnsi="Baskerville Old Face" w:cs="Times New Roman"/>
          <w:sz w:val="24"/>
          <w:szCs w:val="24"/>
        </w:rPr>
        <w:t xml:space="preserve">office of the </w:t>
      </w:r>
      <w:r w:rsidRPr="00F76103">
        <w:rPr>
          <w:rFonts w:ascii="Baskerville Old Face" w:hAnsi="Baskerville Old Face" w:cs="Times New Roman"/>
          <w:sz w:val="24"/>
          <w:szCs w:val="24"/>
        </w:rPr>
        <w:t xml:space="preserve">Chief Justice and the </w:t>
      </w:r>
      <w:r>
        <w:rPr>
          <w:rFonts w:ascii="Baskerville Old Face" w:hAnsi="Baskerville Old Face" w:cs="Times New Roman"/>
          <w:sz w:val="24"/>
          <w:szCs w:val="24"/>
        </w:rPr>
        <w:t>NRA</w:t>
      </w:r>
      <w:r w:rsidRPr="00F76103">
        <w:rPr>
          <w:rFonts w:ascii="Baskerville Old Face" w:hAnsi="Baskerville Old Face" w:cs="Times New Roman"/>
          <w:sz w:val="24"/>
          <w:szCs w:val="24"/>
        </w:rPr>
        <w:t>.</w:t>
      </w:r>
    </w:p>
    <w:p w14:paraId="5BF42FEC" w14:textId="59B5453C" w:rsidR="00F76103" w:rsidRPr="0066066D" w:rsidRDefault="00DC245C" w:rsidP="00C2678A">
      <w:pPr>
        <w:pStyle w:val="Heading2"/>
      </w:pPr>
      <w:bookmarkStart w:id="31" w:name="_Toc198205673"/>
      <w:r>
        <w:t xml:space="preserve">3.4: </w:t>
      </w:r>
      <w:r w:rsidR="0066066D" w:rsidRPr="0066066D">
        <w:t>PUBLIC RECOGNITION AND TRUST</w:t>
      </w:r>
      <w:bookmarkEnd w:id="31"/>
    </w:p>
    <w:p w14:paraId="63842CA2" w14:textId="77777777" w:rsidR="00C2678A" w:rsidRDefault="00C2678A" w:rsidP="00B025CF">
      <w:pPr>
        <w:spacing w:line="360" w:lineRule="auto"/>
        <w:jc w:val="both"/>
        <w:rPr>
          <w:rFonts w:ascii="Baskerville Old Face" w:hAnsi="Baskerville Old Face" w:cs="Times New Roman"/>
          <w:sz w:val="24"/>
          <w:szCs w:val="24"/>
        </w:rPr>
      </w:pPr>
    </w:p>
    <w:p w14:paraId="4648BAB1" w14:textId="4D7A2FAF" w:rsidR="00B025CF" w:rsidRPr="00B025CF" w:rsidRDefault="00B025CF" w:rsidP="00B025CF">
      <w:pPr>
        <w:spacing w:line="360" w:lineRule="auto"/>
        <w:jc w:val="both"/>
        <w:rPr>
          <w:rFonts w:ascii="Baskerville Old Face" w:hAnsi="Baskerville Old Face" w:cs="Times New Roman"/>
          <w:sz w:val="24"/>
          <w:szCs w:val="24"/>
        </w:rPr>
      </w:pPr>
      <w:r w:rsidRPr="00B025CF">
        <w:rPr>
          <w:rFonts w:ascii="Baskerville Old Face" w:hAnsi="Baskerville Old Face" w:cs="Times New Roman"/>
          <w:sz w:val="24"/>
          <w:szCs w:val="24"/>
        </w:rPr>
        <w:t xml:space="preserve">The National Revenue Authority was presented with a Certificate of Achievement by the Anti-Corruption Commission for its adherence to the National Anti-Corruption Strategy 2019-2023 </w:t>
      </w:r>
      <w:r w:rsidR="00185C54">
        <w:rPr>
          <w:rFonts w:ascii="Baskerville Old Face" w:hAnsi="Baskerville Old Face" w:cs="Times New Roman"/>
          <w:sz w:val="24"/>
          <w:szCs w:val="24"/>
        </w:rPr>
        <w:t>following</w:t>
      </w:r>
      <w:r w:rsidRPr="00B025CF">
        <w:rPr>
          <w:rFonts w:ascii="Baskerville Old Face" w:hAnsi="Baskerville Old Face" w:cs="Times New Roman"/>
          <w:sz w:val="24"/>
          <w:szCs w:val="24"/>
        </w:rPr>
        <w:t xml:space="preserve"> monitoring of the 3rd and 4th Quarters of 2021. This commendable recognition was conferred by the Commissioner of the Anti-Corruption Commission and the Chairperson of the National Anti-Corruption Strategy Steering Committee.</w:t>
      </w:r>
    </w:p>
    <w:p w14:paraId="41DF63AD" w14:textId="59F703EF" w:rsidR="00F76103" w:rsidRPr="00F76103" w:rsidRDefault="00B025CF" w:rsidP="00B025CF">
      <w:pPr>
        <w:spacing w:line="360" w:lineRule="auto"/>
        <w:jc w:val="both"/>
        <w:rPr>
          <w:rFonts w:ascii="Baskerville Old Face" w:hAnsi="Baskerville Old Face" w:cs="Times New Roman"/>
          <w:sz w:val="24"/>
          <w:szCs w:val="24"/>
        </w:rPr>
      </w:pPr>
      <w:r w:rsidRPr="00B025CF">
        <w:rPr>
          <w:rFonts w:ascii="Baskerville Old Face" w:hAnsi="Baskerville Old Face" w:cs="Times New Roman"/>
          <w:sz w:val="24"/>
          <w:szCs w:val="24"/>
        </w:rPr>
        <w:t>Furthermore, the Authority was honored with a Certificate of Appreciation from the Republic of Sierra Leone Arm</w:t>
      </w:r>
      <w:r w:rsidR="00364EA4">
        <w:rPr>
          <w:rFonts w:ascii="Baskerville Old Face" w:hAnsi="Baskerville Old Face" w:cs="Times New Roman"/>
          <w:sz w:val="24"/>
          <w:szCs w:val="24"/>
        </w:rPr>
        <w:t>ed</w:t>
      </w:r>
      <w:r w:rsidRPr="00B025CF">
        <w:rPr>
          <w:rFonts w:ascii="Baskerville Old Face" w:hAnsi="Baskerville Old Face" w:cs="Times New Roman"/>
          <w:sz w:val="24"/>
          <w:szCs w:val="24"/>
        </w:rPr>
        <w:t xml:space="preserve"> Forces for its contributions and support towards various humanitarian </w:t>
      </w:r>
      <w:proofErr w:type="spellStart"/>
      <w:r w:rsidRPr="00B025CF">
        <w:rPr>
          <w:rFonts w:ascii="Baskerville Old Face" w:hAnsi="Baskerville Old Face" w:cs="Times New Roman"/>
          <w:sz w:val="24"/>
          <w:szCs w:val="24"/>
        </w:rPr>
        <w:t>endeavo</w:t>
      </w:r>
      <w:r w:rsidR="00185C54">
        <w:rPr>
          <w:rFonts w:ascii="Baskerville Old Face" w:hAnsi="Baskerville Old Face" w:cs="Times New Roman"/>
          <w:sz w:val="24"/>
          <w:szCs w:val="24"/>
        </w:rPr>
        <w:t>u</w:t>
      </w:r>
      <w:r w:rsidRPr="00B025CF">
        <w:rPr>
          <w:rFonts w:ascii="Baskerville Old Face" w:hAnsi="Baskerville Old Face" w:cs="Times New Roman"/>
          <w:sz w:val="24"/>
          <w:szCs w:val="24"/>
        </w:rPr>
        <w:t>rs</w:t>
      </w:r>
      <w:proofErr w:type="spellEnd"/>
      <w:r w:rsidRPr="00B025CF">
        <w:rPr>
          <w:rFonts w:ascii="Baskerville Old Face" w:hAnsi="Baskerville Old Face" w:cs="Times New Roman"/>
          <w:sz w:val="24"/>
          <w:szCs w:val="24"/>
        </w:rPr>
        <w:t xml:space="preserve">. Despite encountering financial constraints in 2023, the Authority's commitment to fostering human capital development through its </w:t>
      </w:r>
      <w:r w:rsidR="006D78C8" w:rsidRPr="00364236">
        <w:rPr>
          <w:rFonts w:ascii="Baskerville Old Face" w:hAnsi="Baskerville Old Face" w:cs="Times New Roman"/>
          <w:sz w:val="24"/>
          <w:szCs w:val="24"/>
        </w:rPr>
        <w:t>Corporate Social Responsibility initiatives</w:t>
      </w:r>
      <w:r w:rsidR="006D78C8">
        <w:rPr>
          <w:rFonts w:ascii="Baskerville Old Face" w:hAnsi="Baskerville Old Face" w:cs="Times New Roman"/>
          <w:sz w:val="24"/>
          <w:szCs w:val="24"/>
        </w:rPr>
        <w:t xml:space="preserve"> </w:t>
      </w:r>
      <w:r w:rsidRPr="00B025CF">
        <w:rPr>
          <w:rFonts w:ascii="Baskerville Old Face" w:hAnsi="Baskerville Old Face" w:cs="Times New Roman"/>
          <w:sz w:val="24"/>
          <w:szCs w:val="24"/>
        </w:rPr>
        <w:t>is underscored by such acknowledgments.</w:t>
      </w:r>
    </w:p>
    <w:p w14:paraId="35DC5341" w14:textId="06E7C98A" w:rsidR="00757858" w:rsidRPr="00757858" w:rsidRDefault="00DC245C" w:rsidP="00C2678A">
      <w:pPr>
        <w:pStyle w:val="Heading2"/>
      </w:pPr>
      <w:bookmarkStart w:id="32" w:name="_Toc198205674"/>
      <w:r>
        <w:t xml:space="preserve">3.5: </w:t>
      </w:r>
      <w:r w:rsidR="00757858" w:rsidRPr="00757858">
        <w:t xml:space="preserve">HUMAN RESOURCE </w:t>
      </w:r>
      <w:r w:rsidR="00845B8C">
        <w:t xml:space="preserve">AND STAFF WELFARE </w:t>
      </w:r>
      <w:r w:rsidR="00757858" w:rsidRPr="00757858">
        <w:t>MANAGEMENT</w:t>
      </w:r>
      <w:bookmarkEnd w:id="32"/>
      <w:r w:rsidR="00845B8C">
        <w:t xml:space="preserve"> </w:t>
      </w:r>
    </w:p>
    <w:p w14:paraId="34474232" w14:textId="77777777" w:rsidR="00C2678A" w:rsidRDefault="00C2678A" w:rsidP="00845B8C">
      <w:pPr>
        <w:spacing w:line="360" w:lineRule="auto"/>
        <w:jc w:val="both"/>
        <w:rPr>
          <w:rFonts w:ascii="Baskerville Old Face" w:hAnsi="Baskerville Old Face" w:cs="Times New Roman"/>
          <w:sz w:val="24"/>
          <w:szCs w:val="24"/>
        </w:rPr>
      </w:pPr>
    </w:p>
    <w:p w14:paraId="2028DD4B" w14:textId="3BC5F4A5" w:rsidR="00845B8C" w:rsidRDefault="00DF1AC2" w:rsidP="00845B8C">
      <w:pPr>
        <w:spacing w:line="360" w:lineRule="auto"/>
        <w:jc w:val="both"/>
        <w:rPr>
          <w:rFonts w:ascii="Baskerville Old Face" w:hAnsi="Baskerville Old Face" w:cs="Times New Roman"/>
          <w:sz w:val="24"/>
          <w:szCs w:val="24"/>
        </w:rPr>
      </w:pPr>
      <w:r w:rsidRPr="00DF1AC2">
        <w:rPr>
          <w:rFonts w:ascii="Baskerville Old Face" w:hAnsi="Baskerville Old Face" w:cs="Times New Roman"/>
          <w:sz w:val="24"/>
          <w:szCs w:val="24"/>
        </w:rPr>
        <w:t xml:space="preserve">The Human Resources Department collaborates closely with the Board and SMT, operating under the oversight of the Commissioner-General to develop and enact strategic human resources policies aligned with the Authority’s strategic objectives. Its primary responsibilities encompass the recruitment, training, development, and retention of personnel to meet the needs of all departments. The HRD's overarching functions are facilitated through three specialized units: the Recruitment and Staff Appraisal Unit, the Salary and Records Management Unit, and the Training, Manpower Planning, and Capacity Development Unit. </w:t>
      </w:r>
      <w:r w:rsidR="00845B8C">
        <w:rPr>
          <w:rFonts w:ascii="Baskerville Old Face" w:hAnsi="Baskerville Old Face" w:cs="Times New Roman"/>
          <w:sz w:val="24"/>
          <w:szCs w:val="24"/>
        </w:rPr>
        <w:t>The Staff Welfare Department was i</w:t>
      </w:r>
      <w:r w:rsidR="00845B8C" w:rsidRPr="00FC3086">
        <w:rPr>
          <w:rFonts w:ascii="Baskerville Old Face" w:hAnsi="Baskerville Old Face" w:cs="Times New Roman"/>
          <w:sz w:val="24"/>
          <w:szCs w:val="24"/>
        </w:rPr>
        <w:t xml:space="preserve">nitially a Unit within the Human Resources Department, </w:t>
      </w:r>
      <w:r w:rsidR="00845B8C">
        <w:rPr>
          <w:rFonts w:ascii="Baskerville Old Face" w:hAnsi="Baskerville Old Face" w:cs="Times New Roman"/>
          <w:sz w:val="24"/>
          <w:szCs w:val="24"/>
        </w:rPr>
        <w:t>that</w:t>
      </w:r>
      <w:r w:rsidR="00845B8C" w:rsidRPr="00FC3086">
        <w:rPr>
          <w:rFonts w:ascii="Baskerville Old Face" w:hAnsi="Baskerville Old Face" w:cs="Times New Roman"/>
          <w:sz w:val="24"/>
          <w:szCs w:val="24"/>
        </w:rPr>
        <w:t xml:space="preserve"> transitioned into an independent Department in 2021, with the primary objective of enhancing the management of staff welfare. </w:t>
      </w:r>
    </w:p>
    <w:p w14:paraId="2A5AD856" w14:textId="4FEF8554" w:rsidR="00757858" w:rsidRDefault="00DF1AC2" w:rsidP="00C77C72">
      <w:pPr>
        <w:spacing w:line="360" w:lineRule="auto"/>
        <w:jc w:val="both"/>
        <w:rPr>
          <w:rFonts w:ascii="Baskerville Old Face" w:hAnsi="Baskerville Old Face" w:cs="Times New Roman"/>
          <w:sz w:val="24"/>
          <w:szCs w:val="24"/>
        </w:rPr>
      </w:pPr>
      <w:r w:rsidRPr="00DF1AC2">
        <w:rPr>
          <w:rFonts w:ascii="Baskerville Old Face" w:hAnsi="Baskerville Old Face" w:cs="Times New Roman"/>
          <w:sz w:val="24"/>
          <w:szCs w:val="24"/>
        </w:rPr>
        <w:lastRenderedPageBreak/>
        <w:t xml:space="preserve">This section </w:t>
      </w:r>
      <w:r w:rsidR="005C05A6">
        <w:rPr>
          <w:rFonts w:ascii="Baskerville Old Face" w:hAnsi="Baskerville Old Face" w:cs="Times New Roman"/>
          <w:sz w:val="24"/>
          <w:szCs w:val="24"/>
        </w:rPr>
        <w:t>provides</w:t>
      </w:r>
      <w:r w:rsidRPr="00DF1AC2">
        <w:rPr>
          <w:rFonts w:ascii="Baskerville Old Face" w:hAnsi="Baskerville Old Face" w:cs="Times New Roman"/>
          <w:sz w:val="24"/>
          <w:szCs w:val="24"/>
        </w:rPr>
        <w:t xml:space="preserve"> an analysis of the key activities undertaken by the HRD </w:t>
      </w:r>
      <w:r w:rsidR="00845B8C">
        <w:rPr>
          <w:rFonts w:ascii="Baskerville Old Face" w:hAnsi="Baskerville Old Face" w:cs="Times New Roman"/>
          <w:sz w:val="24"/>
          <w:szCs w:val="24"/>
        </w:rPr>
        <w:t xml:space="preserve">and the Staff Welfare Department </w:t>
      </w:r>
      <w:r w:rsidRPr="00DF1AC2">
        <w:rPr>
          <w:rFonts w:ascii="Baskerville Old Face" w:hAnsi="Baskerville Old Face" w:cs="Times New Roman"/>
          <w:sz w:val="24"/>
          <w:szCs w:val="24"/>
        </w:rPr>
        <w:t>during the reporting period</w:t>
      </w:r>
      <w:r w:rsidR="005C05A6">
        <w:rPr>
          <w:rFonts w:ascii="Baskerville Old Face" w:hAnsi="Baskerville Old Face" w:cs="Times New Roman"/>
          <w:sz w:val="24"/>
          <w:szCs w:val="24"/>
        </w:rPr>
        <w:t xml:space="preserve"> in line with goal two (2) of the NRA’s </w:t>
      </w:r>
      <w:r w:rsidR="005C05A6" w:rsidRPr="005C05A6">
        <w:rPr>
          <w:rFonts w:ascii="Baskerville Old Face" w:hAnsi="Baskerville Old Face" w:cs="Times New Roman"/>
          <w:sz w:val="24"/>
          <w:szCs w:val="24"/>
        </w:rPr>
        <w:t>strategic plan for 2023-2027</w:t>
      </w:r>
      <w:r w:rsidR="005C05A6">
        <w:rPr>
          <w:rFonts w:ascii="Baskerville Old Face" w:hAnsi="Baskerville Old Face" w:cs="Times New Roman"/>
          <w:sz w:val="24"/>
          <w:szCs w:val="24"/>
        </w:rPr>
        <w:t>.</w:t>
      </w:r>
      <w:r w:rsidR="005C05A6" w:rsidRPr="005C05A6">
        <w:rPr>
          <w:rFonts w:ascii="Baskerville Old Face" w:hAnsi="Baskerville Old Face" w:cs="Times New Roman"/>
          <w:sz w:val="24"/>
          <w:szCs w:val="24"/>
        </w:rPr>
        <w:t xml:space="preserve"> Goal two </w:t>
      </w:r>
      <w:proofErr w:type="spellStart"/>
      <w:r w:rsidR="005C05A6" w:rsidRPr="005C05A6">
        <w:rPr>
          <w:rFonts w:ascii="Baskerville Old Face" w:hAnsi="Baskerville Old Face" w:cs="Times New Roman"/>
          <w:sz w:val="24"/>
          <w:szCs w:val="24"/>
        </w:rPr>
        <w:t>emphasi</w:t>
      </w:r>
      <w:r w:rsidR="005C05A6">
        <w:rPr>
          <w:rFonts w:ascii="Baskerville Old Face" w:hAnsi="Baskerville Old Face" w:cs="Times New Roman"/>
          <w:sz w:val="24"/>
          <w:szCs w:val="24"/>
        </w:rPr>
        <w:t>s</w:t>
      </w:r>
      <w:r w:rsidR="005C05A6" w:rsidRPr="005C05A6">
        <w:rPr>
          <w:rFonts w:ascii="Baskerville Old Face" w:hAnsi="Baskerville Old Face" w:cs="Times New Roman"/>
          <w:sz w:val="24"/>
          <w:szCs w:val="24"/>
        </w:rPr>
        <w:t>es</w:t>
      </w:r>
      <w:proofErr w:type="spellEnd"/>
      <w:r w:rsidR="005C05A6" w:rsidRPr="005C05A6">
        <w:rPr>
          <w:rFonts w:ascii="Baskerville Old Face" w:hAnsi="Baskerville Old Face" w:cs="Times New Roman"/>
          <w:sz w:val="24"/>
          <w:szCs w:val="24"/>
        </w:rPr>
        <w:t xml:space="preserve"> the "Maintenance of a professional workforce and the development of institutional capacity".</w:t>
      </w:r>
      <w:r w:rsidR="00845B8C">
        <w:rPr>
          <w:rFonts w:ascii="Baskerville Old Face" w:hAnsi="Baskerville Old Face" w:cs="Times New Roman"/>
          <w:sz w:val="24"/>
          <w:szCs w:val="24"/>
        </w:rPr>
        <w:t xml:space="preserve"> </w:t>
      </w:r>
    </w:p>
    <w:p w14:paraId="3C77A403" w14:textId="013554EE" w:rsidR="00757858" w:rsidRDefault="00C12D44" w:rsidP="008C5C22">
      <w:pPr>
        <w:pStyle w:val="Heading3"/>
      </w:pPr>
      <w:bookmarkStart w:id="33" w:name="_Toc198205675"/>
      <w:r w:rsidRPr="00C35B76">
        <w:t>Staff Strength</w:t>
      </w:r>
      <w:bookmarkEnd w:id="33"/>
    </w:p>
    <w:p w14:paraId="3757B471" w14:textId="5F66C513" w:rsidR="006B0A3F" w:rsidRPr="006B0A3F" w:rsidRDefault="00A33ED1" w:rsidP="00D174EA">
      <w:pPr>
        <w:spacing w:line="360" w:lineRule="auto"/>
        <w:jc w:val="both"/>
        <w:rPr>
          <w:rFonts w:ascii="Baskerville Old Face" w:hAnsi="Baskerville Old Face" w:cs="Times New Roman"/>
          <w:sz w:val="24"/>
          <w:szCs w:val="24"/>
        </w:rPr>
      </w:pPr>
      <w:r w:rsidRPr="00EB7319">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8</w:t>
      </w:r>
      <w:r w:rsidRPr="00A33ED1">
        <w:rPr>
          <w:rFonts w:ascii="Baskerville Old Face" w:hAnsi="Baskerville Old Face" w:cs="Times New Roman"/>
          <w:sz w:val="24"/>
          <w:szCs w:val="24"/>
        </w:rPr>
        <w:t xml:space="preserve"> presents a comparative analysis of the Authority's staff composition by gender for the years 2022 and 2023. The total staff count for the Authority saw an increase of 26 individuals in 2023,</w:t>
      </w:r>
      <w:r>
        <w:rPr>
          <w:rFonts w:ascii="Baskerville Old Face" w:hAnsi="Baskerville Old Face" w:cs="Times New Roman"/>
          <w:sz w:val="24"/>
          <w:szCs w:val="24"/>
        </w:rPr>
        <w:t xml:space="preserve"> </w:t>
      </w:r>
      <w:r w:rsidRPr="00A33ED1">
        <w:rPr>
          <w:rFonts w:ascii="Baskerville Old Face" w:hAnsi="Baskerville Old Face" w:cs="Times New Roman"/>
          <w:sz w:val="24"/>
          <w:szCs w:val="24"/>
        </w:rPr>
        <w:t xml:space="preserve">rising from 810 to 836 employees. Further examination of </w:t>
      </w:r>
      <w:r w:rsidRPr="00EB7319">
        <w:rPr>
          <w:rFonts w:ascii="Baskerville Old Face" w:hAnsi="Baskerville Old Face" w:cs="Times New Roman"/>
          <w:sz w:val="24"/>
          <w:szCs w:val="24"/>
        </w:rPr>
        <w:t xml:space="preserve">Table </w:t>
      </w:r>
      <w:r w:rsidR="00EB7319">
        <w:rPr>
          <w:rFonts w:ascii="Baskerville Old Face" w:hAnsi="Baskerville Old Face" w:cs="Times New Roman"/>
          <w:sz w:val="24"/>
          <w:szCs w:val="24"/>
        </w:rPr>
        <w:t>8</w:t>
      </w:r>
      <w:r w:rsidRPr="00A33ED1">
        <w:rPr>
          <w:rFonts w:ascii="Baskerville Old Face" w:hAnsi="Baskerville Old Face" w:cs="Times New Roman"/>
          <w:sz w:val="24"/>
          <w:szCs w:val="24"/>
        </w:rPr>
        <w:t xml:space="preserve"> reveals that the total number of male staff increased by 18, while the number of female staff increased by 8 during the same period. Despite males comprising 74.</w:t>
      </w:r>
      <w:r w:rsidR="00EB7319">
        <w:rPr>
          <w:rFonts w:ascii="Baskerville Old Face" w:hAnsi="Baskerville Old Face" w:cs="Times New Roman"/>
          <w:sz w:val="24"/>
          <w:szCs w:val="24"/>
        </w:rPr>
        <w:t>9</w:t>
      </w:r>
      <w:r w:rsidRPr="00A33ED1">
        <w:rPr>
          <w:rFonts w:ascii="Baskerville Old Face" w:hAnsi="Baskerville Old Face" w:cs="Times New Roman"/>
          <w:sz w:val="24"/>
          <w:szCs w:val="24"/>
        </w:rPr>
        <w:t>% of the total staff population in 2023, the increase in the recruitment of female staff underscores the management's dedication to gender mainstreaming initiatives.</w:t>
      </w:r>
    </w:p>
    <w:p w14:paraId="1937D2D8" w14:textId="0B6F87E4" w:rsidR="00766860" w:rsidRPr="00766860" w:rsidRDefault="00766860" w:rsidP="00766860">
      <w:pPr>
        <w:spacing w:line="240" w:lineRule="auto"/>
        <w:jc w:val="both"/>
        <w:rPr>
          <w:rFonts w:ascii="Baskerville Old Face" w:hAnsi="Baskerville Old Face" w:cs="Times New Roman"/>
          <w:b/>
          <w:bCs/>
          <w:i/>
          <w:iCs/>
          <w:sz w:val="24"/>
          <w:szCs w:val="24"/>
        </w:rPr>
      </w:pPr>
      <w:bookmarkStart w:id="34" w:name="Table8"/>
      <w:r w:rsidRPr="00766860">
        <w:rPr>
          <w:rFonts w:ascii="Baskerville Old Face" w:hAnsi="Baskerville Old Face" w:cs="Times New Roman"/>
          <w:b/>
          <w:bCs/>
          <w:i/>
          <w:iCs/>
          <w:sz w:val="24"/>
          <w:szCs w:val="24"/>
        </w:rPr>
        <w:t xml:space="preserve">Table </w:t>
      </w:r>
      <w:r w:rsidR="005C69D1">
        <w:rPr>
          <w:rFonts w:ascii="Baskerville Old Face" w:hAnsi="Baskerville Old Face" w:cs="Times New Roman"/>
          <w:b/>
          <w:bCs/>
          <w:i/>
          <w:iCs/>
          <w:sz w:val="24"/>
          <w:szCs w:val="24"/>
        </w:rPr>
        <w:t>8</w:t>
      </w:r>
      <w:r w:rsidRPr="00766860">
        <w:rPr>
          <w:rFonts w:ascii="Baskerville Old Face" w:hAnsi="Baskerville Old Face" w:cs="Times New Roman"/>
          <w:b/>
          <w:bCs/>
          <w:i/>
          <w:iCs/>
          <w:sz w:val="24"/>
          <w:szCs w:val="24"/>
        </w:rPr>
        <w:t>: Staff Strength by Gender 202</w:t>
      </w:r>
      <w:r w:rsidR="00EC0FF9">
        <w:rPr>
          <w:rFonts w:ascii="Baskerville Old Face" w:hAnsi="Baskerville Old Face" w:cs="Times New Roman"/>
          <w:b/>
          <w:bCs/>
          <w:i/>
          <w:iCs/>
          <w:sz w:val="24"/>
          <w:szCs w:val="24"/>
        </w:rPr>
        <w:t>3</w:t>
      </w:r>
      <w:r w:rsidRPr="00766860">
        <w:rPr>
          <w:rFonts w:ascii="Baskerville Old Face" w:hAnsi="Baskerville Old Face" w:cs="Times New Roman"/>
          <w:b/>
          <w:bCs/>
          <w:i/>
          <w:iCs/>
          <w:sz w:val="24"/>
          <w:szCs w:val="24"/>
        </w:rPr>
        <w:t xml:space="preserve"> and 2022</w:t>
      </w:r>
    </w:p>
    <w:bookmarkEnd w:id="34"/>
    <w:tbl>
      <w:tblPr>
        <w:tblStyle w:val="GridTable4-Accent3"/>
        <w:tblW w:w="9805" w:type="dxa"/>
        <w:tblLook w:val="04A0" w:firstRow="1" w:lastRow="0" w:firstColumn="1" w:lastColumn="0" w:noHBand="0" w:noVBand="1"/>
      </w:tblPr>
      <w:tblGrid>
        <w:gridCol w:w="2450"/>
        <w:gridCol w:w="1145"/>
        <w:gridCol w:w="990"/>
        <w:gridCol w:w="1530"/>
        <w:gridCol w:w="1170"/>
        <w:gridCol w:w="1217"/>
        <w:gridCol w:w="1303"/>
      </w:tblGrid>
      <w:tr w:rsidR="00C35B76" w:rsidRPr="008D59CB" w14:paraId="0A059508" w14:textId="77777777" w:rsidTr="00D313D2">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50" w:type="dxa"/>
            <w:hideMark/>
          </w:tcPr>
          <w:p w14:paraId="1EF1023E" w14:textId="1F2B554F" w:rsidR="00433A4F" w:rsidRPr="008D59CB" w:rsidRDefault="00433A4F" w:rsidP="00433A4F">
            <w:pPr>
              <w:spacing w:line="360" w:lineRule="auto"/>
              <w:jc w:val="both"/>
              <w:rPr>
                <w:rFonts w:ascii="Baskerville Old Face" w:hAnsi="Baskerville Old Face" w:cs="Times New Roman"/>
                <w:sz w:val="20"/>
                <w:szCs w:val="20"/>
              </w:rPr>
            </w:pPr>
          </w:p>
        </w:tc>
        <w:tc>
          <w:tcPr>
            <w:tcW w:w="1145" w:type="dxa"/>
            <w:hideMark/>
          </w:tcPr>
          <w:p w14:paraId="1EEFD945"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lang w:val="en-GB"/>
              </w:rPr>
              <w:t>2023</w:t>
            </w:r>
          </w:p>
        </w:tc>
        <w:tc>
          <w:tcPr>
            <w:tcW w:w="990" w:type="dxa"/>
            <w:hideMark/>
          </w:tcPr>
          <w:p w14:paraId="726EF040"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lang w:val="en-GB"/>
              </w:rPr>
              <w:t>2022</w:t>
            </w:r>
          </w:p>
        </w:tc>
        <w:tc>
          <w:tcPr>
            <w:tcW w:w="1530" w:type="dxa"/>
            <w:hideMark/>
          </w:tcPr>
          <w:p w14:paraId="2503AC55"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rPr>
              <w:t> </w:t>
            </w:r>
          </w:p>
        </w:tc>
        <w:tc>
          <w:tcPr>
            <w:tcW w:w="1170" w:type="dxa"/>
            <w:hideMark/>
          </w:tcPr>
          <w:p w14:paraId="18F6EDB5"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lang w:val="en-GB"/>
              </w:rPr>
              <w:t>2023</w:t>
            </w:r>
          </w:p>
        </w:tc>
        <w:tc>
          <w:tcPr>
            <w:tcW w:w="1217" w:type="dxa"/>
            <w:hideMark/>
          </w:tcPr>
          <w:p w14:paraId="5409EE67"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0"/>
                <w:szCs w:val="20"/>
              </w:rPr>
            </w:pPr>
            <w:r w:rsidRPr="008D59CB">
              <w:rPr>
                <w:rFonts w:ascii="Baskerville Old Face" w:hAnsi="Baskerville Old Face" w:cs="Times New Roman"/>
                <w:color w:val="auto"/>
                <w:sz w:val="20"/>
                <w:szCs w:val="20"/>
              </w:rPr>
              <w:t>2022</w:t>
            </w:r>
          </w:p>
        </w:tc>
        <w:tc>
          <w:tcPr>
            <w:tcW w:w="1303" w:type="dxa"/>
            <w:hideMark/>
          </w:tcPr>
          <w:p w14:paraId="1C0BC15C" w14:textId="77777777" w:rsidR="00433A4F" w:rsidRPr="008D59CB" w:rsidRDefault="00433A4F" w:rsidP="00433A4F">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rPr>
              <w:t> </w:t>
            </w:r>
          </w:p>
        </w:tc>
      </w:tr>
      <w:tr w:rsidR="00C35B76" w:rsidRPr="008D59CB" w14:paraId="20CA4537"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133306A3" w14:textId="5C747A02" w:rsidR="00433A4F" w:rsidRPr="008D59CB" w:rsidRDefault="00433A4F" w:rsidP="00433A4F">
            <w:pPr>
              <w:spacing w:line="360" w:lineRule="auto"/>
              <w:jc w:val="both"/>
              <w:rPr>
                <w:rFonts w:ascii="Baskerville Old Face" w:hAnsi="Baskerville Old Face" w:cs="Times New Roman"/>
                <w:sz w:val="20"/>
                <w:szCs w:val="20"/>
              </w:rPr>
            </w:pPr>
            <w:r w:rsidRPr="008D59CB">
              <w:rPr>
                <w:rFonts w:ascii="Baskerville Old Face" w:hAnsi="Baskerville Old Face" w:cs="Times New Roman"/>
                <w:sz w:val="20"/>
                <w:szCs w:val="20"/>
              </w:rPr>
              <w:t> </w:t>
            </w:r>
            <w:r w:rsidRPr="008D59CB">
              <w:rPr>
                <w:rFonts w:ascii="Baskerville Old Face" w:hAnsi="Baskerville Old Face" w:cs="Times New Roman"/>
                <w:sz w:val="20"/>
                <w:szCs w:val="20"/>
                <w:lang w:val="en-GB"/>
              </w:rPr>
              <w:t>DEPARTMENT</w:t>
            </w:r>
          </w:p>
        </w:tc>
        <w:tc>
          <w:tcPr>
            <w:tcW w:w="1145" w:type="dxa"/>
            <w:hideMark/>
          </w:tcPr>
          <w:p w14:paraId="27924D92"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MALE</w:t>
            </w:r>
          </w:p>
        </w:tc>
        <w:tc>
          <w:tcPr>
            <w:tcW w:w="990" w:type="dxa"/>
            <w:hideMark/>
          </w:tcPr>
          <w:p w14:paraId="32B68FEA"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 xml:space="preserve"> MALE</w:t>
            </w:r>
          </w:p>
        </w:tc>
        <w:tc>
          <w:tcPr>
            <w:tcW w:w="1530" w:type="dxa"/>
            <w:hideMark/>
          </w:tcPr>
          <w:p w14:paraId="20BBCE7D" w14:textId="7AE22514" w:rsidR="00433A4F" w:rsidRPr="008D59CB" w:rsidRDefault="00D313D2"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VARIANCE</w:t>
            </w:r>
          </w:p>
        </w:tc>
        <w:tc>
          <w:tcPr>
            <w:tcW w:w="1170" w:type="dxa"/>
            <w:hideMark/>
          </w:tcPr>
          <w:p w14:paraId="5FED5A0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FEMALE</w:t>
            </w:r>
          </w:p>
        </w:tc>
        <w:tc>
          <w:tcPr>
            <w:tcW w:w="1217" w:type="dxa"/>
            <w:hideMark/>
          </w:tcPr>
          <w:p w14:paraId="2FA325A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FEMALE</w:t>
            </w:r>
          </w:p>
        </w:tc>
        <w:tc>
          <w:tcPr>
            <w:tcW w:w="1303" w:type="dxa"/>
            <w:hideMark/>
          </w:tcPr>
          <w:p w14:paraId="20E8DF46" w14:textId="7C7F152E" w:rsidR="00433A4F" w:rsidRPr="008D59CB" w:rsidRDefault="00D313D2"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0"/>
                <w:szCs w:val="20"/>
              </w:rPr>
            </w:pPr>
            <w:r w:rsidRPr="008D59CB">
              <w:rPr>
                <w:rFonts w:ascii="Baskerville Old Face" w:hAnsi="Baskerville Old Face" w:cs="Times New Roman"/>
                <w:b/>
                <w:bCs/>
                <w:sz w:val="20"/>
                <w:szCs w:val="20"/>
                <w:lang w:val="en-GB"/>
              </w:rPr>
              <w:t>VARIANCE</w:t>
            </w:r>
          </w:p>
        </w:tc>
      </w:tr>
      <w:tr w:rsidR="00C35B76" w:rsidRPr="008D59CB" w14:paraId="36C2EE85" w14:textId="77777777" w:rsidTr="00D313D2">
        <w:trPr>
          <w:trHeight w:val="377"/>
        </w:trPr>
        <w:tc>
          <w:tcPr>
            <w:cnfStyle w:val="001000000000" w:firstRow="0" w:lastRow="0" w:firstColumn="1" w:lastColumn="0" w:oddVBand="0" w:evenVBand="0" w:oddHBand="0" w:evenHBand="0" w:firstRowFirstColumn="0" w:firstRowLastColumn="0" w:lastRowFirstColumn="0" w:lastRowLastColumn="0"/>
            <w:tcW w:w="2450" w:type="dxa"/>
            <w:hideMark/>
          </w:tcPr>
          <w:p w14:paraId="0ACE1F15"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CG’s OFFICE</w:t>
            </w:r>
          </w:p>
        </w:tc>
        <w:tc>
          <w:tcPr>
            <w:tcW w:w="1145" w:type="dxa"/>
            <w:hideMark/>
          </w:tcPr>
          <w:p w14:paraId="208B22C7"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990" w:type="dxa"/>
            <w:hideMark/>
          </w:tcPr>
          <w:p w14:paraId="14C1DDF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11</w:t>
            </w:r>
          </w:p>
        </w:tc>
        <w:tc>
          <w:tcPr>
            <w:tcW w:w="1530" w:type="dxa"/>
            <w:hideMark/>
          </w:tcPr>
          <w:p w14:paraId="6C6D5D57"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170" w:type="dxa"/>
            <w:hideMark/>
          </w:tcPr>
          <w:p w14:paraId="3AA2C22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w:t>
            </w:r>
          </w:p>
        </w:tc>
        <w:tc>
          <w:tcPr>
            <w:tcW w:w="1217" w:type="dxa"/>
            <w:hideMark/>
          </w:tcPr>
          <w:p w14:paraId="10FFFDA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1303" w:type="dxa"/>
            <w:hideMark/>
          </w:tcPr>
          <w:p w14:paraId="47B2F08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r>
      <w:tr w:rsidR="00C35B76" w:rsidRPr="008D59CB" w14:paraId="56DF4FBF" w14:textId="77777777" w:rsidTr="00D313D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50" w:type="dxa"/>
            <w:hideMark/>
          </w:tcPr>
          <w:p w14:paraId="6F453EFA"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RIID</w:t>
            </w:r>
          </w:p>
        </w:tc>
        <w:tc>
          <w:tcPr>
            <w:tcW w:w="1145" w:type="dxa"/>
            <w:hideMark/>
          </w:tcPr>
          <w:p w14:paraId="4E8DF4C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990" w:type="dxa"/>
            <w:hideMark/>
          </w:tcPr>
          <w:p w14:paraId="36F46F27"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9</w:t>
            </w:r>
          </w:p>
        </w:tc>
        <w:tc>
          <w:tcPr>
            <w:tcW w:w="1530" w:type="dxa"/>
            <w:hideMark/>
          </w:tcPr>
          <w:p w14:paraId="5A59047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170" w:type="dxa"/>
            <w:hideMark/>
          </w:tcPr>
          <w:p w14:paraId="240DD04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7</w:t>
            </w:r>
          </w:p>
        </w:tc>
        <w:tc>
          <w:tcPr>
            <w:tcW w:w="1217" w:type="dxa"/>
            <w:hideMark/>
          </w:tcPr>
          <w:p w14:paraId="40FD103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303" w:type="dxa"/>
            <w:hideMark/>
          </w:tcPr>
          <w:p w14:paraId="4763B33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3B8EFEBB" w14:textId="77777777" w:rsidTr="00D313D2">
        <w:trPr>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50033B83"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HUMAN RESOURCE</w:t>
            </w:r>
          </w:p>
        </w:tc>
        <w:tc>
          <w:tcPr>
            <w:tcW w:w="1145" w:type="dxa"/>
            <w:hideMark/>
          </w:tcPr>
          <w:p w14:paraId="270EE45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11</w:t>
            </w:r>
          </w:p>
        </w:tc>
        <w:tc>
          <w:tcPr>
            <w:tcW w:w="990" w:type="dxa"/>
            <w:hideMark/>
          </w:tcPr>
          <w:p w14:paraId="015B7A1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530" w:type="dxa"/>
            <w:hideMark/>
          </w:tcPr>
          <w:p w14:paraId="2D68521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170" w:type="dxa"/>
            <w:hideMark/>
          </w:tcPr>
          <w:p w14:paraId="16225F5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25</w:t>
            </w:r>
          </w:p>
        </w:tc>
        <w:tc>
          <w:tcPr>
            <w:tcW w:w="1217" w:type="dxa"/>
            <w:hideMark/>
          </w:tcPr>
          <w:p w14:paraId="3FAFDB1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24</w:t>
            </w:r>
          </w:p>
        </w:tc>
        <w:tc>
          <w:tcPr>
            <w:tcW w:w="1303" w:type="dxa"/>
            <w:hideMark/>
          </w:tcPr>
          <w:p w14:paraId="5875D59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0DA0F594" w14:textId="77777777" w:rsidTr="00D313D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450" w:type="dxa"/>
            <w:hideMark/>
          </w:tcPr>
          <w:p w14:paraId="77CF2AB7"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STAFF WELFARE</w:t>
            </w:r>
          </w:p>
        </w:tc>
        <w:tc>
          <w:tcPr>
            <w:tcW w:w="1145" w:type="dxa"/>
            <w:hideMark/>
          </w:tcPr>
          <w:p w14:paraId="61A6A61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990" w:type="dxa"/>
            <w:hideMark/>
          </w:tcPr>
          <w:p w14:paraId="513DB01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530" w:type="dxa"/>
            <w:hideMark/>
          </w:tcPr>
          <w:p w14:paraId="469A55DA"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29DC55B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1217" w:type="dxa"/>
            <w:hideMark/>
          </w:tcPr>
          <w:p w14:paraId="04D09523"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303" w:type="dxa"/>
            <w:hideMark/>
          </w:tcPr>
          <w:p w14:paraId="50F622C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1BBCC5DC" w14:textId="77777777" w:rsidTr="00D313D2">
        <w:trPr>
          <w:trHeight w:val="431"/>
        </w:trPr>
        <w:tc>
          <w:tcPr>
            <w:cnfStyle w:val="001000000000" w:firstRow="0" w:lastRow="0" w:firstColumn="1" w:lastColumn="0" w:oddVBand="0" w:evenVBand="0" w:oddHBand="0" w:evenHBand="0" w:firstRowFirstColumn="0" w:firstRowLastColumn="0" w:lastRowFirstColumn="0" w:lastRowLastColumn="0"/>
            <w:tcW w:w="2450" w:type="dxa"/>
            <w:hideMark/>
          </w:tcPr>
          <w:p w14:paraId="72F9D49A"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ADMIN</w:t>
            </w:r>
          </w:p>
        </w:tc>
        <w:tc>
          <w:tcPr>
            <w:tcW w:w="1145" w:type="dxa"/>
            <w:hideMark/>
          </w:tcPr>
          <w:p w14:paraId="755E0DB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150</w:t>
            </w:r>
          </w:p>
        </w:tc>
        <w:tc>
          <w:tcPr>
            <w:tcW w:w="990" w:type="dxa"/>
            <w:hideMark/>
          </w:tcPr>
          <w:p w14:paraId="3441AD7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132</w:t>
            </w:r>
          </w:p>
        </w:tc>
        <w:tc>
          <w:tcPr>
            <w:tcW w:w="1530" w:type="dxa"/>
            <w:hideMark/>
          </w:tcPr>
          <w:p w14:paraId="56A811F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18</w:t>
            </w:r>
          </w:p>
        </w:tc>
        <w:tc>
          <w:tcPr>
            <w:tcW w:w="1170" w:type="dxa"/>
            <w:hideMark/>
          </w:tcPr>
          <w:p w14:paraId="08C6B808"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217" w:type="dxa"/>
            <w:hideMark/>
          </w:tcPr>
          <w:p w14:paraId="4A8EC952"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7</w:t>
            </w:r>
          </w:p>
        </w:tc>
        <w:tc>
          <w:tcPr>
            <w:tcW w:w="1303" w:type="dxa"/>
            <w:hideMark/>
          </w:tcPr>
          <w:p w14:paraId="62CE346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635F29ED"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33FF411F"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CUSTOMS</w:t>
            </w:r>
          </w:p>
        </w:tc>
        <w:tc>
          <w:tcPr>
            <w:tcW w:w="1145" w:type="dxa"/>
            <w:hideMark/>
          </w:tcPr>
          <w:p w14:paraId="6271FE9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162</w:t>
            </w:r>
          </w:p>
        </w:tc>
        <w:tc>
          <w:tcPr>
            <w:tcW w:w="990" w:type="dxa"/>
            <w:hideMark/>
          </w:tcPr>
          <w:p w14:paraId="4A405612"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177</w:t>
            </w:r>
          </w:p>
        </w:tc>
        <w:tc>
          <w:tcPr>
            <w:tcW w:w="1530" w:type="dxa"/>
            <w:hideMark/>
          </w:tcPr>
          <w:p w14:paraId="2132D65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w:t>
            </w:r>
          </w:p>
        </w:tc>
        <w:tc>
          <w:tcPr>
            <w:tcW w:w="1170" w:type="dxa"/>
            <w:hideMark/>
          </w:tcPr>
          <w:p w14:paraId="3656A83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47</w:t>
            </w:r>
          </w:p>
        </w:tc>
        <w:tc>
          <w:tcPr>
            <w:tcW w:w="1217" w:type="dxa"/>
            <w:hideMark/>
          </w:tcPr>
          <w:p w14:paraId="35803E8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45</w:t>
            </w:r>
          </w:p>
        </w:tc>
        <w:tc>
          <w:tcPr>
            <w:tcW w:w="1303" w:type="dxa"/>
            <w:hideMark/>
          </w:tcPr>
          <w:p w14:paraId="13EC17F1"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r>
      <w:tr w:rsidR="00C35B76" w:rsidRPr="008D59CB" w14:paraId="13DE0E46" w14:textId="77777777" w:rsidTr="00D313D2">
        <w:trPr>
          <w:trHeight w:val="323"/>
        </w:trPr>
        <w:tc>
          <w:tcPr>
            <w:cnfStyle w:val="001000000000" w:firstRow="0" w:lastRow="0" w:firstColumn="1" w:lastColumn="0" w:oddVBand="0" w:evenVBand="0" w:oddHBand="0" w:evenHBand="0" w:firstRowFirstColumn="0" w:firstRowLastColumn="0" w:lastRowFirstColumn="0" w:lastRowLastColumn="0"/>
            <w:tcW w:w="2450" w:type="dxa"/>
            <w:hideMark/>
          </w:tcPr>
          <w:p w14:paraId="54D85DD6"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NTR</w:t>
            </w:r>
          </w:p>
        </w:tc>
        <w:tc>
          <w:tcPr>
            <w:tcW w:w="1145" w:type="dxa"/>
            <w:hideMark/>
          </w:tcPr>
          <w:p w14:paraId="0B94B46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35</w:t>
            </w:r>
          </w:p>
        </w:tc>
        <w:tc>
          <w:tcPr>
            <w:tcW w:w="990" w:type="dxa"/>
            <w:hideMark/>
          </w:tcPr>
          <w:p w14:paraId="62DACA0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31</w:t>
            </w:r>
          </w:p>
        </w:tc>
        <w:tc>
          <w:tcPr>
            <w:tcW w:w="1530" w:type="dxa"/>
            <w:hideMark/>
          </w:tcPr>
          <w:p w14:paraId="7E868314"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w:t>
            </w:r>
          </w:p>
        </w:tc>
        <w:tc>
          <w:tcPr>
            <w:tcW w:w="1170" w:type="dxa"/>
            <w:hideMark/>
          </w:tcPr>
          <w:p w14:paraId="095F8A1C"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22</w:t>
            </w:r>
          </w:p>
        </w:tc>
        <w:tc>
          <w:tcPr>
            <w:tcW w:w="1217" w:type="dxa"/>
            <w:hideMark/>
          </w:tcPr>
          <w:p w14:paraId="314200C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19</w:t>
            </w:r>
          </w:p>
        </w:tc>
        <w:tc>
          <w:tcPr>
            <w:tcW w:w="1303" w:type="dxa"/>
            <w:hideMark/>
          </w:tcPr>
          <w:p w14:paraId="4C23C8E0"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r>
      <w:tr w:rsidR="00C35B76" w:rsidRPr="008D59CB" w14:paraId="5C17035B"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48D63F30"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F &amp; B</w:t>
            </w:r>
          </w:p>
        </w:tc>
        <w:tc>
          <w:tcPr>
            <w:tcW w:w="1145" w:type="dxa"/>
            <w:hideMark/>
          </w:tcPr>
          <w:p w14:paraId="5E42F14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w:t>
            </w:r>
          </w:p>
        </w:tc>
        <w:tc>
          <w:tcPr>
            <w:tcW w:w="990" w:type="dxa"/>
            <w:hideMark/>
          </w:tcPr>
          <w:p w14:paraId="492EE64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13</w:t>
            </w:r>
          </w:p>
        </w:tc>
        <w:tc>
          <w:tcPr>
            <w:tcW w:w="1530" w:type="dxa"/>
            <w:hideMark/>
          </w:tcPr>
          <w:p w14:paraId="2745994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3414E319"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9</w:t>
            </w:r>
          </w:p>
        </w:tc>
        <w:tc>
          <w:tcPr>
            <w:tcW w:w="1217" w:type="dxa"/>
            <w:hideMark/>
          </w:tcPr>
          <w:p w14:paraId="20590E6D"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303" w:type="dxa"/>
            <w:hideMark/>
          </w:tcPr>
          <w:p w14:paraId="138B24FF"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r>
      <w:tr w:rsidR="00C35B76" w:rsidRPr="008D59CB" w14:paraId="126BFCCA" w14:textId="77777777" w:rsidTr="00D313D2">
        <w:trPr>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79E8A727"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MRP</w:t>
            </w:r>
          </w:p>
        </w:tc>
        <w:tc>
          <w:tcPr>
            <w:tcW w:w="1145" w:type="dxa"/>
            <w:hideMark/>
          </w:tcPr>
          <w:p w14:paraId="6D616EF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12</w:t>
            </w:r>
          </w:p>
        </w:tc>
        <w:tc>
          <w:tcPr>
            <w:tcW w:w="990" w:type="dxa"/>
            <w:hideMark/>
          </w:tcPr>
          <w:p w14:paraId="4DEBC86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12</w:t>
            </w:r>
          </w:p>
        </w:tc>
        <w:tc>
          <w:tcPr>
            <w:tcW w:w="1530" w:type="dxa"/>
            <w:hideMark/>
          </w:tcPr>
          <w:p w14:paraId="69753326"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50381710"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217" w:type="dxa"/>
            <w:hideMark/>
          </w:tcPr>
          <w:p w14:paraId="12D9ADFC"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303" w:type="dxa"/>
            <w:hideMark/>
          </w:tcPr>
          <w:p w14:paraId="43F468F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5B97F1EA"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53CD8D2D"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ICT</w:t>
            </w:r>
          </w:p>
        </w:tc>
        <w:tc>
          <w:tcPr>
            <w:tcW w:w="1145" w:type="dxa"/>
            <w:hideMark/>
          </w:tcPr>
          <w:p w14:paraId="0FADCF3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26</w:t>
            </w:r>
          </w:p>
        </w:tc>
        <w:tc>
          <w:tcPr>
            <w:tcW w:w="990" w:type="dxa"/>
            <w:hideMark/>
          </w:tcPr>
          <w:p w14:paraId="19F43379"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30</w:t>
            </w:r>
          </w:p>
        </w:tc>
        <w:tc>
          <w:tcPr>
            <w:tcW w:w="1530" w:type="dxa"/>
            <w:hideMark/>
          </w:tcPr>
          <w:p w14:paraId="48677A67"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w:t>
            </w:r>
          </w:p>
        </w:tc>
        <w:tc>
          <w:tcPr>
            <w:tcW w:w="1170" w:type="dxa"/>
            <w:hideMark/>
          </w:tcPr>
          <w:p w14:paraId="44CFAC4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217" w:type="dxa"/>
            <w:hideMark/>
          </w:tcPr>
          <w:p w14:paraId="6E10874A"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303" w:type="dxa"/>
            <w:hideMark/>
          </w:tcPr>
          <w:p w14:paraId="0B2312E1"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38E0A645" w14:textId="77777777" w:rsidTr="00D313D2">
        <w:trPr>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6F289657"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ICA</w:t>
            </w:r>
          </w:p>
        </w:tc>
        <w:tc>
          <w:tcPr>
            <w:tcW w:w="1145" w:type="dxa"/>
            <w:hideMark/>
          </w:tcPr>
          <w:p w14:paraId="031C7CD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9</w:t>
            </w:r>
          </w:p>
        </w:tc>
        <w:tc>
          <w:tcPr>
            <w:tcW w:w="990" w:type="dxa"/>
            <w:hideMark/>
          </w:tcPr>
          <w:p w14:paraId="76EF34D3"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1530" w:type="dxa"/>
            <w:hideMark/>
          </w:tcPr>
          <w:p w14:paraId="51CA7D3D"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c>
          <w:tcPr>
            <w:tcW w:w="1170" w:type="dxa"/>
            <w:hideMark/>
          </w:tcPr>
          <w:p w14:paraId="60335E02"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217" w:type="dxa"/>
            <w:hideMark/>
          </w:tcPr>
          <w:p w14:paraId="2DAA4C3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4</w:t>
            </w:r>
          </w:p>
        </w:tc>
        <w:tc>
          <w:tcPr>
            <w:tcW w:w="1303" w:type="dxa"/>
            <w:hideMark/>
          </w:tcPr>
          <w:p w14:paraId="7939C8F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w:t>
            </w:r>
          </w:p>
        </w:tc>
      </w:tr>
      <w:tr w:rsidR="00C35B76" w:rsidRPr="008D59CB" w14:paraId="0588022C"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1D57716C"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L&amp;CA</w:t>
            </w:r>
          </w:p>
        </w:tc>
        <w:tc>
          <w:tcPr>
            <w:tcW w:w="1145" w:type="dxa"/>
            <w:hideMark/>
          </w:tcPr>
          <w:p w14:paraId="3EA6F33B"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990" w:type="dxa"/>
            <w:hideMark/>
          </w:tcPr>
          <w:p w14:paraId="25CE04B6"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530" w:type="dxa"/>
            <w:hideMark/>
          </w:tcPr>
          <w:p w14:paraId="6B9791A2"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1170" w:type="dxa"/>
            <w:hideMark/>
          </w:tcPr>
          <w:p w14:paraId="30BAD3B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217" w:type="dxa"/>
            <w:hideMark/>
          </w:tcPr>
          <w:p w14:paraId="0A57C6B5"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w:t>
            </w:r>
          </w:p>
        </w:tc>
        <w:tc>
          <w:tcPr>
            <w:tcW w:w="1303" w:type="dxa"/>
            <w:hideMark/>
          </w:tcPr>
          <w:p w14:paraId="646EB0F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72666351" w14:textId="77777777" w:rsidTr="00D313D2">
        <w:trPr>
          <w:trHeight w:val="629"/>
        </w:trPr>
        <w:tc>
          <w:tcPr>
            <w:cnfStyle w:val="001000000000" w:firstRow="0" w:lastRow="0" w:firstColumn="1" w:lastColumn="0" w:oddVBand="0" w:evenVBand="0" w:oddHBand="0" w:evenHBand="0" w:firstRowFirstColumn="0" w:firstRowLastColumn="0" w:lastRowFirstColumn="0" w:lastRowLastColumn="0"/>
            <w:tcW w:w="2450" w:type="dxa"/>
            <w:hideMark/>
          </w:tcPr>
          <w:p w14:paraId="4DC810EC"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BOARD SECRETARIAT</w:t>
            </w:r>
          </w:p>
        </w:tc>
        <w:tc>
          <w:tcPr>
            <w:tcW w:w="1145" w:type="dxa"/>
            <w:hideMark/>
          </w:tcPr>
          <w:p w14:paraId="0F3E1DC1"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990" w:type="dxa"/>
            <w:hideMark/>
          </w:tcPr>
          <w:p w14:paraId="5D083DCB"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c>
          <w:tcPr>
            <w:tcW w:w="1530" w:type="dxa"/>
            <w:hideMark/>
          </w:tcPr>
          <w:p w14:paraId="203775E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170" w:type="dxa"/>
            <w:hideMark/>
          </w:tcPr>
          <w:p w14:paraId="0AB3F57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217" w:type="dxa"/>
            <w:hideMark/>
          </w:tcPr>
          <w:p w14:paraId="34DDA7EF"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c>
          <w:tcPr>
            <w:tcW w:w="1303" w:type="dxa"/>
            <w:hideMark/>
          </w:tcPr>
          <w:p w14:paraId="36804867"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07BC6747" w14:textId="77777777" w:rsidTr="00D313D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50" w:type="dxa"/>
            <w:hideMark/>
          </w:tcPr>
          <w:p w14:paraId="5CFD1AB4"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MODERNIZATION</w:t>
            </w:r>
          </w:p>
        </w:tc>
        <w:tc>
          <w:tcPr>
            <w:tcW w:w="1145" w:type="dxa"/>
            <w:hideMark/>
          </w:tcPr>
          <w:p w14:paraId="74F64407"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w:t>
            </w:r>
          </w:p>
        </w:tc>
        <w:tc>
          <w:tcPr>
            <w:tcW w:w="990" w:type="dxa"/>
            <w:hideMark/>
          </w:tcPr>
          <w:p w14:paraId="269CBC2D"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10</w:t>
            </w:r>
          </w:p>
        </w:tc>
        <w:tc>
          <w:tcPr>
            <w:tcW w:w="1530" w:type="dxa"/>
            <w:hideMark/>
          </w:tcPr>
          <w:p w14:paraId="65EBD91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5</w:t>
            </w:r>
          </w:p>
        </w:tc>
        <w:tc>
          <w:tcPr>
            <w:tcW w:w="1170" w:type="dxa"/>
            <w:hideMark/>
          </w:tcPr>
          <w:p w14:paraId="23F46A4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217" w:type="dxa"/>
            <w:hideMark/>
          </w:tcPr>
          <w:p w14:paraId="729CEEBE"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3</w:t>
            </w:r>
          </w:p>
        </w:tc>
        <w:tc>
          <w:tcPr>
            <w:tcW w:w="1303" w:type="dxa"/>
            <w:hideMark/>
          </w:tcPr>
          <w:p w14:paraId="097FD288"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0</w:t>
            </w:r>
          </w:p>
        </w:tc>
      </w:tr>
      <w:tr w:rsidR="00C35B76" w:rsidRPr="008D59CB" w14:paraId="3EC7A9EA" w14:textId="77777777" w:rsidTr="00D313D2">
        <w:trPr>
          <w:trHeight w:val="431"/>
        </w:trPr>
        <w:tc>
          <w:tcPr>
            <w:cnfStyle w:val="001000000000" w:firstRow="0" w:lastRow="0" w:firstColumn="1" w:lastColumn="0" w:oddVBand="0" w:evenVBand="0" w:oddHBand="0" w:evenHBand="0" w:firstRowFirstColumn="0" w:firstRowLastColumn="0" w:lastRowFirstColumn="0" w:lastRowLastColumn="0"/>
            <w:tcW w:w="2450" w:type="dxa"/>
            <w:hideMark/>
          </w:tcPr>
          <w:p w14:paraId="61D2C74A" w14:textId="77777777" w:rsidR="00433A4F" w:rsidRPr="008D59CB" w:rsidRDefault="00433A4F" w:rsidP="00433A4F">
            <w:pPr>
              <w:spacing w:line="360" w:lineRule="auto"/>
              <w:jc w:val="both"/>
              <w:rPr>
                <w:rFonts w:ascii="Baskerville Old Face" w:hAnsi="Baskerville Old Face" w:cs="Times New Roman"/>
                <w:b w:val="0"/>
                <w:bCs w:val="0"/>
                <w:sz w:val="20"/>
                <w:szCs w:val="20"/>
              </w:rPr>
            </w:pPr>
            <w:r w:rsidRPr="008D59CB">
              <w:rPr>
                <w:rFonts w:ascii="Baskerville Old Face" w:hAnsi="Baskerville Old Face" w:cs="Times New Roman"/>
                <w:b w:val="0"/>
                <w:bCs w:val="0"/>
                <w:sz w:val="20"/>
                <w:szCs w:val="20"/>
                <w:lang w:val="en-GB"/>
              </w:rPr>
              <w:t>DTD</w:t>
            </w:r>
          </w:p>
        </w:tc>
        <w:tc>
          <w:tcPr>
            <w:tcW w:w="1145" w:type="dxa"/>
            <w:hideMark/>
          </w:tcPr>
          <w:p w14:paraId="6E343A12"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160</w:t>
            </w:r>
          </w:p>
        </w:tc>
        <w:tc>
          <w:tcPr>
            <w:tcW w:w="990" w:type="dxa"/>
            <w:hideMark/>
          </w:tcPr>
          <w:p w14:paraId="64A4BCB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152</w:t>
            </w:r>
          </w:p>
        </w:tc>
        <w:tc>
          <w:tcPr>
            <w:tcW w:w="1530" w:type="dxa"/>
            <w:hideMark/>
          </w:tcPr>
          <w:p w14:paraId="1EE8EC89"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c>
          <w:tcPr>
            <w:tcW w:w="1170" w:type="dxa"/>
            <w:hideMark/>
          </w:tcPr>
          <w:p w14:paraId="68C709C0"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64</w:t>
            </w:r>
          </w:p>
        </w:tc>
        <w:tc>
          <w:tcPr>
            <w:tcW w:w="1217" w:type="dxa"/>
            <w:hideMark/>
          </w:tcPr>
          <w:p w14:paraId="36CDFD9E"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66</w:t>
            </w:r>
          </w:p>
        </w:tc>
        <w:tc>
          <w:tcPr>
            <w:tcW w:w="1303" w:type="dxa"/>
            <w:hideMark/>
          </w:tcPr>
          <w:p w14:paraId="17875B56" w14:textId="77777777" w:rsidR="00433A4F" w:rsidRPr="008D59CB" w:rsidRDefault="00433A4F" w:rsidP="00433A4F">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w:t>
            </w:r>
          </w:p>
        </w:tc>
      </w:tr>
      <w:tr w:rsidR="00C35B76" w:rsidRPr="008D59CB" w14:paraId="084A3BEB" w14:textId="77777777" w:rsidTr="00D31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50" w:type="dxa"/>
            <w:hideMark/>
          </w:tcPr>
          <w:p w14:paraId="0CCE4E47" w14:textId="77777777" w:rsidR="00433A4F" w:rsidRPr="008D59CB" w:rsidRDefault="00433A4F" w:rsidP="00433A4F">
            <w:pPr>
              <w:spacing w:line="360" w:lineRule="auto"/>
              <w:jc w:val="both"/>
              <w:rPr>
                <w:rFonts w:ascii="Baskerville Old Face" w:hAnsi="Baskerville Old Face" w:cs="Times New Roman"/>
                <w:sz w:val="20"/>
                <w:szCs w:val="20"/>
              </w:rPr>
            </w:pPr>
            <w:r w:rsidRPr="008D59CB">
              <w:rPr>
                <w:rFonts w:ascii="Baskerville Old Face" w:hAnsi="Baskerville Old Face" w:cs="Times New Roman"/>
                <w:sz w:val="20"/>
                <w:szCs w:val="20"/>
                <w:lang w:val="en-GB"/>
              </w:rPr>
              <w:t>TOTAL</w:t>
            </w:r>
          </w:p>
        </w:tc>
        <w:tc>
          <w:tcPr>
            <w:tcW w:w="1145" w:type="dxa"/>
            <w:hideMark/>
          </w:tcPr>
          <w:p w14:paraId="619DAC38" w14:textId="0C1DB841"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62</w:t>
            </w:r>
            <w:r w:rsidR="00276211" w:rsidRPr="008D59CB">
              <w:rPr>
                <w:rFonts w:ascii="Baskerville Old Face" w:hAnsi="Baskerville Old Face" w:cs="Times New Roman"/>
                <w:sz w:val="20"/>
                <w:szCs w:val="20"/>
                <w:lang w:val="en-GB"/>
              </w:rPr>
              <w:t>6</w:t>
            </w:r>
          </w:p>
        </w:tc>
        <w:tc>
          <w:tcPr>
            <w:tcW w:w="990" w:type="dxa"/>
            <w:hideMark/>
          </w:tcPr>
          <w:p w14:paraId="78E4C38C"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608</w:t>
            </w:r>
          </w:p>
        </w:tc>
        <w:tc>
          <w:tcPr>
            <w:tcW w:w="1530" w:type="dxa"/>
            <w:hideMark/>
          </w:tcPr>
          <w:p w14:paraId="7B2EBE94" w14:textId="42EE19A5" w:rsidR="00433A4F" w:rsidRPr="008D59CB" w:rsidRDefault="00276211"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18</w:t>
            </w:r>
          </w:p>
        </w:tc>
        <w:tc>
          <w:tcPr>
            <w:tcW w:w="1170" w:type="dxa"/>
            <w:hideMark/>
          </w:tcPr>
          <w:p w14:paraId="4B52232F"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210</w:t>
            </w:r>
          </w:p>
        </w:tc>
        <w:tc>
          <w:tcPr>
            <w:tcW w:w="1217" w:type="dxa"/>
            <w:hideMark/>
          </w:tcPr>
          <w:p w14:paraId="291C9FD0"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202</w:t>
            </w:r>
          </w:p>
        </w:tc>
        <w:tc>
          <w:tcPr>
            <w:tcW w:w="1303" w:type="dxa"/>
            <w:hideMark/>
          </w:tcPr>
          <w:p w14:paraId="4A2BAAF4" w14:textId="77777777" w:rsidR="00433A4F" w:rsidRPr="008D59CB" w:rsidRDefault="00433A4F" w:rsidP="00433A4F">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0"/>
                <w:szCs w:val="20"/>
              </w:rPr>
            </w:pPr>
            <w:r w:rsidRPr="008D59CB">
              <w:rPr>
                <w:rFonts w:ascii="Baskerville Old Face" w:hAnsi="Baskerville Old Face" w:cs="Times New Roman"/>
                <w:sz w:val="20"/>
                <w:szCs w:val="20"/>
                <w:lang w:val="en-GB"/>
              </w:rPr>
              <w:t>8</w:t>
            </w:r>
          </w:p>
        </w:tc>
      </w:tr>
    </w:tbl>
    <w:p w14:paraId="474442B0" w14:textId="65EC37BF" w:rsidR="00433A4F" w:rsidRPr="00BC7192" w:rsidRDefault="00BC7192" w:rsidP="00C77C72">
      <w:pPr>
        <w:spacing w:line="360" w:lineRule="auto"/>
        <w:jc w:val="both"/>
        <w:rPr>
          <w:rFonts w:ascii="Baskerville Old Face" w:hAnsi="Baskerville Old Face" w:cs="Times New Roman"/>
          <w:i/>
          <w:iCs/>
          <w:sz w:val="18"/>
          <w:szCs w:val="18"/>
        </w:rPr>
      </w:pPr>
      <w:r w:rsidRPr="00BC7192">
        <w:rPr>
          <w:rFonts w:ascii="Baskerville Old Face" w:hAnsi="Baskerville Old Face" w:cs="Times New Roman"/>
          <w:i/>
          <w:iCs/>
          <w:sz w:val="18"/>
          <w:szCs w:val="18"/>
        </w:rPr>
        <w:t>Source: HRD</w:t>
      </w:r>
    </w:p>
    <w:p w14:paraId="23346E39" w14:textId="77777777" w:rsidR="009674D6" w:rsidRDefault="009674D6" w:rsidP="00C77C72">
      <w:pPr>
        <w:spacing w:line="360" w:lineRule="auto"/>
        <w:jc w:val="both"/>
        <w:rPr>
          <w:rFonts w:ascii="Baskerville Old Face" w:hAnsi="Baskerville Old Face" w:cs="Times New Roman"/>
          <w:b/>
          <w:bCs/>
          <w:sz w:val="24"/>
          <w:szCs w:val="24"/>
        </w:rPr>
      </w:pPr>
    </w:p>
    <w:p w14:paraId="0B30CA30" w14:textId="0FB4B946" w:rsidR="00C12D44" w:rsidRPr="0029669A" w:rsidRDefault="00C12D44" w:rsidP="00C77C72">
      <w:pPr>
        <w:spacing w:line="360" w:lineRule="auto"/>
        <w:jc w:val="both"/>
        <w:rPr>
          <w:rFonts w:ascii="Baskerville Old Face" w:hAnsi="Baskerville Old Face" w:cs="Times New Roman"/>
          <w:b/>
          <w:bCs/>
          <w:sz w:val="24"/>
          <w:szCs w:val="24"/>
        </w:rPr>
      </w:pPr>
      <w:r w:rsidRPr="0029669A">
        <w:rPr>
          <w:rFonts w:ascii="Baskerville Old Face" w:hAnsi="Baskerville Old Face" w:cs="Times New Roman"/>
          <w:b/>
          <w:bCs/>
          <w:sz w:val="24"/>
          <w:szCs w:val="24"/>
        </w:rPr>
        <w:lastRenderedPageBreak/>
        <w:t>Staff Separation</w:t>
      </w:r>
      <w:r w:rsidR="00002021">
        <w:rPr>
          <w:rFonts w:ascii="Baskerville Old Face" w:hAnsi="Baskerville Old Face" w:cs="Times New Roman"/>
          <w:b/>
          <w:bCs/>
          <w:sz w:val="24"/>
          <w:szCs w:val="24"/>
        </w:rPr>
        <w:t xml:space="preserve"> </w:t>
      </w:r>
    </w:p>
    <w:p w14:paraId="0FAD2C45" w14:textId="57282266" w:rsidR="00002021" w:rsidRDefault="00002021" w:rsidP="007E0C9B">
      <w:pPr>
        <w:spacing w:line="360" w:lineRule="auto"/>
        <w:jc w:val="both"/>
        <w:rPr>
          <w:rFonts w:ascii="Baskerville Old Face" w:hAnsi="Baskerville Old Face" w:cs="Times New Roman"/>
          <w:sz w:val="24"/>
          <w:szCs w:val="24"/>
        </w:rPr>
      </w:pPr>
      <w:r w:rsidRPr="00EB7319">
        <w:rPr>
          <w:rFonts w:ascii="Baskerville Old Face" w:hAnsi="Baskerville Old Face" w:cs="Times New Roman"/>
          <w:sz w:val="24"/>
          <w:szCs w:val="24"/>
        </w:rPr>
        <w:t xml:space="preserve">Table </w:t>
      </w:r>
      <w:r w:rsidR="005C69D1">
        <w:rPr>
          <w:rFonts w:ascii="Baskerville Old Face" w:hAnsi="Baskerville Old Face" w:cs="Times New Roman"/>
          <w:sz w:val="24"/>
          <w:szCs w:val="24"/>
        </w:rPr>
        <w:t>9</w:t>
      </w:r>
      <w:r w:rsidRPr="00002021">
        <w:rPr>
          <w:rFonts w:ascii="Baskerville Old Face" w:hAnsi="Baskerville Old Face" w:cs="Times New Roman"/>
          <w:sz w:val="24"/>
          <w:szCs w:val="24"/>
        </w:rPr>
        <w:t xml:space="preserve"> presents a comparative overview of staff separations by department between the years 2022 and 2023, while </w:t>
      </w:r>
      <w:r w:rsidRPr="00EB7319">
        <w:rPr>
          <w:rFonts w:ascii="Baskerville Old Face" w:hAnsi="Baskerville Old Face" w:cs="Times New Roman"/>
          <w:sz w:val="24"/>
          <w:szCs w:val="24"/>
        </w:rPr>
        <w:t xml:space="preserve">Figure </w:t>
      </w:r>
      <w:r w:rsidR="008D42A7">
        <w:rPr>
          <w:rFonts w:ascii="Baskerville Old Face" w:hAnsi="Baskerville Old Face" w:cs="Times New Roman"/>
          <w:sz w:val="24"/>
          <w:szCs w:val="24"/>
        </w:rPr>
        <w:t>6</w:t>
      </w:r>
      <w:r w:rsidR="00EB7319">
        <w:rPr>
          <w:rFonts w:ascii="Baskerville Old Face" w:hAnsi="Baskerville Old Face" w:cs="Times New Roman"/>
          <w:sz w:val="24"/>
          <w:szCs w:val="24"/>
        </w:rPr>
        <w:t xml:space="preserve"> </w:t>
      </w:r>
      <w:r w:rsidR="00EB7319" w:rsidRPr="00002021">
        <w:rPr>
          <w:rFonts w:ascii="Baskerville Old Face" w:hAnsi="Baskerville Old Face" w:cs="Times New Roman"/>
          <w:sz w:val="24"/>
          <w:szCs w:val="24"/>
        </w:rPr>
        <w:t>outlines</w:t>
      </w:r>
      <w:r w:rsidRPr="00002021">
        <w:rPr>
          <w:rFonts w:ascii="Baskerville Old Face" w:hAnsi="Baskerville Old Face" w:cs="Times New Roman"/>
          <w:sz w:val="24"/>
          <w:szCs w:val="24"/>
        </w:rPr>
        <w:t xml:space="preserve"> separations by category. Throughout 2023, a total of 32 staff members concluded their tenure with the Authority, a </w:t>
      </w:r>
      <w:r w:rsidR="00B8760D" w:rsidRPr="00002021">
        <w:rPr>
          <w:rFonts w:ascii="Baskerville Old Face" w:hAnsi="Baskerville Old Face" w:cs="Times New Roman"/>
          <w:sz w:val="24"/>
          <w:szCs w:val="24"/>
        </w:rPr>
        <w:t>total</w:t>
      </w:r>
      <w:r w:rsidRPr="00002021">
        <w:rPr>
          <w:rFonts w:ascii="Baskerville Old Face" w:hAnsi="Baskerville Old Face" w:cs="Times New Roman"/>
          <w:sz w:val="24"/>
          <w:szCs w:val="24"/>
        </w:rPr>
        <w:t xml:space="preserve"> consistent with the preceding year. Notably, the Administrative Department experienced the </w:t>
      </w:r>
      <w:r w:rsidR="00785FEE">
        <w:rPr>
          <w:rFonts w:ascii="Baskerville Old Face" w:hAnsi="Baskerville Old Face" w:cs="Times New Roman"/>
          <w:sz w:val="24"/>
          <w:szCs w:val="24"/>
        </w:rPr>
        <w:t>highest</w:t>
      </w:r>
      <w:r w:rsidRPr="00002021">
        <w:rPr>
          <w:rFonts w:ascii="Baskerville Old Face" w:hAnsi="Baskerville Old Face" w:cs="Times New Roman"/>
          <w:sz w:val="24"/>
          <w:szCs w:val="24"/>
        </w:rPr>
        <w:t xml:space="preserve"> number of separations, with 8 staff members departing, followed by the DTD and CSD, each with 7 staff members leaving their positions. In contrast, CSD accounted for the highest number of separations in 2022, with 9 staff members, followed by the Administrative Department</w:t>
      </w:r>
      <w:r w:rsidR="00785FEE">
        <w:rPr>
          <w:rFonts w:ascii="Baskerville Old Face" w:hAnsi="Baskerville Old Face" w:cs="Times New Roman"/>
          <w:sz w:val="24"/>
          <w:szCs w:val="24"/>
        </w:rPr>
        <w:t xml:space="preserve">, with 7 staff, </w:t>
      </w:r>
      <w:r w:rsidRPr="00002021">
        <w:rPr>
          <w:rFonts w:ascii="Baskerville Old Face" w:hAnsi="Baskerville Old Face" w:cs="Times New Roman"/>
          <w:sz w:val="24"/>
          <w:szCs w:val="24"/>
        </w:rPr>
        <w:t xml:space="preserve">and NTR and DTD, each with </w:t>
      </w:r>
      <w:r w:rsidR="00785FEE">
        <w:rPr>
          <w:rFonts w:ascii="Baskerville Old Face" w:hAnsi="Baskerville Old Face" w:cs="Times New Roman"/>
          <w:sz w:val="24"/>
          <w:szCs w:val="24"/>
        </w:rPr>
        <w:t>4</w:t>
      </w:r>
      <w:r w:rsidRPr="00002021">
        <w:rPr>
          <w:rFonts w:ascii="Baskerville Old Face" w:hAnsi="Baskerville Old Face" w:cs="Times New Roman"/>
          <w:sz w:val="24"/>
          <w:szCs w:val="24"/>
        </w:rPr>
        <w:t xml:space="preserve"> staff members departing.</w:t>
      </w:r>
    </w:p>
    <w:p w14:paraId="0786EB08" w14:textId="53781CC1" w:rsidR="007E0C9B" w:rsidRPr="002232C5" w:rsidRDefault="007E0C9B" w:rsidP="007E0C9B">
      <w:pPr>
        <w:spacing w:line="360" w:lineRule="auto"/>
        <w:jc w:val="both"/>
        <w:rPr>
          <w:rFonts w:ascii="Baskerville Old Face" w:hAnsi="Baskerville Old Face" w:cs="Times New Roman"/>
          <w:b/>
          <w:bCs/>
          <w:i/>
          <w:iCs/>
          <w:sz w:val="24"/>
          <w:szCs w:val="24"/>
        </w:rPr>
      </w:pPr>
      <w:bookmarkStart w:id="35" w:name="Table9"/>
      <w:r w:rsidRPr="00EB7319">
        <w:rPr>
          <w:rFonts w:ascii="Baskerville Old Face" w:hAnsi="Baskerville Old Face" w:cs="Times New Roman"/>
          <w:b/>
          <w:bCs/>
          <w:i/>
          <w:iCs/>
          <w:sz w:val="24"/>
          <w:szCs w:val="24"/>
        </w:rPr>
        <w:t xml:space="preserve">Table </w:t>
      </w:r>
      <w:r w:rsidR="005C69D1">
        <w:rPr>
          <w:rFonts w:ascii="Baskerville Old Face" w:hAnsi="Baskerville Old Face" w:cs="Times New Roman"/>
          <w:b/>
          <w:bCs/>
          <w:i/>
          <w:iCs/>
          <w:sz w:val="24"/>
          <w:szCs w:val="24"/>
        </w:rPr>
        <w:t>9</w:t>
      </w:r>
      <w:r w:rsidR="00EB7319">
        <w:rPr>
          <w:rFonts w:ascii="Baskerville Old Face" w:hAnsi="Baskerville Old Face" w:cs="Times New Roman"/>
          <w:b/>
          <w:bCs/>
          <w:i/>
          <w:iCs/>
          <w:sz w:val="24"/>
          <w:szCs w:val="24"/>
        </w:rPr>
        <w:t xml:space="preserve">: </w:t>
      </w:r>
      <w:r w:rsidRPr="002232C5">
        <w:rPr>
          <w:rFonts w:ascii="Baskerville Old Face" w:hAnsi="Baskerville Old Face" w:cs="Times New Roman"/>
          <w:b/>
          <w:bCs/>
          <w:i/>
          <w:iCs/>
          <w:sz w:val="24"/>
          <w:szCs w:val="24"/>
        </w:rPr>
        <w:t xml:space="preserve">Staff Separation by </w:t>
      </w:r>
      <w:r w:rsidR="00D62D79">
        <w:rPr>
          <w:rFonts w:ascii="Baskerville Old Face" w:hAnsi="Baskerville Old Face" w:cs="Times New Roman"/>
          <w:b/>
          <w:bCs/>
          <w:i/>
          <w:iCs/>
          <w:sz w:val="24"/>
          <w:szCs w:val="24"/>
        </w:rPr>
        <w:t>Department</w:t>
      </w:r>
      <w:r w:rsidRPr="002232C5">
        <w:rPr>
          <w:rFonts w:ascii="Baskerville Old Face" w:hAnsi="Baskerville Old Face" w:cs="Times New Roman"/>
          <w:b/>
          <w:bCs/>
          <w:i/>
          <w:iCs/>
          <w:sz w:val="24"/>
          <w:szCs w:val="24"/>
        </w:rPr>
        <w:t>, 2023 and 202</w:t>
      </w:r>
      <w:r w:rsidR="00D62D79">
        <w:rPr>
          <w:rFonts w:ascii="Baskerville Old Face" w:hAnsi="Baskerville Old Face" w:cs="Times New Roman"/>
          <w:b/>
          <w:bCs/>
          <w:i/>
          <w:iCs/>
          <w:sz w:val="24"/>
          <w:szCs w:val="24"/>
        </w:rPr>
        <w:t>2</w:t>
      </w:r>
    </w:p>
    <w:tbl>
      <w:tblPr>
        <w:tblStyle w:val="GridTable4-Accent4"/>
        <w:tblW w:w="5600" w:type="dxa"/>
        <w:tblLook w:val="04A0" w:firstRow="1" w:lastRow="0" w:firstColumn="1" w:lastColumn="0" w:noHBand="0" w:noVBand="1"/>
      </w:tblPr>
      <w:tblGrid>
        <w:gridCol w:w="2240"/>
        <w:gridCol w:w="1940"/>
        <w:gridCol w:w="1420"/>
      </w:tblGrid>
      <w:tr w:rsidR="005B2C4E" w:rsidRPr="005B2C4E" w14:paraId="20B32D8C" w14:textId="77777777" w:rsidTr="005B2C4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bookmarkEnd w:id="35"/>
          <w:p w14:paraId="6EA8C9BD" w14:textId="77777777" w:rsidR="005B2C4E" w:rsidRPr="005B2C4E" w:rsidRDefault="005B2C4E" w:rsidP="005B2C4E">
            <w:pPr>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DEPARTMENT</w:t>
            </w:r>
          </w:p>
        </w:tc>
        <w:tc>
          <w:tcPr>
            <w:tcW w:w="1940" w:type="dxa"/>
            <w:noWrap/>
            <w:hideMark/>
          </w:tcPr>
          <w:p w14:paraId="5C5043B5" w14:textId="77777777" w:rsidR="005B2C4E" w:rsidRPr="005B2C4E" w:rsidRDefault="005B2C4E" w:rsidP="005B2C4E">
            <w:pPr>
              <w:jc w:val="right"/>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2023</w:t>
            </w:r>
          </w:p>
        </w:tc>
        <w:tc>
          <w:tcPr>
            <w:tcW w:w="1420" w:type="dxa"/>
            <w:noWrap/>
            <w:hideMark/>
          </w:tcPr>
          <w:p w14:paraId="0E424DE6" w14:textId="77777777" w:rsidR="005B2C4E" w:rsidRPr="005B2C4E" w:rsidRDefault="005B2C4E" w:rsidP="005B2C4E">
            <w:pPr>
              <w:jc w:val="right"/>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2022</w:t>
            </w:r>
          </w:p>
        </w:tc>
      </w:tr>
      <w:tr w:rsidR="005B2C4E" w:rsidRPr="005B2C4E" w14:paraId="74DEC917"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14E72828" w14:textId="77777777" w:rsidR="005B2C4E" w:rsidRPr="005B2C4E" w:rsidRDefault="005B2C4E" w:rsidP="005B2C4E">
            <w:pPr>
              <w:rPr>
                <w:rFonts w:ascii="Baskerville Old Face" w:eastAsia="Times New Roman" w:hAnsi="Baskerville Old Face" w:cs="Calibri"/>
                <w:b w:val="0"/>
                <w:bCs w:val="0"/>
                <w:color w:val="000000"/>
                <w:kern w:val="0"/>
                <w14:ligatures w14:val="none"/>
              </w:rPr>
            </w:pPr>
            <w:r w:rsidRPr="005B2C4E">
              <w:rPr>
                <w:rFonts w:ascii="Baskerville Old Face" w:eastAsia="Times New Roman" w:hAnsi="Baskerville Old Face" w:cs="Calibri"/>
                <w:b w:val="0"/>
                <w:bCs w:val="0"/>
                <w:color w:val="000000"/>
                <w:kern w:val="0"/>
                <w:lang w:val="en-GB"/>
                <w14:ligatures w14:val="none"/>
              </w:rPr>
              <w:t>CGO</w:t>
            </w:r>
          </w:p>
        </w:tc>
        <w:tc>
          <w:tcPr>
            <w:tcW w:w="1940" w:type="dxa"/>
            <w:noWrap/>
            <w:hideMark/>
          </w:tcPr>
          <w:p w14:paraId="02FC4746"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c>
          <w:tcPr>
            <w:tcW w:w="1420" w:type="dxa"/>
            <w:noWrap/>
            <w:hideMark/>
          </w:tcPr>
          <w:p w14:paraId="2346F983"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2E7D5C08"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21D57889"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ADMIN</w:t>
            </w:r>
          </w:p>
        </w:tc>
        <w:tc>
          <w:tcPr>
            <w:tcW w:w="1940" w:type="dxa"/>
            <w:noWrap/>
            <w:hideMark/>
          </w:tcPr>
          <w:p w14:paraId="157DD8F1"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8</w:t>
            </w:r>
          </w:p>
        </w:tc>
        <w:tc>
          <w:tcPr>
            <w:tcW w:w="1420" w:type="dxa"/>
            <w:noWrap/>
            <w:hideMark/>
          </w:tcPr>
          <w:p w14:paraId="17F85FBC"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7</w:t>
            </w:r>
          </w:p>
        </w:tc>
      </w:tr>
      <w:tr w:rsidR="005B2C4E" w:rsidRPr="005B2C4E" w14:paraId="7EA3E522"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1A40633E" w14:textId="3A98181B"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C</w:t>
            </w:r>
            <w:r w:rsidR="00176BE1" w:rsidRPr="003F51F1">
              <w:rPr>
                <w:rFonts w:ascii="Baskerville Old Face" w:eastAsia="Times New Roman" w:hAnsi="Baskerville Old Face" w:cs="Calibri"/>
                <w:b w:val="0"/>
                <w:bCs w:val="0"/>
                <w:color w:val="000000"/>
                <w:kern w:val="0"/>
                <w:lang w:val="en-GB"/>
                <w14:ligatures w14:val="none"/>
              </w:rPr>
              <w:t>SD</w:t>
            </w:r>
          </w:p>
        </w:tc>
        <w:tc>
          <w:tcPr>
            <w:tcW w:w="1940" w:type="dxa"/>
            <w:noWrap/>
            <w:hideMark/>
          </w:tcPr>
          <w:p w14:paraId="332C0E2D"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7</w:t>
            </w:r>
          </w:p>
        </w:tc>
        <w:tc>
          <w:tcPr>
            <w:tcW w:w="1420" w:type="dxa"/>
            <w:noWrap/>
            <w:hideMark/>
          </w:tcPr>
          <w:p w14:paraId="3C28A738"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9</w:t>
            </w:r>
          </w:p>
        </w:tc>
      </w:tr>
      <w:tr w:rsidR="005B2C4E" w:rsidRPr="005B2C4E" w14:paraId="366D0904"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709A48BA"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NTR</w:t>
            </w:r>
          </w:p>
        </w:tc>
        <w:tc>
          <w:tcPr>
            <w:tcW w:w="1940" w:type="dxa"/>
            <w:noWrap/>
            <w:hideMark/>
          </w:tcPr>
          <w:p w14:paraId="69E4FFAE"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c>
          <w:tcPr>
            <w:tcW w:w="1420" w:type="dxa"/>
            <w:noWrap/>
            <w:hideMark/>
          </w:tcPr>
          <w:p w14:paraId="113196A6"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4</w:t>
            </w:r>
          </w:p>
        </w:tc>
      </w:tr>
      <w:tr w:rsidR="005B2C4E" w:rsidRPr="005B2C4E" w14:paraId="4704DCCE"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0FFFA676"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F &amp; B</w:t>
            </w:r>
          </w:p>
        </w:tc>
        <w:tc>
          <w:tcPr>
            <w:tcW w:w="1940" w:type="dxa"/>
            <w:noWrap/>
            <w:hideMark/>
          </w:tcPr>
          <w:p w14:paraId="5DA1C5B2"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c>
          <w:tcPr>
            <w:tcW w:w="1420" w:type="dxa"/>
            <w:noWrap/>
            <w:hideMark/>
          </w:tcPr>
          <w:p w14:paraId="222A2CC9"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r>
      <w:tr w:rsidR="005B2C4E" w:rsidRPr="005B2C4E" w14:paraId="73B6ACEF"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2097B71C"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ICT</w:t>
            </w:r>
          </w:p>
        </w:tc>
        <w:tc>
          <w:tcPr>
            <w:tcW w:w="1940" w:type="dxa"/>
            <w:noWrap/>
            <w:hideMark/>
          </w:tcPr>
          <w:p w14:paraId="775872B4"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173552D0"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3</w:t>
            </w:r>
          </w:p>
        </w:tc>
      </w:tr>
      <w:tr w:rsidR="005B2C4E" w:rsidRPr="005B2C4E" w14:paraId="61EFE8D4" w14:textId="77777777" w:rsidTr="005B2C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2152F94"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MRP</w:t>
            </w:r>
          </w:p>
        </w:tc>
        <w:tc>
          <w:tcPr>
            <w:tcW w:w="1940" w:type="dxa"/>
            <w:noWrap/>
            <w:hideMark/>
          </w:tcPr>
          <w:p w14:paraId="41CF2A31"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43926315"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360DB183"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BC402CD"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DTD</w:t>
            </w:r>
          </w:p>
        </w:tc>
        <w:tc>
          <w:tcPr>
            <w:tcW w:w="1940" w:type="dxa"/>
            <w:noWrap/>
            <w:hideMark/>
          </w:tcPr>
          <w:p w14:paraId="39AC60FE"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7</w:t>
            </w:r>
          </w:p>
        </w:tc>
        <w:tc>
          <w:tcPr>
            <w:tcW w:w="1420" w:type="dxa"/>
            <w:noWrap/>
            <w:hideMark/>
          </w:tcPr>
          <w:p w14:paraId="2511C70B"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4</w:t>
            </w:r>
          </w:p>
        </w:tc>
      </w:tr>
      <w:tr w:rsidR="005B2C4E" w:rsidRPr="005B2C4E" w14:paraId="6396A6B0"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65FB120"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STAFF WELFARE</w:t>
            </w:r>
          </w:p>
        </w:tc>
        <w:tc>
          <w:tcPr>
            <w:tcW w:w="1940" w:type="dxa"/>
            <w:noWrap/>
            <w:hideMark/>
          </w:tcPr>
          <w:p w14:paraId="601AFDDA"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06897D40"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539A7D58"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25858EBF"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lang w:val="en-GB"/>
                <w14:ligatures w14:val="none"/>
              </w:rPr>
              <w:t>BOARD</w:t>
            </w:r>
          </w:p>
        </w:tc>
        <w:tc>
          <w:tcPr>
            <w:tcW w:w="1940" w:type="dxa"/>
            <w:noWrap/>
            <w:hideMark/>
          </w:tcPr>
          <w:p w14:paraId="0FC202F1"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c>
          <w:tcPr>
            <w:tcW w:w="1420" w:type="dxa"/>
            <w:noWrap/>
            <w:hideMark/>
          </w:tcPr>
          <w:p w14:paraId="20F78AF4" w14:textId="77777777" w:rsidR="005B2C4E" w:rsidRPr="005B2C4E" w:rsidRDefault="005B2C4E" w:rsidP="005B2C4E">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r>
      <w:tr w:rsidR="005B2C4E" w:rsidRPr="005B2C4E" w14:paraId="29FC8B95" w14:textId="77777777" w:rsidTr="005B2C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68C7767A"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14:ligatures w14:val="none"/>
              </w:rPr>
              <w:t>RIID</w:t>
            </w:r>
          </w:p>
        </w:tc>
        <w:tc>
          <w:tcPr>
            <w:tcW w:w="1940" w:type="dxa"/>
            <w:noWrap/>
            <w:hideMark/>
          </w:tcPr>
          <w:p w14:paraId="47191A89" w14:textId="77777777" w:rsidR="005B2C4E" w:rsidRPr="005B2C4E" w:rsidRDefault="005B2C4E" w:rsidP="005B2C4E">
            <w:pP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c>
          <w:tcPr>
            <w:tcW w:w="1420" w:type="dxa"/>
            <w:noWrap/>
            <w:hideMark/>
          </w:tcPr>
          <w:p w14:paraId="291BC90C"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1</w:t>
            </w:r>
          </w:p>
        </w:tc>
      </w:tr>
      <w:tr w:rsidR="005B2C4E" w:rsidRPr="005B2C4E" w14:paraId="6B3A929E" w14:textId="77777777" w:rsidTr="005B2C4E">
        <w:trPr>
          <w:trHeight w:val="288"/>
        </w:trPr>
        <w:tc>
          <w:tcPr>
            <w:cnfStyle w:val="001000000000" w:firstRow="0" w:lastRow="0" w:firstColumn="1" w:lastColumn="0" w:oddVBand="0" w:evenVBand="0" w:oddHBand="0" w:evenHBand="0" w:firstRowFirstColumn="0" w:firstRowLastColumn="0" w:lastRowFirstColumn="0" w:lastRowLastColumn="0"/>
            <w:tcW w:w="2240" w:type="dxa"/>
            <w:noWrap/>
            <w:hideMark/>
          </w:tcPr>
          <w:p w14:paraId="58838BC6" w14:textId="77777777" w:rsidR="005B2C4E" w:rsidRPr="003F51F1" w:rsidRDefault="005B2C4E" w:rsidP="005B2C4E">
            <w:pPr>
              <w:rPr>
                <w:rFonts w:ascii="Baskerville Old Face" w:eastAsia="Times New Roman" w:hAnsi="Baskerville Old Face" w:cs="Calibri"/>
                <w:b w:val="0"/>
                <w:bCs w:val="0"/>
                <w:color w:val="000000"/>
                <w:kern w:val="0"/>
                <w14:ligatures w14:val="none"/>
              </w:rPr>
            </w:pPr>
            <w:r w:rsidRPr="003F51F1">
              <w:rPr>
                <w:rFonts w:ascii="Baskerville Old Face" w:eastAsia="Times New Roman" w:hAnsi="Baskerville Old Face" w:cs="Calibri"/>
                <w:b w:val="0"/>
                <w:bCs w:val="0"/>
                <w:color w:val="000000"/>
                <w:kern w:val="0"/>
                <w14:ligatures w14:val="none"/>
              </w:rPr>
              <w:t>ICA</w:t>
            </w:r>
          </w:p>
        </w:tc>
        <w:tc>
          <w:tcPr>
            <w:tcW w:w="1940" w:type="dxa"/>
            <w:noWrap/>
            <w:hideMark/>
          </w:tcPr>
          <w:p w14:paraId="4996110F" w14:textId="77777777" w:rsidR="005B2C4E" w:rsidRPr="005B2C4E" w:rsidRDefault="005B2C4E" w:rsidP="005B2C4E">
            <w:pP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14:ligatures w14:val="none"/>
              </w:rPr>
              <w:t> </w:t>
            </w:r>
          </w:p>
        </w:tc>
        <w:tc>
          <w:tcPr>
            <w:tcW w:w="1420" w:type="dxa"/>
            <w:noWrap/>
            <w:hideMark/>
          </w:tcPr>
          <w:p w14:paraId="1D193608" w14:textId="77777777" w:rsidR="005B2C4E" w:rsidRPr="005B2C4E" w:rsidRDefault="005B2C4E" w:rsidP="005B2C4E">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2</w:t>
            </w:r>
          </w:p>
        </w:tc>
      </w:tr>
      <w:tr w:rsidR="005B2C4E" w:rsidRPr="005B2C4E" w14:paraId="0EFDA8D1" w14:textId="77777777" w:rsidTr="005B2C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0" w:type="dxa"/>
            <w:noWrap/>
            <w:hideMark/>
          </w:tcPr>
          <w:p w14:paraId="41179CB4" w14:textId="77777777" w:rsidR="005B2C4E" w:rsidRPr="005B2C4E" w:rsidRDefault="005B2C4E" w:rsidP="005B2C4E">
            <w:pPr>
              <w:rPr>
                <w:rFonts w:ascii="Baskerville Old Face" w:eastAsia="Times New Roman" w:hAnsi="Baskerville Old Face" w:cs="Calibri"/>
                <w:color w:val="000000"/>
                <w:kern w:val="0"/>
                <w14:ligatures w14:val="none"/>
              </w:rPr>
            </w:pPr>
            <w:r w:rsidRPr="005B2C4E">
              <w:rPr>
                <w:rFonts w:ascii="Baskerville Old Face" w:eastAsia="Times New Roman" w:hAnsi="Baskerville Old Face" w:cs="Calibri"/>
                <w:color w:val="000000"/>
                <w:kern w:val="0"/>
                <w:lang w:val="en-GB"/>
                <w14:ligatures w14:val="none"/>
              </w:rPr>
              <w:t>TOTAL</w:t>
            </w:r>
          </w:p>
        </w:tc>
        <w:tc>
          <w:tcPr>
            <w:tcW w:w="1940" w:type="dxa"/>
            <w:noWrap/>
            <w:hideMark/>
          </w:tcPr>
          <w:p w14:paraId="41E36F0C"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5B2C4E">
              <w:rPr>
                <w:rFonts w:ascii="Baskerville Old Face" w:eastAsia="Times New Roman" w:hAnsi="Baskerville Old Face" w:cs="Calibri"/>
                <w:b/>
                <w:bCs/>
                <w:color w:val="000000"/>
                <w:kern w:val="0"/>
                <w:lang w:val="en-GB"/>
                <w14:ligatures w14:val="none"/>
              </w:rPr>
              <w:t>32</w:t>
            </w:r>
          </w:p>
        </w:tc>
        <w:tc>
          <w:tcPr>
            <w:tcW w:w="1420" w:type="dxa"/>
            <w:noWrap/>
            <w:hideMark/>
          </w:tcPr>
          <w:p w14:paraId="4D27E80A" w14:textId="77777777" w:rsidR="005B2C4E" w:rsidRPr="005B2C4E" w:rsidRDefault="005B2C4E" w:rsidP="005B2C4E">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b/>
                <w:bCs/>
                <w:color w:val="000000"/>
                <w:kern w:val="0"/>
                <w14:ligatures w14:val="none"/>
              </w:rPr>
            </w:pPr>
            <w:r w:rsidRPr="005B2C4E">
              <w:rPr>
                <w:rFonts w:ascii="Baskerville Old Face" w:eastAsia="Times New Roman" w:hAnsi="Baskerville Old Face" w:cs="Calibri"/>
                <w:b/>
                <w:bCs/>
                <w:color w:val="000000"/>
                <w:kern w:val="0"/>
                <w14:ligatures w14:val="none"/>
              </w:rPr>
              <w:t>32</w:t>
            </w:r>
          </w:p>
        </w:tc>
      </w:tr>
    </w:tbl>
    <w:p w14:paraId="78F8F1DF" w14:textId="77777777" w:rsidR="00D62D79" w:rsidRPr="00BC7192" w:rsidRDefault="00D62D79" w:rsidP="00D62D79">
      <w:pPr>
        <w:spacing w:line="360" w:lineRule="auto"/>
        <w:jc w:val="both"/>
        <w:rPr>
          <w:rFonts w:ascii="Baskerville Old Face" w:hAnsi="Baskerville Old Face" w:cs="Times New Roman"/>
          <w:i/>
          <w:iCs/>
          <w:sz w:val="18"/>
          <w:szCs w:val="18"/>
        </w:rPr>
      </w:pPr>
      <w:r w:rsidRPr="00BC7192">
        <w:rPr>
          <w:rFonts w:ascii="Baskerville Old Face" w:hAnsi="Baskerville Old Face" w:cs="Times New Roman"/>
          <w:i/>
          <w:iCs/>
          <w:sz w:val="18"/>
          <w:szCs w:val="18"/>
        </w:rPr>
        <w:t>Source: HRD</w:t>
      </w:r>
    </w:p>
    <w:p w14:paraId="559AE6F2" w14:textId="68821498" w:rsidR="00D62D79" w:rsidRPr="00671CC1" w:rsidRDefault="00002021" w:rsidP="00D62D79">
      <w:pPr>
        <w:spacing w:line="360" w:lineRule="auto"/>
        <w:jc w:val="both"/>
        <w:rPr>
          <w:rFonts w:ascii="Baskerville Old Face" w:hAnsi="Baskerville Old Face" w:cs="Times New Roman"/>
          <w:sz w:val="24"/>
          <w:szCs w:val="24"/>
        </w:rPr>
      </w:pPr>
      <w:r w:rsidRPr="00002021">
        <w:rPr>
          <w:rFonts w:ascii="Baskerville Old Face" w:hAnsi="Baskerville Old Face" w:cs="Times New Roman"/>
          <w:sz w:val="24"/>
          <w:szCs w:val="24"/>
        </w:rPr>
        <w:t xml:space="preserve">Analysis of </w:t>
      </w:r>
      <w:r w:rsidRPr="00E80733">
        <w:rPr>
          <w:rFonts w:ascii="Baskerville Old Face" w:hAnsi="Baskerville Old Face" w:cs="Times New Roman"/>
          <w:sz w:val="24"/>
          <w:szCs w:val="24"/>
        </w:rPr>
        <w:t xml:space="preserve">Figure </w:t>
      </w:r>
      <w:r w:rsidR="008D42A7">
        <w:rPr>
          <w:rFonts w:ascii="Baskerville Old Face" w:hAnsi="Baskerville Old Face" w:cs="Times New Roman"/>
          <w:sz w:val="24"/>
          <w:szCs w:val="24"/>
        </w:rPr>
        <w:t>6</w:t>
      </w:r>
      <w:r w:rsidRPr="00002021">
        <w:rPr>
          <w:rFonts w:ascii="Baskerville Old Face" w:hAnsi="Baskerville Old Face" w:cs="Times New Roman"/>
          <w:sz w:val="24"/>
          <w:szCs w:val="24"/>
        </w:rPr>
        <w:t xml:space="preserve"> reveals that retirement and resignation emerged as the primary reasons for staff separation in 2023, with 11 occurrences of each, followed by 4 instances of departure due to death. Similarly, in 2022, retirement and resignation constituted the most common reasons for staff separation from the Authority, with 14 and 12 instances respectively.</w:t>
      </w:r>
    </w:p>
    <w:p w14:paraId="10CC0B22" w14:textId="77777777" w:rsidR="008D59CB" w:rsidRDefault="008D59CB" w:rsidP="0029669A">
      <w:pPr>
        <w:spacing w:line="360" w:lineRule="auto"/>
        <w:jc w:val="both"/>
        <w:rPr>
          <w:rFonts w:ascii="Baskerville Old Face" w:hAnsi="Baskerville Old Face" w:cs="Times New Roman"/>
          <w:b/>
          <w:bCs/>
          <w:i/>
          <w:iCs/>
          <w:sz w:val="24"/>
          <w:szCs w:val="24"/>
        </w:rPr>
      </w:pPr>
    </w:p>
    <w:p w14:paraId="2E131331" w14:textId="77777777" w:rsidR="00762EA3" w:rsidRDefault="00762EA3" w:rsidP="0029669A">
      <w:pPr>
        <w:spacing w:line="360" w:lineRule="auto"/>
        <w:jc w:val="both"/>
        <w:rPr>
          <w:rFonts w:ascii="Baskerville Old Face" w:hAnsi="Baskerville Old Face" w:cs="Times New Roman"/>
          <w:b/>
          <w:bCs/>
          <w:i/>
          <w:iCs/>
          <w:sz w:val="24"/>
          <w:szCs w:val="24"/>
        </w:rPr>
      </w:pPr>
    </w:p>
    <w:p w14:paraId="1E2FF7A8" w14:textId="77777777" w:rsidR="008D59CB" w:rsidRDefault="008D59CB" w:rsidP="0029669A">
      <w:pPr>
        <w:spacing w:line="360" w:lineRule="auto"/>
        <w:jc w:val="both"/>
        <w:rPr>
          <w:rFonts w:ascii="Baskerville Old Face" w:hAnsi="Baskerville Old Face" w:cs="Times New Roman"/>
          <w:b/>
          <w:bCs/>
          <w:i/>
          <w:iCs/>
          <w:sz w:val="24"/>
          <w:szCs w:val="24"/>
        </w:rPr>
      </w:pPr>
    </w:p>
    <w:p w14:paraId="1C098D3D" w14:textId="4DA23A39" w:rsidR="002232C5" w:rsidRDefault="00EB7319" w:rsidP="0029669A">
      <w:pPr>
        <w:spacing w:line="360" w:lineRule="auto"/>
        <w:jc w:val="both"/>
        <w:rPr>
          <w:rFonts w:ascii="Baskerville Old Face" w:hAnsi="Baskerville Old Face" w:cs="Times New Roman"/>
          <w:b/>
          <w:bCs/>
          <w:i/>
          <w:iCs/>
          <w:sz w:val="24"/>
          <w:szCs w:val="24"/>
        </w:rPr>
      </w:pPr>
      <w:bookmarkStart w:id="36" w:name="Figure6"/>
      <w:r w:rsidRPr="00E80733">
        <w:rPr>
          <w:rFonts w:ascii="Baskerville Old Face" w:hAnsi="Baskerville Old Face" w:cs="Times New Roman"/>
          <w:b/>
          <w:bCs/>
          <w:i/>
          <w:iCs/>
          <w:sz w:val="24"/>
          <w:szCs w:val="24"/>
        </w:rPr>
        <w:lastRenderedPageBreak/>
        <w:t>Figure</w:t>
      </w:r>
      <w:r w:rsidR="002232C5" w:rsidRPr="00E80733">
        <w:rPr>
          <w:rFonts w:ascii="Baskerville Old Face" w:hAnsi="Baskerville Old Face" w:cs="Times New Roman"/>
          <w:b/>
          <w:bCs/>
          <w:i/>
          <w:iCs/>
          <w:sz w:val="24"/>
          <w:szCs w:val="24"/>
        </w:rPr>
        <w:t xml:space="preserve"> </w:t>
      </w:r>
      <w:r w:rsidR="00CD037D">
        <w:rPr>
          <w:rFonts w:ascii="Baskerville Old Face" w:hAnsi="Baskerville Old Face" w:cs="Times New Roman"/>
          <w:b/>
          <w:bCs/>
          <w:i/>
          <w:iCs/>
          <w:sz w:val="24"/>
          <w:szCs w:val="24"/>
        </w:rPr>
        <w:t>6</w:t>
      </w:r>
      <w:r w:rsidR="002232C5" w:rsidRPr="002232C5">
        <w:rPr>
          <w:rFonts w:ascii="Baskerville Old Face" w:hAnsi="Baskerville Old Face" w:cs="Times New Roman"/>
          <w:b/>
          <w:bCs/>
          <w:i/>
          <w:iCs/>
          <w:sz w:val="24"/>
          <w:szCs w:val="24"/>
        </w:rPr>
        <w:t xml:space="preserve">: Staff Separations by </w:t>
      </w:r>
      <w:r w:rsidR="00D62D79">
        <w:rPr>
          <w:rFonts w:ascii="Baskerville Old Face" w:hAnsi="Baskerville Old Face" w:cs="Times New Roman"/>
          <w:b/>
          <w:bCs/>
          <w:i/>
          <w:iCs/>
          <w:sz w:val="24"/>
          <w:szCs w:val="24"/>
        </w:rPr>
        <w:t>Category</w:t>
      </w:r>
      <w:r w:rsidR="002232C5" w:rsidRPr="002232C5">
        <w:rPr>
          <w:rFonts w:ascii="Baskerville Old Face" w:hAnsi="Baskerville Old Face" w:cs="Times New Roman"/>
          <w:b/>
          <w:bCs/>
          <w:i/>
          <w:iCs/>
          <w:sz w:val="24"/>
          <w:szCs w:val="24"/>
        </w:rPr>
        <w:t>, 2023</w:t>
      </w:r>
      <w:r w:rsidR="00D62D79">
        <w:rPr>
          <w:rFonts w:ascii="Baskerville Old Face" w:hAnsi="Baskerville Old Face" w:cs="Times New Roman"/>
          <w:b/>
          <w:bCs/>
          <w:i/>
          <w:iCs/>
          <w:sz w:val="24"/>
          <w:szCs w:val="24"/>
        </w:rPr>
        <w:t xml:space="preserve"> and 2022</w:t>
      </w:r>
    </w:p>
    <w:bookmarkEnd w:id="36"/>
    <w:p w14:paraId="29CCC0B6" w14:textId="2F09D7B7" w:rsidR="00D62D79" w:rsidRPr="00D62D79" w:rsidRDefault="007E0C9B" w:rsidP="00D62D79">
      <w:pPr>
        <w:spacing w:line="360" w:lineRule="auto"/>
        <w:jc w:val="both"/>
        <w:rPr>
          <w:rFonts w:ascii="Baskerville Old Face" w:hAnsi="Baskerville Old Face" w:cs="Times New Roman"/>
          <w:sz w:val="24"/>
          <w:szCs w:val="24"/>
        </w:rPr>
      </w:pPr>
      <w:r>
        <w:rPr>
          <w:noProof/>
        </w:rPr>
        <w:drawing>
          <wp:inline distT="0" distB="0" distL="0" distR="0" wp14:anchorId="08BA56D4" wp14:editId="6FA4F7C5">
            <wp:extent cx="5842000" cy="2971800"/>
            <wp:effectExtent l="0" t="0" r="6350" b="0"/>
            <wp:docPr id="405510127" name="Chart 1">
              <a:extLst xmlns:a="http://schemas.openxmlformats.org/drawingml/2006/main">
                <a:ext uri="{FF2B5EF4-FFF2-40B4-BE49-F238E27FC236}">
                  <a16:creationId xmlns:a16="http://schemas.microsoft.com/office/drawing/2014/main" id="{E2FAD07B-779E-806C-7D51-D9A8D14D3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62D79" w:rsidRPr="00BC7192">
        <w:rPr>
          <w:rFonts w:ascii="Baskerville Old Face" w:hAnsi="Baskerville Old Face" w:cs="Times New Roman"/>
          <w:i/>
          <w:iCs/>
          <w:sz w:val="18"/>
          <w:szCs w:val="18"/>
        </w:rPr>
        <w:t>Source: HRD</w:t>
      </w:r>
    </w:p>
    <w:p w14:paraId="2CA2CF16" w14:textId="6AAD6259" w:rsidR="00D7283B" w:rsidRDefault="00B22342" w:rsidP="008C5C22">
      <w:pPr>
        <w:pStyle w:val="Heading3"/>
      </w:pPr>
      <w:bookmarkStart w:id="37" w:name="_Toc198205676"/>
      <w:r>
        <w:t xml:space="preserve">Staff </w:t>
      </w:r>
      <w:r w:rsidR="00D7283B">
        <w:t xml:space="preserve">Recruitment, </w:t>
      </w:r>
      <w:r w:rsidR="00D7283B" w:rsidRPr="002112F3">
        <w:t>Confirmation</w:t>
      </w:r>
      <w:r w:rsidR="001E5A8B">
        <w:t xml:space="preserve">, </w:t>
      </w:r>
      <w:r w:rsidR="00D7283B" w:rsidRPr="002112F3">
        <w:t>Promotion</w:t>
      </w:r>
      <w:r w:rsidR="00D7283B">
        <w:t xml:space="preserve"> </w:t>
      </w:r>
      <w:r w:rsidR="00377F8D">
        <w:t>and Engagement</w:t>
      </w:r>
      <w:bookmarkEnd w:id="37"/>
    </w:p>
    <w:p w14:paraId="5C841B49" w14:textId="000514F2" w:rsidR="009932A3" w:rsidRDefault="00B22342" w:rsidP="00D7283B">
      <w:pPr>
        <w:spacing w:line="360" w:lineRule="auto"/>
        <w:jc w:val="both"/>
        <w:rPr>
          <w:rFonts w:ascii="Baskerville Old Face" w:hAnsi="Baskerville Old Face" w:cs="Times New Roman"/>
          <w:sz w:val="24"/>
          <w:szCs w:val="24"/>
        </w:rPr>
      </w:pPr>
      <w:r w:rsidRPr="00B22342">
        <w:rPr>
          <w:rFonts w:ascii="Baskerville Old Face" w:hAnsi="Baskerville Old Face" w:cs="Times New Roman"/>
          <w:sz w:val="24"/>
          <w:szCs w:val="24"/>
        </w:rPr>
        <w:t xml:space="preserve">In 2023, the NRA </w:t>
      </w:r>
      <w:r>
        <w:rPr>
          <w:rFonts w:ascii="Baskerville Old Face" w:hAnsi="Baskerville Old Face" w:cs="Times New Roman"/>
          <w:sz w:val="24"/>
          <w:szCs w:val="24"/>
        </w:rPr>
        <w:t>recruited a total of</w:t>
      </w:r>
      <w:r w:rsidRPr="00B22342">
        <w:rPr>
          <w:rFonts w:ascii="Baskerville Old Face" w:hAnsi="Baskerville Old Face" w:cs="Times New Roman"/>
          <w:sz w:val="24"/>
          <w:szCs w:val="24"/>
        </w:rPr>
        <w:t xml:space="preserve"> 71 staff members</w:t>
      </w:r>
      <w:r w:rsidR="002B5725">
        <w:rPr>
          <w:rFonts w:ascii="Baskerville Old Face" w:hAnsi="Baskerville Old Face" w:cs="Times New Roman"/>
          <w:sz w:val="24"/>
          <w:szCs w:val="24"/>
        </w:rPr>
        <w:t xml:space="preserve"> (Table 1</w:t>
      </w:r>
      <w:r w:rsidR="005C69D1">
        <w:rPr>
          <w:rFonts w:ascii="Baskerville Old Face" w:hAnsi="Baskerville Old Face" w:cs="Times New Roman"/>
          <w:sz w:val="24"/>
          <w:szCs w:val="24"/>
        </w:rPr>
        <w:t>0</w:t>
      </w:r>
      <w:r w:rsidR="002B5725">
        <w:rPr>
          <w:rFonts w:ascii="Baskerville Old Face" w:hAnsi="Baskerville Old Face" w:cs="Times New Roman"/>
          <w:sz w:val="24"/>
          <w:szCs w:val="24"/>
        </w:rPr>
        <w:t>)</w:t>
      </w:r>
      <w:r w:rsidRPr="00B22342">
        <w:rPr>
          <w:rFonts w:ascii="Baskerville Old Face" w:hAnsi="Baskerville Old Face" w:cs="Times New Roman"/>
          <w:sz w:val="24"/>
          <w:szCs w:val="24"/>
        </w:rPr>
        <w:t xml:space="preserve">. Among these recruits, the Administration Department welcomed the largest </w:t>
      </w:r>
      <w:r w:rsidR="00DF19D8">
        <w:rPr>
          <w:rFonts w:ascii="Baskerville Old Face" w:hAnsi="Baskerville Old Face" w:cs="Times New Roman"/>
          <w:sz w:val="24"/>
          <w:szCs w:val="24"/>
        </w:rPr>
        <w:t>number of new staff</w:t>
      </w:r>
      <w:r w:rsidRPr="00B22342">
        <w:rPr>
          <w:rFonts w:ascii="Baskerville Old Face" w:hAnsi="Baskerville Old Face" w:cs="Times New Roman"/>
          <w:sz w:val="24"/>
          <w:szCs w:val="24"/>
        </w:rPr>
        <w:t xml:space="preserve">, comprising 29 individuals, followed by CSD with 11, DTD with 10, and the CGs Office with 8. </w:t>
      </w:r>
      <w:proofErr w:type="spellStart"/>
      <w:r w:rsidRPr="00B22342">
        <w:rPr>
          <w:rFonts w:ascii="Baskerville Old Face" w:hAnsi="Baskerville Old Face" w:cs="Times New Roman"/>
          <w:sz w:val="24"/>
          <w:szCs w:val="24"/>
        </w:rPr>
        <w:t>Recogni</w:t>
      </w:r>
      <w:r w:rsidR="00DF19D8">
        <w:rPr>
          <w:rFonts w:ascii="Baskerville Old Face" w:hAnsi="Baskerville Old Face" w:cs="Times New Roman"/>
          <w:sz w:val="24"/>
          <w:szCs w:val="24"/>
        </w:rPr>
        <w:t>s</w:t>
      </w:r>
      <w:r w:rsidRPr="00B22342">
        <w:rPr>
          <w:rFonts w:ascii="Baskerville Old Face" w:hAnsi="Baskerville Old Face" w:cs="Times New Roman"/>
          <w:sz w:val="24"/>
          <w:szCs w:val="24"/>
        </w:rPr>
        <w:t>ing</w:t>
      </w:r>
      <w:proofErr w:type="spellEnd"/>
      <w:r w:rsidRPr="00B22342">
        <w:rPr>
          <w:rFonts w:ascii="Baskerville Old Face" w:hAnsi="Baskerville Old Face" w:cs="Times New Roman"/>
          <w:sz w:val="24"/>
          <w:szCs w:val="24"/>
        </w:rPr>
        <w:t xml:space="preserve"> outstanding performance and dedication among its workforce, the Authority </w:t>
      </w:r>
      <w:r w:rsidR="0047676F">
        <w:rPr>
          <w:rFonts w:ascii="Baskerville Old Face" w:hAnsi="Baskerville Old Face" w:cs="Times New Roman"/>
          <w:sz w:val="24"/>
          <w:szCs w:val="24"/>
        </w:rPr>
        <w:t>promoted</w:t>
      </w:r>
      <w:r w:rsidRPr="00B22342">
        <w:rPr>
          <w:rFonts w:ascii="Baskerville Old Face" w:hAnsi="Baskerville Old Face" w:cs="Times New Roman"/>
          <w:sz w:val="24"/>
          <w:szCs w:val="24"/>
        </w:rPr>
        <w:t xml:space="preserve"> a total of 60 staff members from various departments to higher positions. </w:t>
      </w:r>
      <w:r w:rsidR="00F16933">
        <w:rPr>
          <w:rFonts w:ascii="Baskerville Old Face" w:hAnsi="Baskerville Old Face" w:cs="Times New Roman"/>
          <w:sz w:val="24"/>
          <w:szCs w:val="24"/>
        </w:rPr>
        <w:t>Of</w:t>
      </w:r>
      <w:r w:rsidRPr="00B22342">
        <w:rPr>
          <w:rFonts w:ascii="Baskerville Old Face" w:hAnsi="Baskerville Old Face" w:cs="Times New Roman"/>
          <w:sz w:val="24"/>
          <w:szCs w:val="24"/>
        </w:rPr>
        <w:t xml:space="preserve"> th</w:t>
      </w:r>
      <w:r w:rsidR="00F16933">
        <w:rPr>
          <w:rFonts w:ascii="Baskerville Old Face" w:hAnsi="Baskerville Old Face" w:cs="Times New Roman"/>
          <w:sz w:val="24"/>
          <w:szCs w:val="24"/>
        </w:rPr>
        <w:t>ese</w:t>
      </w:r>
      <w:r w:rsidRPr="00B22342">
        <w:rPr>
          <w:rFonts w:ascii="Baskerville Old Face" w:hAnsi="Baskerville Old Face" w:cs="Times New Roman"/>
          <w:sz w:val="24"/>
          <w:szCs w:val="24"/>
        </w:rPr>
        <w:t xml:space="preserve"> promotion</w:t>
      </w:r>
      <w:r w:rsidR="00F16933">
        <w:rPr>
          <w:rFonts w:ascii="Baskerville Old Face" w:hAnsi="Baskerville Old Face" w:cs="Times New Roman"/>
          <w:sz w:val="24"/>
          <w:szCs w:val="24"/>
        </w:rPr>
        <w:t>s</w:t>
      </w:r>
      <w:r w:rsidRPr="00B22342">
        <w:rPr>
          <w:rFonts w:ascii="Baskerville Old Face" w:hAnsi="Baskerville Old Face" w:cs="Times New Roman"/>
          <w:sz w:val="24"/>
          <w:szCs w:val="24"/>
        </w:rPr>
        <w:t xml:space="preserve">, CSD saw the highest number of promotions, with 27 </w:t>
      </w:r>
      <w:r w:rsidR="00F16933">
        <w:rPr>
          <w:rFonts w:ascii="Baskerville Old Face" w:hAnsi="Baskerville Old Face" w:cs="Times New Roman"/>
          <w:sz w:val="24"/>
          <w:szCs w:val="24"/>
        </w:rPr>
        <w:t>staff</w:t>
      </w:r>
      <w:r w:rsidRPr="00B22342">
        <w:rPr>
          <w:rFonts w:ascii="Baskerville Old Face" w:hAnsi="Baskerville Old Face" w:cs="Times New Roman"/>
          <w:sz w:val="24"/>
          <w:szCs w:val="24"/>
        </w:rPr>
        <w:t xml:space="preserve"> promoted, </w:t>
      </w:r>
      <w:r w:rsidR="006C0613">
        <w:rPr>
          <w:rFonts w:ascii="Baskerville Old Face" w:hAnsi="Baskerville Old Face" w:cs="Times New Roman"/>
          <w:sz w:val="24"/>
          <w:szCs w:val="24"/>
        </w:rPr>
        <w:t>followed</w:t>
      </w:r>
      <w:r w:rsidRPr="00B22342">
        <w:rPr>
          <w:rFonts w:ascii="Baskerville Old Face" w:hAnsi="Baskerville Old Face" w:cs="Times New Roman"/>
          <w:sz w:val="24"/>
          <w:szCs w:val="24"/>
        </w:rPr>
        <w:t xml:space="preserve"> by the ICT Department with 9, and the L&amp;CA Department with 5. Additionally, 40 staff members were formally confirmed in their respective positions</w:t>
      </w:r>
      <w:r w:rsidR="007D072E">
        <w:rPr>
          <w:rFonts w:ascii="Baskerville Old Face" w:hAnsi="Baskerville Old Face" w:cs="Times New Roman"/>
          <w:sz w:val="24"/>
          <w:szCs w:val="24"/>
        </w:rPr>
        <w:t xml:space="preserve"> after their probation period</w:t>
      </w:r>
      <w:r w:rsidRPr="00B22342">
        <w:rPr>
          <w:rFonts w:ascii="Baskerville Old Face" w:hAnsi="Baskerville Old Face" w:cs="Times New Roman"/>
          <w:sz w:val="24"/>
          <w:szCs w:val="24"/>
        </w:rPr>
        <w:t xml:space="preserve">, with CSD again leading with 17 confirmations, followed by the ICT Department with 12, and the Admin Department with 5. Furthermore, the Authority augmented its workforce by engaging the services of 58 individuals, including 47 contracted staff, 6 interns, and 5 youth corps from the National Youth Commission. </w:t>
      </w:r>
    </w:p>
    <w:p w14:paraId="4A452300" w14:textId="77777777" w:rsidR="008D59CB" w:rsidRDefault="008D59CB" w:rsidP="00D7283B">
      <w:pPr>
        <w:spacing w:line="360" w:lineRule="auto"/>
        <w:jc w:val="both"/>
        <w:rPr>
          <w:rFonts w:ascii="Baskerville Old Face" w:hAnsi="Baskerville Old Face" w:cs="Times New Roman"/>
          <w:b/>
          <w:bCs/>
          <w:i/>
          <w:iCs/>
          <w:sz w:val="24"/>
          <w:szCs w:val="24"/>
        </w:rPr>
      </w:pPr>
    </w:p>
    <w:p w14:paraId="527793E2" w14:textId="77777777" w:rsidR="008D59CB" w:rsidRDefault="008D59CB" w:rsidP="00D7283B">
      <w:pPr>
        <w:spacing w:line="360" w:lineRule="auto"/>
        <w:jc w:val="both"/>
        <w:rPr>
          <w:rFonts w:ascii="Baskerville Old Face" w:hAnsi="Baskerville Old Face" w:cs="Times New Roman"/>
          <w:b/>
          <w:bCs/>
          <w:i/>
          <w:iCs/>
          <w:sz w:val="24"/>
          <w:szCs w:val="24"/>
        </w:rPr>
      </w:pPr>
    </w:p>
    <w:p w14:paraId="69165DC5" w14:textId="77777777" w:rsidR="00AC7B56" w:rsidRDefault="00AC7B56" w:rsidP="00D7283B">
      <w:pPr>
        <w:spacing w:line="360" w:lineRule="auto"/>
        <w:jc w:val="both"/>
        <w:rPr>
          <w:rFonts w:ascii="Baskerville Old Face" w:hAnsi="Baskerville Old Face" w:cs="Times New Roman"/>
          <w:b/>
          <w:bCs/>
          <w:i/>
          <w:iCs/>
          <w:sz w:val="24"/>
          <w:szCs w:val="24"/>
        </w:rPr>
      </w:pPr>
    </w:p>
    <w:p w14:paraId="21B0D336" w14:textId="77777777" w:rsidR="008D59CB" w:rsidRDefault="008D59CB" w:rsidP="00D7283B">
      <w:pPr>
        <w:spacing w:line="360" w:lineRule="auto"/>
        <w:jc w:val="both"/>
        <w:rPr>
          <w:rFonts w:ascii="Baskerville Old Face" w:hAnsi="Baskerville Old Face" w:cs="Times New Roman"/>
          <w:b/>
          <w:bCs/>
          <w:i/>
          <w:iCs/>
          <w:sz w:val="24"/>
          <w:szCs w:val="24"/>
        </w:rPr>
      </w:pPr>
    </w:p>
    <w:p w14:paraId="686C417E" w14:textId="11C4EFB3" w:rsidR="00D7283B" w:rsidRPr="00377F8D" w:rsidRDefault="00377F8D" w:rsidP="00D7283B">
      <w:pPr>
        <w:spacing w:line="360" w:lineRule="auto"/>
        <w:jc w:val="both"/>
        <w:rPr>
          <w:rFonts w:ascii="Baskerville Old Face" w:hAnsi="Baskerville Old Face" w:cs="Times New Roman"/>
          <w:b/>
          <w:bCs/>
          <w:i/>
          <w:iCs/>
          <w:sz w:val="24"/>
          <w:szCs w:val="24"/>
        </w:rPr>
      </w:pPr>
      <w:bookmarkStart w:id="38" w:name="Table10"/>
      <w:r w:rsidRPr="00D55C27">
        <w:rPr>
          <w:rFonts w:ascii="Baskerville Old Face" w:hAnsi="Baskerville Old Face" w:cs="Times New Roman"/>
          <w:b/>
          <w:bCs/>
          <w:i/>
          <w:iCs/>
          <w:sz w:val="24"/>
          <w:szCs w:val="24"/>
        </w:rPr>
        <w:lastRenderedPageBreak/>
        <w:t xml:space="preserve">Table </w:t>
      </w:r>
      <w:r w:rsidR="00F926C4">
        <w:rPr>
          <w:rFonts w:ascii="Baskerville Old Face" w:hAnsi="Baskerville Old Face" w:cs="Times New Roman"/>
          <w:b/>
          <w:bCs/>
          <w:i/>
          <w:iCs/>
          <w:sz w:val="24"/>
          <w:szCs w:val="24"/>
        </w:rPr>
        <w:t>1</w:t>
      </w:r>
      <w:r w:rsidR="005C69D1">
        <w:rPr>
          <w:rFonts w:ascii="Baskerville Old Face" w:hAnsi="Baskerville Old Face" w:cs="Times New Roman"/>
          <w:b/>
          <w:bCs/>
          <w:i/>
          <w:iCs/>
          <w:sz w:val="24"/>
          <w:szCs w:val="24"/>
        </w:rPr>
        <w:t>0</w:t>
      </w:r>
      <w:r w:rsidRPr="00377F8D">
        <w:rPr>
          <w:rFonts w:ascii="Baskerville Old Face" w:hAnsi="Baskerville Old Face" w:cs="Times New Roman"/>
          <w:b/>
          <w:bCs/>
          <w:i/>
          <w:iCs/>
          <w:sz w:val="24"/>
          <w:szCs w:val="24"/>
        </w:rPr>
        <w:t>: Staff Recruitment</w:t>
      </w:r>
      <w:r>
        <w:rPr>
          <w:rFonts w:ascii="Baskerville Old Face" w:hAnsi="Baskerville Old Face" w:cs="Times New Roman"/>
          <w:b/>
          <w:bCs/>
          <w:i/>
          <w:iCs/>
          <w:sz w:val="24"/>
          <w:szCs w:val="24"/>
        </w:rPr>
        <w:t>, Confirmation</w:t>
      </w:r>
      <w:r w:rsidRPr="00377F8D">
        <w:rPr>
          <w:rFonts w:ascii="Baskerville Old Face" w:hAnsi="Baskerville Old Face" w:cs="Times New Roman"/>
          <w:b/>
          <w:bCs/>
          <w:i/>
          <w:iCs/>
          <w:sz w:val="24"/>
          <w:szCs w:val="24"/>
        </w:rPr>
        <w:t xml:space="preserve"> and </w:t>
      </w:r>
      <w:r>
        <w:rPr>
          <w:rFonts w:ascii="Baskerville Old Face" w:hAnsi="Baskerville Old Face" w:cs="Times New Roman"/>
          <w:b/>
          <w:bCs/>
          <w:i/>
          <w:iCs/>
          <w:sz w:val="24"/>
          <w:szCs w:val="24"/>
        </w:rPr>
        <w:t>Promotion</w:t>
      </w:r>
      <w:r w:rsidRPr="00377F8D">
        <w:rPr>
          <w:rFonts w:ascii="Baskerville Old Face" w:hAnsi="Baskerville Old Face" w:cs="Times New Roman"/>
          <w:b/>
          <w:bCs/>
          <w:i/>
          <w:iCs/>
          <w:sz w:val="24"/>
          <w:szCs w:val="24"/>
        </w:rPr>
        <w:t>, 202</w:t>
      </w:r>
      <w:r>
        <w:rPr>
          <w:rFonts w:ascii="Baskerville Old Face" w:hAnsi="Baskerville Old Face" w:cs="Times New Roman"/>
          <w:b/>
          <w:bCs/>
          <w:i/>
          <w:iCs/>
          <w:sz w:val="24"/>
          <w:szCs w:val="24"/>
        </w:rPr>
        <w:t>3</w:t>
      </w:r>
    </w:p>
    <w:tbl>
      <w:tblPr>
        <w:tblStyle w:val="GridTable4-Accent6"/>
        <w:tblW w:w="6920" w:type="dxa"/>
        <w:tblLook w:val="04A0" w:firstRow="1" w:lastRow="0" w:firstColumn="1" w:lastColumn="0" w:noHBand="0" w:noVBand="1"/>
      </w:tblPr>
      <w:tblGrid>
        <w:gridCol w:w="2240"/>
        <w:gridCol w:w="1440"/>
        <w:gridCol w:w="1420"/>
        <w:gridCol w:w="1820"/>
      </w:tblGrid>
      <w:tr w:rsidR="00D7283B" w:rsidRPr="00D7283B" w14:paraId="3CB30B9C" w14:textId="77777777" w:rsidTr="00D7283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bookmarkEnd w:id="38"/>
          <w:p w14:paraId="15A07E5F" w14:textId="2776EE47" w:rsidR="00D7283B" w:rsidRPr="00EC2155" w:rsidRDefault="00D7283B" w:rsidP="00D7283B">
            <w:pPr>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lang w:val="en-GB"/>
                <w14:ligatures w14:val="none"/>
              </w:rPr>
              <w:t>Department</w:t>
            </w:r>
          </w:p>
        </w:tc>
        <w:tc>
          <w:tcPr>
            <w:tcW w:w="1440" w:type="dxa"/>
            <w:hideMark/>
          </w:tcPr>
          <w:p w14:paraId="491CCB6B" w14:textId="77777777" w:rsidR="00D7283B" w:rsidRPr="00EC2155" w:rsidRDefault="00D7283B" w:rsidP="00D7283B">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14:ligatures w14:val="none"/>
              </w:rPr>
              <w:t>Recruitment</w:t>
            </w:r>
          </w:p>
        </w:tc>
        <w:tc>
          <w:tcPr>
            <w:tcW w:w="1420" w:type="dxa"/>
            <w:noWrap/>
            <w:hideMark/>
          </w:tcPr>
          <w:p w14:paraId="70B49798" w14:textId="77777777" w:rsidR="00D7283B" w:rsidRPr="00EC2155" w:rsidRDefault="00D7283B" w:rsidP="00D7283B">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14:ligatures w14:val="none"/>
              </w:rPr>
              <w:t xml:space="preserve">Promotion </w:t>
            </w:r>
          </w:p>
        </w:tc>
        <w:tc>
          <w:tcPr>
            <w:tcW w:w="1820" w:type="dxa"/>
            <w:noWrap/>
            <w:hideMark/>
          </w:tcPr>
          <w:p w14:paraId="5B28863F" w14:textId="77777777" w:rsidR="00D7283B" w:rsidRPr="00EC2155" w:rsidRDefault="00D7283B" w:rsidP="00D7283B">
            <w:pP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auto"/>
                <w:kern w:val="0"/>
                <w14:ligatures w14:val="none"/>
              </w:rPr>
            </w:pPr>
            <w:r w:rsidRPr="00EC2155">
              <w:rPr>
                <w:rFonts w:ascii="Baskerville Old Face" w:eastAsia="Times New Roman" w:hAnsi="Baskerville Old Face" w:cs="Calibri"/>
                <w:color w:val="auto"/>
                <w:kern w:val="0"/>
                <w14:ligatures w14:val="none"/>
              </w:rPr>
              <w:t xml:space="preserve">Confirmation </w:t>
            </w:r>
          </w:p>
        </w:tc>
      </w:tr>
      <w:tr w:rsidR="00D7283B" w:rsidRPr="00D7283B" w14:paraId="0ACAADA0"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3BD128A7"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CG’s OFFICE</w:t>
            </w:r>
          </w:p>
        </w:tc>
        <w:tc>
          <w:tcPr>
            <w:tcW w:w="1440" w:type="dxa"/>
            <w:hideMark/>
          </w:tcPr>
          <w:p w14:paraId="6211655C" w14:textId="6CFE9460"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8</w:t>
            </w:r>
          </w:p>
        </w:tc>
        <w:tc>
          <w:tcPr>
            <w:tcW w:w="1420" w:type="dxa"/>
            <w:noWrap/>
            <w:hideMark/>
          </w:tcPr>
          <w:p w14:paraId="506A5A54" w14:textId="78313821"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2</w:t>
            </w:r>
          </w:p>
        </w:tc>
        <w:tc>
          <w:tcPr>
            <w:tcW w:w="1820" w:type="dxa"/>
            <w:noWrap/>
            <w:hideMark/>
          </w:tcPr>
          <w:p w14:paraId="1B18358A" w14:textId="17374EEA"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5F1F7AAC"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1C739956"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RIID</w:t>
            </w:r>
          </w:p>
        </w:tc>
        <w:tc>
          <w:tcPr>
            <w:tcW w:w="1440" w:type="dxa"/>
            <w:hideMark/>
          </w:tcPr>
          <w:p w14:paraId="19CE334A" w14:textId="535D3B2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w:t>
            </w:r>
          </w:p>
        </w:tc>
        <w:tc>
          <w:tcPr>
            <w:tcW w:w="1420" w:type="dxa"/>
            <w:noWrap/>
            <w:hideMark/>
          </w:tcPr>
          <w:p w14:paraId="16925675" w14:textId="27AFAC2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3</w:t>
            </w:r>
          </w:p>
        </w:tc>
        <w:tc>
          <w:tcPr>
            <w:tcW w:w="1820" w:type="dxa"/>
            <w:noWrap/>
            <w:hideMark/>
          </w:tcPr>
          <w:p w14:paraId="070B7F4E" w14:textId="7F579293"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r>
      <w:tr w:rsidR="00D7283B" w:rsidRPr="00D7283B" w14:paraId="35362CBA"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55B2002F"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HRD</w:t>
            </w:r>
          </w:p>
        </w:tc>
        <w:tc>
          <w:tcPr>
            <w:tcW w:w="1440" w:type="dxa"/>
            <w:hideMark/>
          </w:tcPr>
          <w:p w14:paraId="28BDF3E7" w14:textId="3BEBC830"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5</w:t>
            </w:r>
          </w:p>
        </w:tc>
        <w:tc>
          <w:tcPr>
            <w:tcW w:w="1420" w:type="dxa"/>
            <w:noWrap/>
            <w:hideMark/>
          </w:tcPr>
          <w:p w14:paraId="1A429CD1" w14:textId="436489F9"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c>
          <w:tcPr>
            <w:tcW w:w="1820" w:type="dxa"/>
            <w:noWrap/>
            <w:hideMark/>
          </w:tcPr>
          <w:p w14:paraId="0886C4BD" w14:textId="467D00FB"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r>
      <w:tr w:rsidR="00D7283B" w:rsidRPr="00D7283B" w14:paraId="17178717"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A5E9988"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STAFF WELFARE</w:t>
            </w:r>
          </w:p>
        </w:tc>
        <w:tc>
          <w:tcPr>
            <w:tcW w:w="1440" w:type="dxa"/>
            <w:hideMark/>
          </w:tcPr>
          <w:p w14:paraId="1A34FEEE" w14:textId="1E1A885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7E24A223" w14:textId="18CB5FA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5E6D02F6" w14:textId="2B23445A"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5F2369A4"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CA62A29"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ADMIN</w:t>
            </w:r>
          </w:p>
        </w:tc>
        <w:tc>
          <w:tcPr>
            <w:tcW w:w="1440" w:type="dxa"/>
            <w:hideMark/>
          </w:tcPr>
          <w:p w14:paraId="0DAC5890" w14:textId="7EC2CDCD"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29</w:t>
            </w:r>
          </w:p>
        </w:tc>
        <w:tc>
          <w:tcPr>
            <w:tcW w:w="1420" w:type="dxa"/>
            <w:noWrap/>
            <w:hideMark/>
          </w:tcPr>
          <w:p w14:paraId="27CE54EB" w14:textId="4409127C"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4</w:t>
            </w:r>
          </w:p>
        </w:tc>
        <w:tc>
          <w:tcPr>
            <w:tcW w:w="1820" w:type="dxa"/>
            <w:noWrap/>
            <w:hideMark/>
          </w:tcPr>
          <w:p w14:paraId="319C9596" w14:textId="2DD2318F"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5</w:t>
            </w:r>
          </w:p>
        </w:tc>
      </w:tr>
      <w:tr w:rsidR="00D7283B" w:rsidRPr="00D7283B" w14:paraId="2015A52F"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6C98A3B9"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CSD</w:t>
            </w:r>
          </w:p>
        </w:tc>
        <w:tc>
          <w:tcPr>
            <w:tcW w:w="1440" w:type="dxa"/>
            <w:hideMark/>
          </w:tcPr>
          <w:p w14:paraId="36CDE6AB" w14:textId="400BACD8"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11</w:t>
            </w:r>
          </w:p>
        </w:tc>
        <w:tc>
          <w:tcPr>
            <w:tcW w:w="1420" w:type="dxa"/>
            <w:noWrap/>
            <w:hideMark/>
          </w:tcPr>
          <w:p w14:paraId="14170EB5" w14:textId="6DFBB559"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27</w:t>
            </w:r>
          </w:p>
        </w:tc>
        <w:tc>
          <w:tcPr>
            <w:tcW w:w="1820" w:type="dxa"/>
            <w:noWrap/>
            <w:hideMark/>
          </w:tcPr>
          <w:p w14:paraId="539BEE66" w14:textId="15F53D50"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17</w:t>
            </w:r>
          </w:p>
        </w:tc>
      </w:tr>
      <w:tr w:rsidR="00D7283B" w:rsidRPr="00D7283B" w14:paraId="4E11F38E"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96EC5A7"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NTR</w:t>
            </w:r>
          </w:p>
        </w:tc>
        <w:tc>
          <w:tcPr>
            <w:tcW w:w="1440" w:type="dxa"/>
            <w:hideMark/>
          </w:tcPr>
          <w:p w14:paraId="29A17FBF" w14:textId="6E8CB53F"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w:t>
            </w:r>
          </w:p>
        </w:tc>
        <w:tc>
          <w:tcPr>
            <w:tcW w:w="1420" w:type="dxa"/>
            <w:noWrap/>
            <w:hideMark/>
          </w:tcPr>
          <w:p w14:paraId="33AE8167" w14:textId="7ED67C95"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2</w:t>
            </w:r>
          </w:p>
        </w:tc>
        <w:tc>
          <w:tcPr>
            <w:tcW w:w="1820" w:type="dxa"/>
            <w:noWrap/>
            <w:hideMark/>
          </w:tcPr>
          <w:p w14:paraId="48A71D0A" w14:textId="2A828162"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w:t>
            </w:r>
          </w:p>
        </w:tc>
      </w:tr>
      <w:tr w:rsidR="00D7283B" w:rsidRPr="00D7283B" w14:paraId="688D11B1"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21B97025"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F &amp; B</w:t>
            </w:r>
          </w:p>
        </w:tc>
        <w:tc>
          <w:tcPr>
            <w:tcW w:w="1440" w:type="dxa"/>
            <w:hideMark/>
          </w:tcPr>
          <w:p w14:paraId="621001F2" w14:textId="7F0F9DE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w:t>
            </w:r>
          </w:p>
        </w:tc>
        <w:tc>
          <w:tcPr>
            <w:tcW w:w="1420" w:type="dxa"/>
            <w:noWrap/>
            <w:hideMark/>
          </w:tcPr>
          <w:p w14:paraId="1B279E32" w14:textId="17E109BF"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4</w:t>
            </w:r>
          </w:p>
        </w:tc>
        <w:tc>
          <w:tcPr>
            <w:tcW w:w="1820" w:type="dxa"/>
            <w:noWrap/>
            <w:hideMark/>
          </w:tcPr>
          <w:p w14:paraId="59ECB29D" w14:textId="36EB1CD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3</w:t>
            </w:r>
          </w:p>
        </w:tc>
      </w:tr>
      <w:tr w:rsidR="00D7283B" w:rsidRPr="00D7283B" w14:paraId="3C854EDE"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06EC9948"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MRP</w:t>
            </w:r>
          </w:p>
        </w:tc>
        <w:tc>
          <w:tcPr>
            <w:tcW w:w="1440" w:type="dxa"/>
            <w:hideMark/>
          </w:tcPr>
          <w:p w14:paraId="3DC11ACD" w14:textId="5FB50104"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342DF46E" w14:textId="77853546"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3</w:t>
            </w:r>
          </w:p>
        </w:tc>
        <w:tc>
          <w:tcPr>
            <w:tcW w:w="1820" w:type="dxa"/>
            <w:noWrap/>
            <w:hideMark/>
          </w:tcPr>
          <w:p w14:paraId="6206DE26" w14:textId="267DC66F"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2415C404"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612F662D"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ICT</w:t>
            </w:r>
          </w:p>
        </w:tc>
        <w:tc>
          <w:tcPr>
            <w:tcW w:w="1440" w:type="dxa"/>
            <w:hideMark/>
          </w:tcPr>
          <w:p w14:paraId="726FA9C8" w14:textId="1ED87035"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2</w:t>
            </w:r>
          </w:p>
        </w:tc>
        <w:tc>
          <w:tcPr>
            <w:tcW w:w="1420" w:type="dxa"/>
            <w:noWrap/>
            <w:hideMark/>
          </w:tcPr>
          <w:p w14:paraId="40D14AE7" w14:textId="1424C12B"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9</w:t>
            </w:r>
          </w:p>
        </w:tc>
        <w:tc>
          <w:tcPr>
            <w:tcW w:w="1820" w:type="dxa"/>
            <w:noWrap/>
            <w:hideMark/>
          </w:tcPr>
          <w:p w14:paraId="38335377" w14:textId="3E5C6268"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12</w:t>
            </w:r>
          </w:p>
        </w:tc>
      </w:tr>
      <w:tr w:rsidR="00D7283B" w:rsidRPr="00D7283B" w14:paraId="38BF5F38"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720D8160"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ICA</w:t>
            </w:r>
          </w:p>
        </w:tc>
        <w:tc>
          <w:tcPr>
            <w:tcW w:w="1440" w:type="dxa"/>
            <w:hideMark/>
          </w:tcPr>
          <w:p w14:paraId="0B293B5C" w14:textId="72CDCD59"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47D6F916" w14:textId="635A0D08"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1D1E9178" w14:textId="38CB7A5B"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752463BC"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20B4AAC8"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L&amp;CA</w:t>
            </w:r>
          </w:p>
        </w:tc>
        <w:tc>
          <w:tcPr>
            <w:tcW w:w="1440" w:type="dxa"/>
            <w:hideMark/>
          </w:tcPr>
          <w:p w14:paraId="4E08806A" w14:textId="39197E95"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37334078" w14:textId="558C66FA"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lang w:val="en-GB"/>
                <w14:ligatures w14:val="none"/>
              </w:rPr>
              <w:t>5</w:t>
            </w:r>
          </w:p>
        </w:tc>
        <w:tc>
          <w:tcPr>
            <w:tcW w:w="1820" w:type="dxa"/>
            <w:noWrap/>
            <w:hideMark/>
          </w:tcPr>
          <w:p w14:paraId="443D0CE4" w14:textId="613906AB"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41EE0EAE"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10132C7E"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BOARD SECRETARIAT</w:t>
            </w:r>
          </w:p>
        </w:tc>
        <w:tc>
          <w:tcPr>
            <w:tcW w:w="1440" w:type="dxa"/>
            <w:hideMark/>
          </w:tcPr>
          <w:p w14:paraId="4A9EA7BA" w14:textId="1943C3CC"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w:t>
            </w:r>
          </w:p>
        </w:tc>
        <w:tc>
          <w:tcPr>
            <w:tcW w:w="1420" w:type="dxa"/>
            <w:noWrap/>
            <w:hideMark/>
          </w:tcPr>
          <w:p w14:paraId="43956F20" w14:textId="43359648"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56D4EF52" w14:textId="32E60FA8"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726F6905" w14:textId="77777777" w:rsidTr="00D7283B">
        <w:trPr>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64B606A5"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MODERNIZATION</w:t>
            </w:r>
          </w:p>
        </w:tc>
        <w:tc>
          <w:tcPr>
            <w:tcW w:w="1440" w:type="dxa"/>
            <w:hideMark/>
          </w:tcPr>
          <w:p w14:paraId="3629D530" w14:textId="1B35CD1A"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w:t>
            </w:r>
          </w:p>
        </w:tc>
        <w:tc>
          <w:tcPr>
            <w:tcW w:w="1420" w:type="dxa"/>
            <w:noWrap/>
            <w:hideMark/>
          </w:tcPr>
          <w:p w14:paraId="7DE465D4" w14:textId="73BF69F7"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3E237C96" w14:textId="7226245C"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7CEB8152" w14:textId="77777777" w:rsidTr="00D7283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40" w:type="dxa"/>
            <w:hideMark/>
          </w:tcPr>
          <w:p w14:paraId="371CDF8D" w14:textId="77777777" w:rsidR="00D7283B" w:rsidRPr="00EC2155" w:rsidRDefault="00D7283B" w:rsidP="00D7283B">
            <w:pPr>
              <w:rPr>
                <w:rFonts w:ascii="Baskerville Old Face" w:eastAsia="Times New Roman" w:hAnsi="Baskerville Old Face" w:cs="Calibri"/>
                <w:b w:val="0"/>
                <w:bCs w:val="0"/>
                <w:kern w:val="0"/>
                <w:sz w:val="20"/>
                <w:szCs w:val="20"/>
                <w14:ligatures w14:val="none"/>
              </w:rPr>
            </w:pPr>
            <w:r w:rsidRPr="00EC2155">
              <w:rPr>
                <w:rFonts w:ascii="Baskerville Old Face" w:eastAsia="Times New Roman" w:hAnsi="Baskerville Old Face" w:cs="Calibri"/>
                <w:b w:val="0"/>
                <w:bCs w:val="0"/>
                <w:kern w:val="0"/>
                <w:sz w:val="20"/>
                <w:szCs w:val="20"/>
                <w:lang w:val="en-GB"/>
                <w14:ligatures w14:val="none"/>
              </w:rPr>
              <w:t>DTD</w:t>
            </w:r>
          </w:p>
        </w:tc>
        <w:tc>
          <w:tcPr>
            <w:tcW w:w="1440" w:type="dxa"/>
            <w:hideMark/>
          </w:tcPr>
          <w:p w14:paraId="69B8EC14" w14:textId="1250340B"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sz w:val="20"/>
                <w:szCs w:val="20"/>
                <w14:ligatures w14:val="none"/>
              </w:rPr>
            </w:pPr>
            <w:r w:rsidRPr="00796259">
              <w:rPr>
                <w:rFonts w:ascii="Baskerville Old Face" w:eastAsia="Times New Roman" w:hAnsi="Baskerville Old Face" w:cs="Calibri"/>
                <w:kern w:val="0"/>
                <w:sz w:val="20"/>
                <w:szCs w:val="20"/>
                <w:lang w:val="en-GB"/>
                <w14:ligatures w14:val="none"/>
              </w:rPr>
              <w:t>10</w:t>
            </w:r>
          </w:p>
        </w:tc>
        <w:tc>
          <w:tcPr>
            <w:tcW w:w="1420" w:type="dxa"/>
            <w:noWrap/>
            <w:hideMark/>
          </w:tcPr>
          <w:p w14:paraId="76459C85" w14:textId="775A94EC"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c>
          <w:tcPr>
            <w:tcW w:w="1820" w:type="dxa"/>
            <w:noWrap/>
            <w:hideMark/>
          </w:tcPr>
          <w:p w14:paraId="679291AD" w14:textId="2B012537" w:rsidR="00D7283B" w:rsidRPr="00796259" w:rsidRDefault="00D7283B" w:rsidP="00D7283B">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Calibri"/>
                <w:kern w:val="0"/>
                <w14:ligatures w14:val="none"/>
              </w:rPr>
            </w:pPr>
            <w:r w:rsidRPr="00796259">
              <w:rPr>
                <w:rFonts w:ascii="Baskerville Old Face" w:eastAsia="Times New Roman" w:hAnsi="Baskerville Old Face" w:cs="Calibri"/>
                <w:kern w:val="0"/>
                <w14:ligatures w14:val="none"/>
              </w:rPr>
              <w:t>-</w:t>
            </w:r>
          </w:p>
        </w:tc>
      </w:tr>
      <w:tr w:rsidR="00D7283B" w:rsidRPr="00D7283B" w14:paraId="24E549CF" w14:textId="77777777" w:rsidTr="00D7283B">
        <w:trPr>
          <w:trHeight w:val="300"/>
        </w:trPr>
        <w:tc>
          <w:tcPr>
            <w:cnfStyle w:val="001000000000" w:firstRow="0" w:lastRow="0" w:firstColumn="1" w:lastColumn="0" w:oddVBand="0" w:evenVBand="0" w:oddHBand="0" w:evenHBand="0" w:firstRowFirstColumn="0" w:firstRowLastColumn="0" w:lastRowFirstColumn="0" w:lastRowLastColumn="0"/>
            <w:tcW w:w="2240" w:type="dxa"/>
            <w:hideMark/>
          </w:tcPr>
          <w:p w14:paraId="71CD2112" w14:textId="77777777" w:rsidR="00D7283B" w:rsidRPr="00D7283B" w:rsidRDefault="00D7283B" w:rsidP="00D7283B">
            <w:pPr>
              <w:rPr>
                <w:rFonts w:ascii="Baskerville Old Face" w:eastAsia="Times New Roman" w:hAnsi="Baskerville Old Face" w:cs="Calibri"/>
                <w:color w:val="002060"/>
                <w:kern w:val="0"/>
                <w:sz w:val="20"/>
                <w:szCs w:val="20"/>
                <w14:ligatures w14:val="none"/>
              </w:rPr>
            </w:pPr>
            <w:r w:rsidRPr="00D7283B">
              <w:rPr>
                <w:rFonts w:ascii="Baskerville Old Face" w:eastAsia="Times New Roman" w:hAnsi="Baskerville Old Face" w:cs="Calibri"/>
                <w:color w:val="002060"/>
                <w:kern w:val="0"/>
                <w:sz w:val="20"/>
                <w:szCs w:val="20"/>
                <w:lang w:val="en-GB"/>
                <w14:ligatures w14:val="none"/>
              </w:rPr>
              <w:t>TOTAL</w:t>
            </w:r>
          </w:p>
        </w:tc>
        <w:tc>
          <w:tcPr>
            <w:tcW w:w="1440" w:type="dxa"/>
            <w:hideMark/>
          </w:tcPr>
          <w:p w14:paraId="657A9A29" w14:textId="474EF64D"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kern w:val="0"/>
                <w:sz w:val="20"/>
                <w:szCs w:val="20"/>
                <w14:ligatures w14:val="none"/>
              </w:rPr>
            </w:pPr>
            <w:r w:rsidRPr="00796259">
              <w:rPr>
                <w:rFonts w:ascii="Baskerville Old Face" w:eastAsia="Times New Roman" w:hAnsi="Baskerville Old Face" w:cs="Calibri"/>
                <w:b/>
                <w:bCs/>
                <w:kern w:val="0"/>
                <w:sz w:val="20"/>
                <w:szCs w:val="20"/>
                <w:lang w:val="en-GB"/>
                <w14:ligatures w14:val="none"/>
              </w:rPr>
              <w:t>71</w:t>
            </w:r>
          </w:p>
        </w:tc>
        <w:tc>
          <w:tcPr>
            <w:tcW w:w="1420" w:type="dxa"/>
            <w:hideMark/>
          </w:tcPr>
          <w:p w14:paraId="2B790305" w14:textId="6556EEB9"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kern w:val="0"/>
                <w:sz w:val="20"/>
                <w:szCs w:val="20"/>
                <w14:ligatures w14:val="none"/>
              </w:rPr>
            </w:pPr>
            <w:r w:rsidRPr="00796259">
              <w:rPr>
                <w:rFonts w:ascii="Baskerville Old Face" w:eastAsia="Times New Roman" w:hAnsi="Baskerville Old Face" w:cs="Calibri"/>
                <w:b/>
                <w:bCs/>
                <w:kern w:val="0"/>
                <w:sz w:val="20"/>
                <w:szCs w:val="20"/>
                <w14:ligatures w14:val="none"/>
              </w:rPr>
              <w:t>60</w:t>
            </w:r>
          </w:p>
        </w:tc>
        <w:tc>
          <w:tcPr>
            <w:tcW w:w="1820" w:type="dxa"/>
            <w:hideMark/>
          </w:tcPr>
          <w:p w14:paraId="5C758E69" w14:textId="520A66B5" w:rsidR="00D7283B" w:rsidRPr="00796259" w:rsidRDefault="00D7283B" w:rsidP="00D7283B">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kern w:val="0"/>
                <w:sz w:val="20"/>
                <w:szCs w:val="20"/>
                <w14:ligatures w14:val="none"/>
              </w:rPr>
            </w:pPr>
            <w:r w:rsidRPr="00796259">
              <w:rPr>
                <w:rFonts w:ascii="Baskerville Old Face" w:eastAsia="Times New Roman" w:hAnsi="Baskerville Old Face" w:cs="Calibri"/>
                <w:b/>
                <w:bCs/>
                <w:kern w:val="0"/>
                <w:sz w:val="20"/>
                <w:szCs w:val="20"/>
                <w14:ligatures w14:val="none"/>
              </w:rPr>
              <w:t>40</w:t>
            </w:r>
          </w:p>
        </w:tc>
      </w:tr>
    </w:tbl>
    <w:p w14:paraId="4F33618C" w14:textId="5764C7C2" w:rsidR="00D7283B" w:rsidRPr="00D7283B" w:rsidRDefault="00446C14" w:rsidP="00D7283B">
      <w:pPr>
        <w:spacing w:line="360" w:lineRule="auto"/>
        <w:jc w:val="both"/>
        <w:rPr>
          <w:rFonts w:ascii="Baskerville Old Face" w:hAnsi="Baskerville Old Face" w:cs="Times New Roman"/>
          <w:sz w:val="24"/>
          <w:szCs w:val="24"/>
        </w:rPr>
      </w:pPr>
      <w:r w:rsidRPr="00BC7192">
        <w:rPr>
          <w:rFonts w:ascii="Baskerville Old Face" w:hAnsi="Baskerville Old Face" w:cs="Times New Roman"/>
          <w:i/>
          <w:iCs/>
          <w:sz w:val="18"/>
          <w:szCs w:val="18"/>
        </w:rPr>
        <w:t>Source: HRD</w:t>
      </w:r>
    </w:p>
    <w:p w14:paraId="1017CE86" w14:textId="77777777" w:rsidR="00E35BAA" w:rsidRDefault="00E35BAA" w:rsidP="008C5C22">
      <w:pPr>
        <w:pStyle w:val="Heading3"/>
      </w:pPr>
      <w:bookmarkStart w:id="39" w:name="_Toc198205677"/>
      <w:r w:rsidRPr="00E35BAA">
        <w:t>Staff Capacity Development Initiatives</w:t>
      </w:r>
      <w:bookmarkEnd w:id="39"/>
      <w:r w:rsidRPr="00E35BAA">
        <w:t xml:space="preserve"> </w:t>
      </w:r>
    </w:p>
    <w:p w14:paraId="07C1310B" w14:textId="0ED401FB" w:rsidR="002112F3" w:rsidRDefault="00DA5912" w:rsidP="00C77C72">
      <w:pPr>
        <w:spacing w:line="360" w:lineRule="auto"/>
        <w:jc w:val="both"/>
        <w:rPr>
          <w:rFonts w:ascii="Baskerville Old Face" w:hAnsi="Baskerville Old Face" w:cs="Times New Roman"/>
          <w:sz w:val="24"/>
          <w:szCs w:val="24"/>
        </w:rPr>
      </w:pPr>
      <w:r w:rsidRPr="00DA5912">
        <w:rPr>
          <w:rFonts w:ascii="Baskerville Old Face" w:hAnsi="Baskerville Old Face" w:cs="Times New Roman"/>
          <w:sz w:val="24"/>
          <w:szCs w:val="24"/>
        </w:rPr>
        <w:t xml:space="preserve">The NRA is committed to fostering opportunities for the professional growth of its workforce, with a focus on attracting and retaining highly qualified individuals. In pursuit of this objective, </w:t>
      </w:r>
      <w:r w:rsidR="009C2F81" w:rsidRPr="009C2F81">
        <w:rPr>
          <w:rFonts w:ascii="Baskerville Old Face" w:hAnsi="Baskerville Old Face" w:cs="Times New Roman"/>
          <w:sz w:val="24"/>
          <w:szCs w:val="24"/>
        </w:rPr>
        <w:t xml:space="preserve">the </w:t>
      </w:r>
      <w:r w:rsidR="00B84102">
        <w:rPr>
          <w:rFonts w:ascii="Baskerville Old Face" w:hAnsi="Baskerville Old Face" w:cs="Times New Roman"/>
          <w:sz w:val="24"/>
          <w:szCs w:val="24"/>
        </w:rPr>
        <w:t>HR</w:t>
      </w:r>
      <w:r w:rsidR="009C2F81">
        <w:rPr>
          <w:rFonts w:ascii="Baskerville Old Face" w:hAnsi="Baskerville Old Face" w:cs="Times New Roman"/>
          <w:sz w:val="24"/>
          <w:szCs w:val="24"/>
        </w:rPr>
        <w:t xml:space="preserve"> D</w:t>
      </w:r>
      <w:r w:rsidR="009C2F81" w:rsidRPr="009C2F81">
        <w:rPr>
          <w:rFonts w:ascii="Baskerville Old Face" w:hAnsi="Baskerville Old Face" w:cs="Times New Roman"/>
          <w:sz w:val="24"/>
          <w:szCs w:val="24"/>
        </w:rPr>
        <w:t>epartment facilitated sixteen (16) internal and six (6) external training</w:t>
      </w:r>
      <w:r w:rsidR="009C2F81">
        <w:rPr>
          <w:rFonts w:ascii="Baskerville Old Face" w:hAnsi="Baskerville Old Face" w:cs="Times New Roman"/>
          <w:sz w:val="24"/>
          <w:szCs w:val="24"/>
        </w:rPr>
        <w:t xml:space="preserve"> programmes</w:t>
      </w:r>
      <w:r w:rsidR="009C2F81" w:rsidRPr="009C2F81">
        <w:rPr>
          <w:rFonts w:ascii="Baskerville Old Face" w:hAnsi="Baskerville Old Face" w:cs="Times New Roman"/>
          <w:sz w:val="24"/>
          <w:szCs w:val="24"/>
        </w:rPr>
        <w:t xml:space="preserve"> </w:t>
      </w:r>
      <w:r w:rsidR="009C2F81">
        <w:rPr>
          <w:rFonts w:ascii="Baskerville Old Face" w:hAnsi="Baskerville Old Face" w:cs="Times New Roman"/>
          <w:sz w:val="24"/>
          <w:szCs w:val="24"/>
        </w:rPr>
        <w:t xml:space="preserve">for </w:t>
      </w:r>
      <w:r w:rsidRPr="00DA5912">
        <w:rPr>
          <w:rFonts w:ascii="Baskerville Old Face" w:hAnsi="Baskerville Old Face" w:cs="Times New Roman"/>
          <w:sz w:val="24"/>
          <w:szCs w:val="24"/>
        </w:rPr>
        <w:t xml:space="preserve">a total of 369 staff members. It is noteworthy </w:t>
      </w:r>
      <w:r w:rsidR="00B84102">
        <w:rPr>
          <w:rFonts w:ascii="Baskerville Old Face" w:hAnsi="Baskerville Old Face" w:cs="Times New Roman"/>
          <w:sz w:val="24"/>
          <w:szCs w:val="24"/>
        </w:rPr>
        <w:t xml:space="preserve">that </w:t>
      </w:r>
      <w:r w:rsidRPr="00DA5912">
        <w:rPr>
          <w:rFonts w:ascii="Baskerville Old Face" w:hAnsi="Baskerville Old Face" w:cs="Times New Roman"/>
          <w:sz w:val="24"/>
          <w:szCs w:val="24"/>
        </w:rPr>
        <w:t>th</w:t>
      </w:r>
      <w:r w:rsidR="0033646F">
        <w:rPr>
          <w:rFonts w:ascii="Baskerville Old Face" w:hAnsi="Baskerville Old Face" w:cs="Times New Roman"/>
          <w:sz w:val="24"/>
          <w:szCs w:val="24"/>
        </w:rPr>
        <w:t xml:space="preserve">e total number of </w:t>
      </w:r>
      <w:r w:rsidR="008D1394">
        <w:rPr>
          <w:rFonts w:ascii="Baskerville Old Face" w:hAnsi="Baskerville Old Face" w:cs="Times New Roman"/>
          <w:sz w:val="24"/>
          <w:szCs w:val="24"/>
        </w:rPr>
        <w:t>participants</w:t>
      </w:r>
      <w:r w:rsidRPr="00DA5912">
        <w:rPr>
          <w:rFonts w:ascii="Baskerville Old Face" w:hAnsi="Baskerville Old Face" w:cs="Times New Roman"/>
          <w:sz w:val="24"/>
          <w:szCs w:val="24"/>
        </w:rPr>
        <w:t xml:space="preserve"> includes individuals who benefited from multiple training courses throughout the year. Among the 369 participants, 231 (62.6%) were male, and 138 (37.4%) were female, reflecting a gender-diverse approach to capacity building. Moreover, of the total </w:t>
      </w:r>
      <w:proofErr w:type="gramStart"/>
      <w:r w:rsidRPr="00DA5912">
        <w:rPr>
          <w:rFonts w:ascii="Baskerville Old Face" w:hAnsi="Baskerville Old Face" w:cs="Times New Roman"/>
          <w:sz w:val="24"/>
          <w:szCs w:val="24"/>
        </w:rPr>
        <w:t>participants</w:t>
      </w:r>
      <w:proofErr w:type="gramEnd"/>
      <w:r w:rsidRPr="00DA5912">
        <w:rPr>
          <w:rFonts w:ascii="Baskerville Old Face" w:hAnsi="Baskerville Old Face" w:cs="Times New Roman"/>
          <w:sz w:val="24"/>
          <w:szCs w:val="24"/>
        </w:rPr>
        <w:t xml:space="preserve">, 357 underwent internal or local training initiatives, while 12 benefitted from external training opportunities, underscoring the Authority's commitment to both in-house </w:t>
      </w:r>
      <w:r>
        <w:rPr>
          <w:rFonts w:ascii="Baskerville Old Face" w:hAnsi="Baskerville Old Face" w:cs="Times New Roman"/>
          <w:sz w:val="24"/>
          <w:szCs w:val="24"/>
        </w:rPr>
        <w:t xml:space="preserve">and </w:t>
      </w:r>
      <w:r w:rsidRPr="00DA5912">
        <w:rPr>
          <w:rFonts w:ascii="Baskerville Old Face" w:hAnsi="Baskerville Old Face" w:cs="Times New Roman"/>
          <w:sz w:val="24"/>
          <w:szCs w:val="24"/>
        </w:rPr>
        <w:t>external development for its staff.</w:t>
      </w:r>
    </w:p>
    <w:p w14:paraId="542F2CE6" w14:textId="790175DD" w:rsidR="00786B36" w:rsidRPr="00830089" w:rsidRDefault="00BF334B" w:rsidP="00C77C72">
      <w:pPr>
        <w:spacing w:line="360" w:lineRule="auto"/>
        <w:jc w:val="both"/>
        <w:rPr>
          <w:rFonts w:ascii="Baskerville Old Face" w:hAnsi="Baskerville Old Face" w:cs="Times New Roman"/>
          <w:sz w:val="24"/>
          <w:szCs w:val="24"/>
        </w:rPr>
      </w:pPr>
      <w:r w:rsidRPr="00D55C27">
        <w:rPr>
          <w:rFonts w:ascii="Baskerville Old Face" w:hAnsi="Baskerville Old Face" w:cs="Times New Roman"/>
          <w:sz w:val="24"/>
          <w:szCs w:val="24"/>
        </w:rPr>
        <w:t xml:space="preserve">Table </w:t>
      </w:r>
      <w:r w:rsidR="00D55C27">
        <w:rPr>
          <w:rFonts w:ascii="Baskerville Old Face" w:hAnsi="Baskerville Old Face" w:cs="Times New Roman"/>
          <w:sz w:val="24"/>
          <w:szCs w:val="24"/>
        </w:rPr>
        <w:t>1</w:t>
      </w:r>
      <w:r w:rsidR="00341F25">
        <w:rPr>
          <w:rFonts w:ascii="Baskerville Old Face" w:hAnsi="Baskerville Old Face" w:cs="Times New Roman"/>
          <w:sz w:val="24"/>
          <w:szCs w:val="24"/>
        </w:rPr>
        <w:t>1</w:t>
      </w:r>
      <w:r>
        <w:rPr>
          <w:rFonts w:ascii="Baskerville Old Face" w:hAnsi="Baskerville Old Face" w:cs="Times New Roman"/>
          <w:sz w:val="24"/>
          <w:szCs w:val="24"/>
        </w:rPr>
        <w:t xml:space="preserve"> </w:t>
      </w:r>
      <w:r w:rsidR="00786B36">
        <w:rPr>
          <w:rFonts w:ascii="Baskerville Old Face" w:hAnsi="Baskerville Old Face" w:cs="Times New Roman"/>
          <w:sz w:val="24"/>
          <w:szCs w:val="24"/>
        </w:rPr>
        <w:t xml:space="preserve">shows </w:t>
      </w:r>
      <w:r w:rsidR="00786B36" w:rsidRPr="00786B36">
        <w:rPr>
          <w:rFonts w:ascii="Baskerville Old Face" w:hAnsi="Baskerville Old Face" w:cs="Times New Roman"/>
          <w:sz w:val="24"/>
          <w:szCs w:val="24"/>
        </w:rPr>
        <w:t>a breakdown of training participants by department</w:t>
      </w:r>
      <w:r>
        <w:rPr>
          <w:rFonts w:ascii="Baskerville Old Face" w:hAnsi="Baskerville Old Face" w:cs="Times New Roman"/>
          <w:sz w:val="24"/>
          <w:szCs w:val="24"/>
        </w:rPr>
        <w:t xml:space="preserve">. Of the 369 staff that benefited from the various training programmes, </w:t>
      </w:r>
      <w:proofErr w:type="gramStart"/>
      <w:r>
        <w:rPr>
          <w:rFonts w:ascii="Baskerville Old Face" w:hAnsi="Baskerville Old Face" w:cs="Times New Roman"/>
          <w:sz w:val="24"/>
          <w:szCs w:val="24"/>
        </w:rPr>
        <w:t>the DTD</w:t>
      </w:r>
      <w:proofErr w:type="gramEnd"/>
      <w:r>
        <w:rPr>
          <w:rFonts w:ascii="Baskerville Old Face" w:hAnsi="Baskerville Old Face" w:cs="Times New Roman"/>
          <w:sz w:val="24"/>
          <w:szCs w:val="24"/>
        </w:rPr>
        <w:t xml:space="preserve"> </w:t>
      </w:r>
      <w:r w:rsidR="00786B36">
        <w:rPr>
          <w:rFonts w:ascii="Baskerville Old Face" w:hAnsi="Baskerville Old Face" w:cs="Times New Roman"/>
          <w:sz w:val="24"/>
          <w:szCs w:val="24"/>
        </w:rPr>
        <w:t xml:space="preserve">accounted for the highest number of </w:t>
      </w:r>
      <w:r w:rsidR="00B84102">
        <w:rPr>
          <w:rFonts w:ascii="Baskerville Old Face" w:hAnsi="Baskerville Old Face" w:cs="Times New Roman"/>
          <w:sz w:val="24"/>
          <w:szCs w:val="24"/>
        </w:rPr>
        <w:t>beneficiaries</w:t>
      </w:r>
      <w:r>
        <w:rPr>
          <w:rFonts w:ascii="Baskerville Old Face" w:hAnsi="Baskerville Old Face" w:cs="Times New Roman"/>
          <w:sz w:val="24"/>
          <w:szCs w:val="24"/>
        </w:rPr>
        <w:t xml:space="preserve"> with 113 staff, followed by CSD with 70 staff and then HRD with 30 staff</w:t>
      </w:r>
      <w:r w:rsidR="00786B36">
        <w:rPr>
          <w:rFonts w:ascii="Baskerville Old Face" w:hAnsi="Baskerville Old Face" w:cs="Times New Roman"/>
          <w:sz w:val="24"/>
          <w:szCs w:val="24"/>
        </w:rPr>
        <w:t xml:space="preserve"> members</w:t>
      </w:r>
      <w:r>
        <w:rPr>
          <w:rFonts w:ascii="Baskerville Old Face" w:hAnsi="Baskerville Old Face" w:cs="Times New Roman"/>
          <w:sz w:val="24"/>
          <w:szCs w:val="24"/>
        </w:rPr>
        <w:t xml:space="preserve">. </w:t>
      </w:r>
      <w:r w:rsidR="00786B36" w:rsidRPr="00786B36">
        <w:rPr>
          <w:rFonts w:ascii="Baskerville Old Face" w:hAnsi="Baskerville Old Face" w:cs="Times New Roman"/>
          <w:sz w:val="24"/>
          <w:szCs w:val="24"/>
        </w:rPr>
        <w:t>These figures are reflective of the respective departmental staff sizes</w:t>
      </w:r>
      <w:r w:rsidR="00D13D49">
        <w:rPr>
          <w:rFonts w:ascii="Baskerville Old Face" w:hAnsi="Baskerville Old Face" w:cs="Times New Roman"/>
          <w:sz w:val="24"/>
          <w:szCs w:val="24"/>
        </w:rPr>
        <w:t xml:space="preserve">. </w:t>
      </w:r>
    </w:p>
    <w:p w14:paraId="03880E09" w14:textId="77777777" w:rsidR="00777178" w:rsidRDefault="00777178" w:rsidP="00830089">
      <w:pPr>
        <w:spacing w:line="240" w:lineRule="auto"/>
        <w:jc w:val="both"/>
        <w:rPr>
          <w:rFonts w:ascii="Baskerville Old Face" w:hAnsi="Baskerville Old Face" w:cs="Times New Roman"/>
          <w:b/>
          <w:bCs/>
          <w:i/>
          <w:iCs/>
          <w:sz w:val="24"/>
          <w:szCs w:val="24"/>
        </w:rPr>
      </w:pPr>
    </w:p>
    <w:p w14:paraId="4FF5C69F" w14:textId="77777777" w:rsidR="00AC7B56" w:rsidRDefault="00AC7B56" w:rsidP="00830089">
      <w:pPr>
        <w:spacing w:line="240" w:lineRule="auto"/>
        <w:jc w:val="both"/>
        <w:rPr>
          <w:rFonts w:ascii="Baskerville Old Face" w:hAnsi="Baskerville Old Face" w:cs="Times New Roman"/>
          <w:b/>
          <w:bCs/>
          <w:i/>
          <w:iCs/>
          <w:sz w:val="24"/>
          <w:szCs w:val="24"/>
        </w:rPr>
      </w:pPr>
    </w:p>
    <w:p w14:paraId="480783B6" w14:textId="7A98FAF0" w:rsidR="008D1394" w:rsidRPr="00470493" w:rsidRDefault="008D1394" w:rsidP="00830089">
      <w:pPr>
        <w:spacing w:line="240" w:lineRule="auto"/>
        <w:jc w:val="both"/>
        <w:rPr>
          <w:rFonts w:ascii="Baskerville Old Face" w:hAnsi="Baskerville Old Face" w:cs="Times New Roman"/>
          <w:b/>
          <w:bCs/>
          <w:i/>
          <w:iCs/>
          <w:sz w:val="24"/>
          <w:szCs w:val="24"/>
        </w:rPr>
      </w:pPr>
      <w:bookmarkStart w:id="40" w:name="Table11"/>
      <w:r w:rsidRPr="00D55C27">
        <w:rPr>
          <w:rFonts w:ascii="Baskerville Old Face" w:hAnsi="Baskerville Old Face" w:cs="Times New Roman"/>
          <w:b/>
          <w:bCs/>
          <w:i/>
          <w:iCs/>
          <w:sz w:val="24"/>
          <w:szCs w:val="24"/>
        </w:rPr>
        <w:lastRenderedPageBreak/>
        <w:t xml:space="preserve">Table </w:t>
      </w:r>
      <w:r w:rsidR="00D55C27">
        <w:rPr>
          <w:rFonts w:ascii="Baskerville Old Face" w:hAnsi="Baskerville Old Face" w:cs="Times New Roman"/>
          <w:b/>
          <w:bCs/>
          <w:i/>
          <w:iCs/>
          <w:sz w:val="24"/>
          <w:szCs w:val="24"/>
        </w:rPr>
        <w:t>1</w:t>
      </w:r>
      <w:r w:rsidR="00341F25">
        <w:rPr>
          <w:rFonts w:ascii="Baskerville Old Face" w:hAnsi="Baskerville Old Face" w:cs="Times New Roman"/>
          <w:b/>
          <w:bCs/>
          <w:i/>
          <w:iCs/>
          <w:sz w:val="24"/>
          <w:szCs w:val="24"/>
        </w:rPr>
        <w:t>1</w:t>
      </w:r>
      <w:r w:rsidRPr="008D1394">
        <w:rPr>
          <w:rFonts w:ascii="Baskerville Old Face" w:hAnsi="Baskerville Old Face" w:cs="Times New Roman"/>
          <w:b/>
          <w:bCs/>
          <w:i/>
          <w:iCs/>
          <w:sz w:val="24"/>
          <w:szCs w:val="24"/>
        </w:rPr>
        <w:t>: Number of Training Participants by Department</w:t>
      </w:r>
    </w:p>
    <w:tbl>
      <w:tblPr>
        <w:tblStyle w:val="GridTable6Colorful"/>
        <w:tblW w:w="0" w:type="auto"/>
        <w:tblLook w:val="04A0" w:firstRow="1" w:lastRow="0" w:firstColumn="1" w:lastColumn="0" w:noHBand="0" w:noVBand="1"/>
      </w:tblPr>
      <w:tblGrid>
        <w:gridCol w:w="3226"/>
        <w:gridCol w:w="3069"/>
      </w:tblGrid>
      <w:tr w:rsidR="00BF54BF" w:rsidRPr="00BF54BF" w14:paraId="4A24086C" w14:textId="77777777" w:rsidTr="00446504">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26" w:type="dxa"/>
            <w:hideMark/>
          </w:tcPr>
          <w:bookmarkEnd w:id="40"/>
          <w:p w14:paraId="7B590906" w14:textId="362F3146" w:rsidR="00BF54BF" w:rsidRPr="00470493" w:rsidRDefault="00BF54BF" w:rsidP="00B04928">
            <w:pPr>
              <w:spacing w:line="360" w:lineRule="auto"/>
              <w:jc w:val="center"/>
              <w:rPr>
                <w:rFonts w:ascii="Baskerville Old Face" w:hAnsi="Baskerville Old Face" w:cs="Times New Roman"/>
                <w:sz w:val="24"/>
                <w:szCs w:val="24"/>
              </w:rPr>
            </w:pPr>
            <w:r w:rsidRPr="00470493">
              <w:rPr>
                <w:rFonts w:ascii="Baskerville Old Face" w:hAnsi="Baskerville Old Face" w:cs="Times New Roman"/>
                <w:sz w:val="24"/>
                <w:szCs w:val="24"/>
                <w:lang w:val="en-GB"/>
              </w:rPr>
              <w:t>Department</w:t>
            </w:r>
          </w:p>
        </w:tc>
        <w:tc>
          <w:tcPr>
            <w:tcW w:w="3069" w:type="dxa"/>
            <w:hideMark/>
          </w:tcPr>
          <w:p w14:paraId="21BC26AA" w14:textId="76BB593A" w:rsidR="00BF54BF" w:rsidRPr="00BF54BF" w:rsidRDefault="00BF54BF" w:rsidP="00B04928">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 xml:space="preserve">No. </w:t>
            </w:r>
            <w:r w:rsidR="00446504">
              <w:rPr>
                <w:rFonts w:ascii="Baskerville Old Face" w:hAnsi="Baskerville Old Face" w:cs="Times New Roman"/>
                <w:sz w:val="24"/>
                <w:szCs w:val="24"/>
                <w:lang w:val="en-GB"/>
              </w:rPr>
              <w:t>o</w:t>
            </w:r>
            <w:r w:rsidRPr="00BF54BF">
              <w:rPr>
                <w:rFonts w:ascii="Baskerville Old Face" w:hAnsi="Baskerville Old Face" w:cs="Times New Roman"/>
                <w:sz w:val="24"/>
                <w:szCs w:val="24"/>
                <w:lang w:val="en-GB"/>
              </w:rPr>
              <w:t xml:space="preserve">f </w:t>
            </w:r>
            <w:r w:rsidR="00446504">
              <w:rPr>
                <w:rFonts w:ascii="Baskerville Old Face" w:hAnsi="Baskerville Old Face" w:cs="Times New Roman"/>
                <w:sz w:val="24"/>
                <w:szCs w:val="24"/>
                <w:lang w:val="en-GB"/>
              </w:rPr>
              <w:t>Staff</w:t>
            </w:r>
          </w:p>
        </w:tc>
      </w:tr>
      <w:tr w:rsidR="00BF54BF" w:rsidRPr="00BF54BF" w14:paraId="0C132776" w14:textId="77777777" w:rsidTr="0037474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226" w:type="dxa"/>
            <w:hideMark/>
          </w:tcPr>
          <w:p w14:paraId="6363E7B5"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CG’s OFFICE</w:t>
            </w:r>
          </w:p>
        </w:tc>
        <w:tc>
          <w:tcPr>
            <w:tcW w:w="3069" w:type="dxa"/>
            <w:hideMark/>
          </w:tcPr>
          <w:p w14:paraId="0ABCE7BE"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28</w:t>
            </w:r>
          </w:p>
        </w:tc>
      </w:tr>
      <w:tr w:rsidR="00BF54BF" w:rsidRPr="00BF54BF" w14:paraId="19E76C4B" w14:textId="77777777" w:rsidTr="0037474C">
        <w:trPr>
          <w:trHeight w:val="161"/>
        </w:trPr>
        <w:tc>
          <w:tcPr>
            <w:cnfStyle w:val="001000000000" w:firstRow="0" w:lastRow="0" w:firstColumn="1" w:lastColumn="0" w:oddVBand="0" w:evenVBand="0" w:oddHBand="0" w:evenHBand="0" w:firstRowFirstColumn="0" w:firstRowLastColumn="0" w:lastRowFirstColumn="0" w:lastRowLastColumn="0"/>
            <w:tcW w:w="3226" w:type="dxa"/>
            <w:hideMark/>
          </w:tcPr>
          <w:p w14:paraId="55DD9FA0"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RIID</w:t>
            </w:r>
          </w:p>
        </w:tc>
        <w:tc>
          <w:tcPr>
            <w:tcW w:w="3069" w:type="dxa"/>
            <w:hideMark/>
          </w:tcPr>
          <w:p w14:paraId="32419B16"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22</w:t>
            </w:r>
          </w:p>
        </w:tc>
      </w:tr>
      <w:tr w:rsidR="00BF54BF" w:rsidRPr="00BF54BF" w14:paraId="7A8C34A4" w14:textId="77777777" w:rsidTr="0037474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26" w:type="dxa"/>
            <w:hideMark/>
          </w:tcPr>
          <w:p w14:paraId="5E322FCB"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HUMAN RESOURCE</w:t>
            </w:r>
          </w:p>
        </w:tc>
        <w:tc>
          <w:tcPr>
            <w:tcW w:w="3069" w:type="dxa"/>
            <w:hideMark/>
          </w:tcPr>
          <w:p w14:paraId="46606194"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30</w:t>
            </w:r>
          </w:p>
        </w:tc>
      </w:tr>
      <w:tr w:rsidR="00BF54BF" w:rsidRPr="00BF54BF" w14:paraId="61C8CF62" w14:textId="77777777" w:rsidTr="0037474C">
        <w:trPr>
          <w:trHeight w:val="224"/>
        </w:trPr>
        <w:tc>
          <w:tcPr>
            <w:cnfStyle w:val="001000000000" w:firstRow="0" w:lastRow="0" w:firstColumn="1" w:lastColumn="0" w:oddVBand="0" w:evenVBand="0" w:oddHBand="0" w:evenHBand="0" w:firstRowFirstColumn="0" w:firstRowLastColumn="0" w:lastRowFirstColumn="0" w:lastRowLastColumn="0"/>
            <w:tcW w:w="3226" w:type="dxa"/>
            <w:hideMark/>
          </w:tcPr>
          <w:p w14:paraId="6FCC7B86"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STAFF WELFARE</w:t>
            </w:r>
          </w:p>
        </w:tc>
        <w:tc>
          <w:tcPr>
            <w:tcW w:w="3069" w:type="dxa"/>
            <w:hideMark/>
          </w:tcPr>
          <w:p w14:paraId="12ABBEF1"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3</w:t>
            </w:r>
          </w:p>
        </w:tc>
      </w:tr>
      <w:tr w:rsidR="00BF54BF" w:rsidRPr="00BF54BF" w14:paraId="6573F221" w14:textId="77777777" w:rsidTr="0037474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26" w:type="dxa"/>
            <w:hideMark/>
          </w:tcPr>
          <w:p w14:paraId="6FC8C667"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ADMIN</w:t>
            </w:r>
          </w:p>
        </w:tc>
        <w:tc>
          <w:tcPr>
            <w:tcW w:w="3069" w:type="dxa"/>
            <w:hideMark/>
          </w:tcPr>
          <w:p w14:paraId="04705B87"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13</w:t>
            </w:r>
          </w:p>
        </w:tc>
      </w:tr>
      <w:tr w:rsidR="00BF54BF" w:rsidRPr="00BF54BF" w14:paraId="2AD07861" w14:textId="77777777" w:rsidTr="0037474C">
        <w:trPr>
          <w:trHeight w:val="278"/>
        </w:trPr>
        <w:tc>
          <w:tcPr>
            <w:cnfStyle w:val="001000000000" w:firstRow="0" w:lastRow="0" w:firstColumn="1" w:lastColumn="0" w:oddVBand="0" w:evenVBand="0" w:oddHBand="0" w:evenHBand="0" w:firstRowFirstColumn="0" w:firstRowLastColumn="0" w:lastRowFirstColumn="0" w:lastRowLastColumn="0"/>
            <w:tcW w:w="3226" w:type="dxa"/>
            <w:hideMark/>
          </w:tcPr>
          <w:p w14:paraId="2C1CBCA6" w14:textId="2F87409E" w:rsidR="00BF54BF" w:rsidRPr="00BF54BF" w:rsidRDefault="00BF54BF" w:rsidP="00B04928">
            <w:pPr>
              <w:spacing w:line="360" w:lineRule="auto"/>
              <w:jc w:val="center"/>
              <w:rPr>
                <w:rFonts w:ascii="Baskerville Old Face" w:hAnsi="Baskerville Old Face" w:cs="Times New Roman"/>
                <w:b w:val="0"/>
                <w:bCs w:val="0"/>
                <w:sz w:val="24"/>
                <w:szCs w:val="24"/>
              </w:rPr>
            </w:pPr>
            <w:r>
              <w:rPr>
                <w:rFonts w:ascii="Baskerville Old Face" w:hAnsi="Baskerville Old Face" w:cs="Times New Roman"/>
                <w:b w:val="0"/>
                <w:bCs w:val="0"/>
                <w:sz w:val="24"/>
                <w:szCs w:val="24"/>
                <w:lang w:val="en-GB"/>
              </w:rPr>
              <w:t>CSD</w:t>
            </w:r>
          </w:p>
        </w:tc>
        <w:tc>
          <w:tcPr>
            <w:tcW w:w="3069" w:type="dxa"/>
            <w:hideMark/>
          </w:tcPr>
          <w:p w14:paraId="657DEBEB"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70</w:t>
            </w:r>
          </w:p>
        </w:tc>
      </w:tr>
      <w:tr w:rsidR="00BF54BF" w:rsidRPr="00BF54BF" w14:paraId="6FE9C2C1" w14:textId="77777777" w:rsidTr="003747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226" w:type="dxa"/>
            <w:hideMark/>
          </w:tcPr>
          <w:p w14:paraId="1AA6EB32"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NTR</w:t>
            </w:r>
          </w:p>
        </w:tc>
        <w:tc>
          <w:tcPr>
            <w:tcW w:w="3069" w:type="dxa"/>
            <w:hideMark/>
          </w:tcPr>
          <w:p w14:paraId="10999B5C"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13</w:t>
            </w:r>
          </w:p>
        </w:tc>
      </w:tr>
      <w:tr w:rsidR="00BF54BF" w:rsidRPr="00BF54BF" w14:paraId="713DAE6D" w14:textId="77777777" w:rsidTr="0037474C">
        <w:trPr>
          <w:trHeight w:val="251"/>
        </w:trPr>
        <w:tc>
          <w:tcPr>
            <w:cnfStyle w:val="001000000000" w:firstRow="0" w:lastRow="0" w:firstColumn="1" w:lastColumn="0" w:oddVBand="0" w:evenVBand="0" w:oddHBand="0" w:evenHBand="0" w:firstRowFirstColumn="0" w:firstRowLastColumn="0" w:lastRowFirstColumn="0" w:lastRowLastColumn="0"/>
            <w:tcW w:w="3226" w:type="dxa"/>
            <w:hideMark/>
          </w:tcPr>
          <w:p w14:paraId="75E15800"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F &amp; B</w:t>
            </w:r>
          </w:p>
        </w:tc>
        <w:tc>
          <w:tcPr>
            <w:tcW w:w="3069" w:type="dxa"/>
            <w:hideMark/>
          </w:tcPr>
          <w:p w14:paraId="60F9FBCC"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5</w:t>
            </w:r>
          </w:p>
        </w:tc>
      </w:tr>
      <w:tr w:rsidR="00BF54BF" w:rsidRPr="00BF54BF" w14:paraId="213F4ECF" w14:textId="77777777" w:rsidTr="0037474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226" w:type="dxa"/>
            <w:hideMark/>
          </w:tcPr>
          <w:p w14:paraId="66598C53"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MRP</w:t>
            </w:r>
          </w:p>
        </w:tc>
        <w:tc>
          <w:tcPr>
            <w:tcW w:w="3069" w:type="dxa"/>
            <w:hideMark/>
          </w:tcPr>
          <w:p w14:paraId="14692864"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13</w:t>
            </w:r>
          </w:p>
        </w:tc>
      </w:tr>
      <w:tr w:rsidR="00BF54BF" w:rsidRPr="00BF54BF" w14:paraId="7B5070DF" w14:textId="77777777" w:rsidTr="0037474C">
        <w:trPr>
          <w:trHeight w:val="224"/>
        </w:trPr>
        <w:tc>
          <w:tcPr>
            <w:cnfStyle w:val="001000000000" w:firstRow="0" w:lastRow="0" w:firstColumn="1" w:lastColumn="0" w:oddVBand="0" w:evenVBand="0" w:oddHBand="0" w:evenHBand="0" w:firstRowFirstColumn="0" w:firstRowLastColumn="0" w:lastRowFirstColumn="0" w:lastRowLastColumn="0"/>
            <w:tcW w:w="3226" w:type="dxa"/>
            <w:hideMark/>
          </w:tcPr>
          <w:p w14:paraId="14BF23CF"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ICT</w:t>
            </w:r>
          </w:p>
        </w:tc>
        <w:tc>
          <w:tcPr>
            <w:tcW w:w="3069" w:type="dxa"/>
            <w:hideMark/>
          </w:tcPr>
          <w:p w14:paraId="03CD700E"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24</w:t>
            </w:r>
          </w:p>
        </w:tc>
      </w:tr>
      <w:tr w:rsidR="00BF54BF" w:rsidRPr="00BF54BF" w14:paraId="08450A87" w14:textId="77777777" w:rsidTr="0037474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226" w:type="dxa"/>
            <w:hideMark/>
          </w:tcPr>
          <w:p w14:paraId="58070628"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ICA</w:t>
            </w:r>
          </w:p>
        </w:tc>
        <w:tc>
          <w:tcPr>
            <w:tcW w:w="3069" w:type="dxa"/>
            <w:hideMark/>
          </w:tcPr>
          <w:p w14:paraId="20842325"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6</w:t>
            </w:r>
          </w:p>
        </w:tc>
      </w:tr>
      <w:tr w:rsidR="00BF54BF" w:rsidRPr="00BF54BF" w14:paraId="1F50C8F4" w14:textId="77777777" w:rsidTr="0037474C">
        <w:trPr>
          <w:trHeight w:val="368"/>
        </w:trPr>
        <w:tc>
          <w:tcPr>
            <w:cnfStyle w:val="001000000000" w:firstRow="0" w:lastRow="0" w:firstColumn="1" w:lastColumn="0" w:oddVBand="0" w:evenVBand="0" w:oddHBand="0" w:evenHBand="0" w:firstRowFirstColumn="0" w:firstRowLastColumn="0" w:lastRowFirstColumn="0" w:lastRowLastColumn="0"/>
            <w:tcW w:w="3226" w:type="dxa"/>
            <w:hideMark/>
          </w:tcPr>
          <w:p w14:paraId="5BB1867A"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L&amp;CA</w:t>
            </w:r>
          </w:p>
        </w:tc>
        <w:tc>
          <w:tcPr>
            <w:tcW w:w="3069" w:type="dxa"/>
            <w:hideMark/>
          </w:tcPr>
          <w:p w14:paraId="4480E151"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12</w:t>
            </w:r>
          </w:p>
        </w:tc>
      </w:tr>
      <w:tr w:rsidR="00BF54BF" w:rsidRPr="00BF54BF" w14:paraId="40BF66BF" w14:textId="77777777" w:rsidTr="0037474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226" w:type="dxa"/>
            <w:hideMark/>
          </w:tcPr>
          <w:p w14:paraId="7939FB06"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MODERNIZATION</w:t>
            </w:r>
          </w:p>
        </w:tc>
        <w:tc>
          <w:tcPr>
            <w:tcW w:w="3069" w:type="dxa"/>
            <w:hideMark/>
          </w:tcPr>
          <w:p w14:paraId="406012D6"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17</w:t>
            </w:r>
          </w:p>
        </w:tc>
      </w:tr>
      <w:tr w:rsidR="00BF54BF" w:rsidRPr="00BF54BF" w14:paraId="068FE75E" w14:textId="77777777" w:rsidTr="0037474C">
        <w:trPr>
          <w:trHeight w:val="341"/>
        </w:trPr>
        <w:tc>
          <w:tcPr>
            <w:cnfStyle w:val="001000000000" w:firstRow="0" w:lastRow="0" w:firstColumn="1" w:lastColumn="0" w:oddVBand="0" w:evenVBand="0" w:oddHBand="0" w:evenHBand="0" w:firstRowFirstColumn="0" w:firstRowLastColumn="0" w:lastRowFirstColumn="0" w:lastRowLastColumn="0"/>
            <w:tcW w:w="3226" w:type="dxa"/>
            <w:hideMark/>
          </w:tcPr>
          <w:p w14:paraId="09D58069" w14:textId="77777777" w:rsidR="00BF54BF" w:rsidRPr="00BF54BF" w:rsidRDefault="00BF54BF" w:rsidP="00B04928">
            <w:pPr>
              <w:spacing w:line="360" w:lineRule="auto"/>
              <w:jc w:val="center"/>
              <w:rPr>
                <w:rFonts w:ascii="Baskerville Old Face" w:hAnsi="Baskerville Old Face" w:cs="Times New Roman"/>
                <w:b w:val="0"/>
                <w:bCs w:val="0"/>
                <w:sz w:val="24"/>
                <w:szCs w:val="24"/>
              </w:rPr>
            </w:pPr>
            <w:r w:rsidRPr="00BF54BF">
              <w:rPr>
                <w:rFonts w:ascii="Baskerville Old Face" w:hAnsi="Baskerville Old Face" w:cs="Times New Roman"/>
                <w:b w:val="0"/>
                <w:bCs w:val="0"/>
                <w:sz w:val="24"/>
                <w:szCs w:val="24"/>
                <w:lang w:val="en-GB"/>
              </w:rPr>
              <w:t>DTD</w:t>
            </w:r>
          </w:p>
        </w:tc>
        <w:tc>
          <w:tcPr>
            <w:tcW w:w="3069" w:type="dxa"/>
            <w:hideMark/>
          </w:tcPr>
          <w:p w14:paraId="5EABF982" w14:textId="77777777" w:rsidR="00BF54BF" w:rsidRPr="00BF54BF" w:rsidRDefault="00BF54BF" w:rsidP="00B04928">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BF54BF">
              <w:rPr>
                <w:rFonts w:ascii="Baskerville Old Face" w:hAnsi="Baskerville Old Face" w:cs="Times New Roman"/>
                <w:sz w:val="24"/>
                <w:szCs w:val="24"/>
                <w:lang w:val="en-GB"/>
              </w:rPr>
              <w:t>113</w:t>
            </w:r>
          </w:p>
        </w:tc>
      </w:tr>
      <w:tr w:rsidR="00BF54BF" w:rsidRPr="00BF54BF" w14:paraId="2E6AF537" w14:textId="77777777" w:rsidTr="0037474C">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226" w:type="dxa"/>
            <w:hideMark/>
          </w:tcPr>
          <w:p w14:paraId="59ABAD48" w14:textId="77777777" w:rsidR="00BF54BF" w:rsidRPr="00BF54BF" w:rsidRDefault="00BF54BF" w:rsidP="00B04928">
            <w:pPr>
              <w:spacing w:line="360" w:lineRule="auto"/>
              <w:jc w:val="center"/>
              <w:rPr>
                <w:rFonts w:ascii="Baskerville Old Face" w:hAnsi="Baskerville Old Face" w:cs="Times New Roman"/>
                <w:sz w:val="24"/>
                <w:szCs w:val="24"/>
              </w:rPr>
            </w:pPr>
            <w:r w:rsidRPr="00BF54BF">
              <w:rPr>
                <w:rFonts w:ascii="Baskerville Old Face" w:hAnsi="Baskerville Old Face" w:cs="Times New Roman"/>
                <w:sz w:val="24"/>
                <w:szCs w:val="24"/>
                <w:lang w:val="en-GB"/>
              </w:rPr>
              <w:t>TOTAL</w:t>
            </w:r>
          </w:p>
        </w:tc>
        <w:tc>
          <w:tcPr>
            <w:tcW w:w="3069" w:type="dxa"/>
            <w:hideMark/>
          </w:tcPr>
          <w:p w14:paraId="2A237C79" w14:textId="77777777" w:rsidR="00BF54BF" w:rsidRPr="00BF54BF" w:rsidRDefault="00BF54BF" w:rsidP="00B04928">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BF54BF">
              <w:rPr>
                <w:rFonts w:ascii="Baskerville Old Face" w:hAnsi="Baskerville Old Face" w:cs="Times New Roman"/>
                <w:b/>
                <w:bCs/>
                <w:sz w:val="24"/>
                <w:szCs w:val="24"/>
                <w:lang w:val="en-GB"/>
              </w:rPr>
              <w:t>369</w:t>
            </w:r>
          </w:p>
        </w:tc>
      </w:tr>
    </w:tbl>
    <w:p w14:paraId="0E2C2FBB" w14:textId="77777777" w:rsidR="00845B8C" w:rsidRPr="00D7283B" w:rsidRDefault="00845B8C" w:rsidP="00845B8C">
      <w:pPr>
        <w:spacing w:line="360" w:lineRule="auto"/>
        <w:jc w:val="both"/>
        <w:rPr>
          <w:rFonts w:ascii="Baskerville Old Face" w:hAnsi="Baskerville Old Face" w:cs="Times New Roman"/>
          <w:sz w:val="24"/>
          <w:szCs w:val="24"/>
        </w:rPr>
      </w:pPr>
      <w:r w:rsidRPr="00BC7192">
        <w:rPr>
          <w:rFonts w:ascii="Baskerville Old Face" w:hAnsi="Baskerville Old Face" w:cs="Times New Roman"/>
          <w:i/>
          <w:iCs/>
          <w:sz w:val="18"/>
          <w:szCs w:val="18"/>
        </w:rPr>
        <w:t>Source: HRD</w:t>
      </w:r>
    </w:p>
    <w:p w14:paraId="62D4F5E0" w14:textId="77777777" w:rsidR="00762EA3" w:rsidRDefault="00762EA3" w:rsidP="008C5C22">
      <w:pPr>
        <w:pStyle w:val="Heading3"/>
      </w:pPr>
    </w:p>
    <w:p w14:paraId="34794AD9" w14:textId="3C494B27" w:rsidR="00845B8C" w:rsidRPr="00FC3086" w:rsidRDefault="00845B8C" w:rsidP="008C5C22">
      <w:pPr>
        <w:pStyle w:val="Heading3"/>
      </w:pPr>
      <w:bookmarkStart w:id="41" w:name="_Toc198205678"/>
      <w:r w:rsidRPr="00FC3086">
        <w:t>Staff Medical Scheme</w:t>
      </w:r>
      <w:bookmarkEnd w:id="41"/>
    </w:p>
    <w:p w14:paraId="2C3938E1" w14:textId="77777777" w:rsidR="00845B8C" w:rsidRPr="00FC3086" w:rsidRDefault="00845B8C" w:rsidP="00845B8C">
      <w:pPr>
        <w:spacing w:line="360" w:lineRule="auto"/>
        <w:jc w:val="both"/>
        <w:rPr>
          <w:rFonts w:ascii="Baskerville Old Face" w:hAnsi="Baskerville Old Face" w:cs="Times New Roman"/>
          <w:sz w:val="24"/>
          <w:szCs w:val="24"/>
        </w:rPr>
      </w:pPr>
      <w:r w:rsidRPr="00FC3086">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Staff </w:t>
      </w:r>
      <w:r w:rsidRPr="00FC3086">
        <w:rPr>
          <w:rFonts w:ascii="Baskerville Old Face" w:hAnsi="Baskerville Old Face" w:cs="Times New Roman"/>
          <w:sz w:val="24"/>
          <w:szCs w:val="24"/>
        </w:rPr>
        <w:t xml:space="preserve">Welfare Department, in collaboration with the MRP Department, conducted a comprehensive survey on staff medical options in 2021. This survey aimed to evaluate the efficacy of the previous medical scheme involving the National Insurance </w:t>
      </w:r>
      <w:r>
        <w:rPr>
          <w:rFonts w:ascii="Baskerville Old Face" w:hAnsi="Baskerville Old Face" w:cs="Times New Roman"/>
          <w:sz w:val="24"/>
          <w:szCs w:val="24"/>
        </w:rPr>
        <w:t>Company</w:t>
      </w:r>
      <w:r w:rsidRPr="00FC3086">
        <w:rPr>
          <w:rFonts w:ascii="Baskerville Old Face" w:hAnsi="Baskerville Old Face" w:cs="Times New Roman"/>
          <w:sz w:val="24"/>
          <w:szCs w:val="24"/>
        </w:rPr>
        <w:t xml:space="preserve"> (NIC). The subsequent report</w:t>
      </w:r>
      <w:r>
        <w:rPr>
          <w:rFonts w:ascii="Baskerville Old Face" w:hAnsi="Baskerville Old Face" w:cs="Times New Roman"/>
          <w:sz w:val="24"/>
          <w:szCs w:val="24"/>
        </w:rPr>
        <w:t xml:space="preserve"> </w:t>
      </w:r>
      <w:r w:rsidRPr="00FC3086">
        <w:rPr>
          <w:rFonts w:ascii="Baskerville Old Face" w:hAnsi="Baskerville Old Face" w:cs="Times New Roman"/>
          <w:sz w:val="24"/>
          <w:szCs w:val="24"/>
        </w:rPr>
        <w:t xml:space="preserve">presented to the Board served as a basis for deliberation. Following </w:t>
      </w:r>
      <w:r>
        <w:rPr>
          <w:rFonts w:ascii="Baskerville Old Face" w:hAnsi="Baskerville Old Face" w:cs="Times New Roman"/>
          <w:sz w:val="24"/>
          <w:szCs w:val="24"/>
        </w:rPr>
        <w:t xml:space="preserve">the </w:t>
      </w:r>
      <w:r w:rsidRPr="00FC3086">
        <w:rPr>
          <w:rFonts w:ascii="Baskerville Old Face" w:hAnsi="Baskerville Old Face" w:cs="Times New Roman"/>
          <w:sz w:val="24"/>
          <w:szCs w:val="24"/>
        </w:rPr>
        <w:t>Board</w:t>
      </w:r>
      <w:r>
        <w:rPr>
          <w:rFonts w:ascii="Baskerville Old Face" w:hAnsi="Baskerville Old Face" w:cs="Times New Roman"/>
          <w:sz w:val="24"/>
          <w:szCs w:val="24"/>
        </w:rPr>
        <w:t>’s</w:t>
      </w:r>
      <w:r w:rsidRPr="00FC3086">
        <w:rPr>
          <w:rFonts w:ascii="Baskerville Old Face" w:hAnsi="Baskerville Old Face" w:cs="Times New Roman"/>
          <w:sz w:val="24"/>
          <w:szCs w:val="24"/>
        </w:rPr>
        <w:t xml:space="preserve"> decision, the Authority opted to establish an in-house medical scheme. While awaiting final approval of the in-house medical scheme policy, the Finance and Budget Department has been directed to provide monthly medical allowances to staff.</w:t>
      </w:r>
    </w:p>
    <w:p w14:paraId="749549DE" w14:textId="77777777" w:rsidR="00845B8C" w:rsidRPr="00BF7A11" w:rsidRDefault="00845B8C" w:rsidP="008C5C22">
      <w:pPr>
        <w:pStyle w:val="Heading3"/>
      </w:pPr>
      <w:bookmarkStart w:id="42" w:name="_Toc198205679"/>
      <w:r w:rsidRPr="00BF7A11">
        <w:t>Biometric Attendance Management</w:t>
      </w:r>
      <w:bookmarkEnd w:id="42"/>
    </w:p>
    <w:p w14:paraId="1E3FD0BF" w14:textId="77777777" w:rsidR="00845B8C" w:rsidRDefault="00845B8C" w:rsidP="00845B8C">
      <w:pPr>
        <w:spacing w:line="360" w:lineRule="auto"/>
        <w:jc w:val="both"/>
        <w:rPr>
          <w:rFonts w:ascii="Baskerville Old Face" w:hAnsi="Baskerville Old Face" w:cs="Times New Roman"/>
          <w:sz w:val="24"/>
          <w:szCs w:val="24"/>
        </w:rPr>
      </w:pPr>
      <w:r w:rsidRPr="00BF5BBE">
        <w:rPr>
          <w:rFonts w:ascii="Baskerville Old Face" w:hAnsi="Baskerville Old Face" w:cs="Times New Roman"/>
          <w:sz w:val="24"/>
          <w:szCs w:val="24"/>
        </w:rPr>
        <w:t>The Authority ha</w:t>
      </w:r>
      <w:r>
        <w:rPr>
          <w:rFonts w:ascii="Baskerville Old Face" w:hAnsi="Baskerville Old Face" w:cs="Times New Roman"/>
          <w:sz w:val="24"/>
          <w:szCs w:val="24"/>
        </w:rPr>
        <w:t>s</w:t>
      </w:r>
      <w:r w:rsidRPr="00BF5BBE">
        <w:rPr>
          <w:rFonts w:ascii="Baskerville Old Face" w:hAnsi="Baskerville Old Face" w:cs="Times New Roman"/>
          <w:sz w:val="24"/>
          <w:szCs w:val="24"/>
        </w:rPr>
        <w:t xml:space="preserve"> installed a total of fourteen (14) biometric machines, which have been instrumental in monitoring staff attendance and have significantly contributed to the improvement of staff attendance. </w:t>
      </w:r>
      <w:r w:rsidRPr="00F202D4">
        <w:rPr>
          <w:rFonts w:ascii="Baskerville Old Face" w:hAnsi="Baskerville Old Face" w:cs="Times New Roman"/>
          <w:sz w:val="24"/>
          <w:szCs w:val="24"/>
        </w:rPr>
        <w:t xml:space="preserve">In early 2023, breakdowns were reported by the Staff Welfare Department for </w:t>
      </w:r>
      <w:r w:rsidRPr="00F202D4">
        <w:rPr>
          <w:rFonts w:ascii="Baskerville Old Face" w:hAnsi="Baskerville Old Face" w:cs="Times New Roman"/>
          <w:sz w:val="24"/>
          <w:szCs w:val="24"/>
        </w:rPr>
        <w:lastRenderedPageBreak/>
        <w:t xml:space="preserve">some of these machines, prompting a designated team to investigate and document the issues. Currently, the Procurement Unit is in the process of procuring necessary materials for the maintenance of these devices. Furthermore, approval from </w:t>
      </w:r>
      <w:r>
        <w:rPr>
          <w:rFonts w:ascii="Baskerville Old Face" w:hAnsi="Baskerville Old Face" w:cs="Times New Roman"/>
          <w:sz w:val="24"/>
          <w:szCs w:val="24"/>
        </w:rPr>
        <w:t xml:space="preserve">the </w:t>
      </w:r>
      <w:r w:rsidRPr="00F202D4">
        <w:rPr>
          <w:rFonts w:ascii="Baskerville Old Face" w:hAnsi="Baskerville Old Face" w:cs="Times New Roman"/>
          <w:sz w:val="24"/>
          <w:szCs w:val="24"/>
        </w:rPr>
        <w:t>CG has been secured for the Staff Welfare Department's request to engage the services of a technician for the maintenance of the biometric devices, with the Procurement Unit entrusted with this task.</w:t>
      </w:r>
    </w:p>
    <w:p w14:paraId="1137F60C" w14:textId="77777777" w:rsidR="00845B8C" w:rsidRPr="00BF7A11" w:rsidRDefault="00845B8C" w:rsidP="008C5C22">
      <w:pPr>
        <w:pStyle w:val="Heading3"/>
      </w:pPr>
      <w:bookmarkStart w:id="43" w:name="_Toc198205680"/>
      <w:r w:rsidRPr="00BF7A11">
        <w:t>Facilitation of Health and Safety</w:t>
      </w:r>
      <w:bookmarkEnd w:id="43"/>
    </w:p>
    <w:p w14:paraId="2AE6E8DA" w14:textId="77777777" w:rsidR="00845B8C" w:rsidRDefault="00845B8C" w:rsidP="00845B8C">
      <w:pPr>
        <w:spacing w:line="360" w:lineRule="auto"/>
        <w:jc w:val="both"/>
        <w:rPr>
          <w:rFonts w:ascii="Baskerville Old Face" w:hAnsi="Baskerville Old Face" w:cs="Times New Roman"/>
          <w:sz w:val="24"/>
          <w:szCs w:val="24"/>
        </w:rPr>
      </w:pPr>
      <w:r w:rsidRPr="00CD61DE">
        <w:rPr>
          <w:rFonts w:ascii="Baskerville Old Face" w:hAnsi="Baskerville Old Face" w:cs="Times New Roman"/>
          <w:sz w:val="24"/>
          <w:szCs w:val="24"/>
        </w:rPr>
        <w:t xml:space="preserve">With the aim of enhancing health and safety among staff, the Staff Welfare Department, in collaboration with the Sierra Leone Red Cross Society submitted a proposal in 2023 to the </w:t>
      </w:r>
      <w:r>
        <w:rPr>
          <w:rFonts w:ascii="Baskerville Old Face" w:hAnsi="Baskerville Old Face" w:cs="Times New Roman"/>
          <w:sz w:val="24"/>
          <w:szCs w:val="24"/>
        </w:rPr>
        <w:t>CG</w:t>
      </w:r>
      <w:r w:rsidRPr="00CD61DE">
        <w:rPr>
          <w:rFonts w:ascii="Baskerville Old Face" w:hAnsi="Baskerville Old Face" w:cs="Times New Roman"/>
          <w:sz w:val="24"/>
          <w:szCs w:val="24"/>
        </w:rPr>
        <w:t xml:space="preserve"> for the provision of first-aid kits along with staff training. This initiative is currently awaiting approval for implementation.</w:t>
      </w:r>
    </w:p>
    <w:p w14:paraId="777FB966" w14:textId="77777777" w:rsidR="00845B8C" w:rsidRPr="004508FF" w:rsidRDefault="00845B8C" w:rsidP="008C5C22">
      <w:pPr>
        <w:pStyle w:val="Heading3"/>
      </w:pPr>
      <w:bookmarkStart w:id="44" w:name="_Toc198205681"/>
      <w:r w:rsidRPr="004508FF">
        <w:t>Management of Sick Leave and Death Benefits</w:t>
      </w:r>
      <w:bookmarkEnd w:id="44"/>
    </w:p>
    <w:p w14:paraId="15C81ADB" w14:textId="34B157F6" w:rsidR="00845B8C" w:rsidRPr="00845B8C" w:rsidRDefault="00845B8C" w:rsidP="00C77C72">
      <w:pPr>
        <w:spacing w:line="360" w:lineRule="auto"/>
        <w:jc w:val="both"/>
        <w:rPr>
          <w:rFonts w:ascii="Baskerville Old Face" w:hAnsi="Baskerville Old Face" w:cs="Times New Roman"/>
          <w:sz w:val="24"/>
          <w:szCs w:val="24"/>
        </w:rPr>
      </w:pPr>
      <w:r w:rsidRPr="00FC3086">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Staff </w:t>
      </w:r>
      <w:r w:rsidRPr="00FC3086">
        <w:rPr>
          <w:rFonts w:ascii="Baskerville Old Face" w:hAnsi="Baskerville Old Face" w:cs="Times New Roman"/>
          <w:sz w:val="24"/>
          <w:szCs w:val="24"/>
        </w:rPr>
        <w:t xml:space="preserve">Welfare Department oversees the administration of sick leave, granting a total of 38 leaves in 2023. Additionally, the </w:t>
      </w:r>
      <w:r>
        <w:rPr>
          <w:rFonts w:ascii="Baskerville Old Face" w:hAnsi="Baskerville Old Face" w:cs="Times New Roman"/>
          <w:sz w:val="24"/>
          <w:szCs w:val="24"/>
        </w:rPr>
        <w:t>D</w:t>
      </w:r>
      <w:r w:rsidRPr="00FC3086">
        <w:rPr>
          <w:rFonts w:ascii="Baskerville Old Face" w:hAnsi="Baskerville Old Face" w:cs="Times New Roman"/>
          <w:sz w:val="24"/>
          <w:szCs w:val="24"/>
        </w:rPr>
        <w:t xml:space="preserve">epartment facilitated </w:t>
      </w:r>
      <w:r>
        <w:rPr>
          <w:rFonts w:ascii="Baskerville Old Face" w:hAnsi="Baskerville Old Face" w:cs="Times New Roman"/>
          <w:sz w:val="24"/>
          <w:szCs w:val="24"/>
        </w:rPr>
        <w:t xml:space="preserve">the payment of </w:t>
      </w:r>
      <w:r w:rsidRPr="00FC3086">
        <w:rPr>
          <w:rFonts w:ascii="Baskerville Old Face" w:hAnsi="Baskerville Old Face" w:cs="Times New Roman"/>
          <w:sz w:val="24"/>
          <w:szCs w:val="24"/>
        </w:rPr>
        <w:t xml:space="preserve">34 death benefits </w:t>
      </w:r>
      <w:r>
        <w:rPr>
          <w:rFonts w:ascii="Baskerville Old Face" w:hAnsi="Baskerville Old Face" w:cs="Times New Roman"/>
          <w:sz w:val="24"/>
          <w:szCs w:val="24"/>
        </w:rPr>
        <w:t>to</w:t>
      </w:r>
      <w:r w:rsidRPr="00FC3086">
        <w:rPr>
          <w:rFonts w:ascii="Baskerville Old Face" w:hAnsi="Baskerville Old Face" w:cs="Times New Roman"/>
          <w:sz w:val="24"/>
          <w:szCs w:val="24"/>
        </w:rPr>
        <w:t xml:space="preserve"> bereaved staff during the same period.</w:t>
      </w:r>
    </w:p>
    <w:p w14:paraId="3A6D4D8B" w14:textId="345E4F68" w:rsidR="00BF54BF" w:rsidRDefault="00DA22C9" w:rsidP="002725A1">
      <w:pPr>
        <w:pStyle w:val="Heading2"/>
      </w:pPr>
      <w:bookmarkStart w:id="45" w:name="_Toc198205682"/>
      <w:r>
        <w:t xml:space="preserve">3.6: </w:t>
      </w:r>
      <w:r w:rsidR="009F7B1D" w:rsidRPr="009F7B1D">
        <w:t>UPDATE ON REVENUE INTELLIGENCE AND INVESTIGATIONS</w:t>
      </w:r>
      <w:bookmarkEnd w:id="45"/>
    </w:p>
    <w:p w14:paraId="39F4481A" w14:textId="77777777" w:rsidR="002725A1" w:rsidRPr="002725A1" w:rsidRDefault="002725A1" w:rsidP="002725A1"/>
    <w:p w14:paraId="18E8D2C2" w14:textId="2700795C" w:rsidR="00E20621" w:rsidRPr="00E20621" w:rsidRDefault="00E20621" w:rsidP="00E20621">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 xml:space="preserve">The Revenue Intelligence and Investigations Department (RIID) remains dedicated to enhancing compliance to </w:t>
      </w:r>
      <w:proofErr w:type="spellStart"/>
      <w:r w:rsidRPr="00E20621">
        <w:rPr>
          <w:rFonts w:ascii="Baskerville Old Face" w:hAnsi="Baskerville Old Face" w:cs="Times New Roman"/>
          <w:sz w:val="24"/>
          <w:szCs w:val="24"/>
        </w:rPr>
        <w:t>optimi</w:t>
      </w:r>
      <w:r w:rsidR="00420036">
        <w:rPr>
          <w:rFonts w:ascii="Baskerville Old Face" w:hAnsi="Baskerville Old Face" w:cs="Times New Roman"/>
          <w:sz w:val="24"/>
          <w:szCs w:val="24"/>
        </w:rPr>
        <w:t>s</w:t>
      </w:r>
      <w:r w:rsidRPr="00E20621">
        <w:rPr>
          <w:rFonts w:ascii="Baskerville Old Face" w:hAnsi="Baskerville Old Face" w:cs="Times New Roman"/>
          <w:sz w:val="24"/>
          <w:szCs w:val="24"/>
        </w:rPr>
        <w:t>e</w:t>
      </w:r>
      <w:proofErr w:type="spellEnd"/>
      <w:r w:rsidRPr="00E20621">
        <w:rPr>
          <w:rFonts w:ascii="Baskerville Old Face" w:hAnsi="Baskerville Old Face" w:cs="Times New Roman"/>
          <w:sz w:val="24"/>
          <w:szCs w:val="24"/>
        </w:rPr>
        <w:t xml:space="preserve"> revenue collection. Central to its responsibilities are information gathering, intelligence processing, and investigations. The Department's reports and findings serve as pivotal resources for revenue recovery, identification of irregularities, disciplinary measures, and, when necessary, legal actions. Additionally, </w:t>
      </w:r>
      <w:proofErr w:type="gramStart"/>
      <w:r w:rsidRPr="00E20621">
        <w:rPr>
          <w:rFonts w:ascii="Baskerville Old Face" w:hAnsi="Baskerville Old Face" w:cs="Times New Roman"/>
          <w:sz w:val="24"/>
          <w:szCs w:val="24"/>
        </w:rPr>
        <w:t>the RIID</w:t>
      </w:r>
      <w:proofErr w:type="gramEnd"/>
      <w:r w:rsidRPr="00E20621">
        <w:rPr>
          <w:rFonts w:ascii="Baskerville Old Face" w:hAnsi="Baskerville Old Face" w:cs="Times New Roman"/>
          <w:sz w:val="24"/>
          <w:szCs w:val="24"/>
        </w:rPr>
        <w:t xml:space="preserve"> plays a crucial role in integrity management and the detection of tax fraud, both internally and externally. Legislative responsibilities pertaining to the licensing of Customs Clearing and Forwarding Agencies (C&amp;FAs) also fall within the purview of this Department, which works in tandem with operational departments to enforce tax regulations.</w:t>
      </w:r>
    </w:p>
    <w:p w14:paraId="4AF6C8BD" w14:textId="36EA17AC" w:rsidR="00E20621" w:rsidRDefault="00E20621" w:rsidP="00E20621">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The RIID operates through two distinct units: the Investigations Unit and the Intelligence Gathering and Analysis Unit. Throughout 2023, the Department engaged in numerous intelligence operations, risk assessments, and investigations, often collaborating with other Departments. Furthermore, enforcement activities were executed by a specialized task force within the Department known as the Enforcement Task Force.</w:t>
      </w:r>
    </w:p>
    <w:p w14:paraId="7A514678" w14:textId="77777777" w:rsidR="00C14B96" w:rsidRDefault="00C14B96" w:rsidP="00E20621">
      <w:pPr>
        <w:spacing w:line="360" w:lineRule="auto"/>
        <w:jc w:val="both"/>
        <w:rPr>
          <w:rFonts w:ascii="Baskerville Old Face" w:hAnsi="Baskerville Old Face" w:cs="Times New Roman"/>
          <w:sz w:val="24"/>
          <w:szCs w:val="24"/>
        </w:rPr>
      </w:pPr>
    </w:p>
    <w:p w14:paraId="513E1F19" w14:textId="77777777" w:rsidR="00C14B96" w:rsidRDefault="00C14B96" w:rsidP="00E20621">
      <w:pPr>
        <w:spacing w:line="360" w:lineRule="auto"/>
        <w:jc w:val="both"/>
        <w:rPr>
          <w:rFonts w:ascii="Baskerville Old Face" w:hAnsi="Baskerville Old Face" w:cs="Times New Roman"/>
          <w:sz w:val="24"/>
          <w:szCs w:val="24"/>
        </w:rPr>
      </w:pPr>
    </w:p>
    <w:p w14:paraId="066C15FD" w14:textId="15D883A2" w:rsidR="00E20621" w:rsidRPr="00E20621" w:rsidRDefault="00E20621" w:rsidP="00E20621">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Outlined below are the key initiatives undertaken by the RIID in 2023:</w:t>
      </w:r>
    </w:p>
    <w:p w14:paraId="52999F6A" w14:textId="600BF47E" w:rsidR="00E40A2A" w:rsidRPr="00E40A2A" w:rsidRDefault="00B0513F" w:rsidP="008C5C22">
      <w:pPr>
        <w:pStyle w:val="Heading3"/>
      </w:pPr>
      <w:bookmarkStart w:id="46" w:name="_Toc198205683"/>
      <w:r w:rsidRPr="00E40A2A">
        <w:t xml:space="preserve">Foreign </w:t>
      </w:r>
      <w:r w:rsidR="00E20621">
        <w:t>C</w:t>
      </w:r>
      <w:r w:rsidRPr="00E40A2A">
        <w:t xml:space="preserve">urrency </w:t>
      </w:r>
      <w:r w:rsidR="00E20621">
        <w:t>D</w:t>
      </w:r>
      <w:r w:rsidRPr="00E40A2A">
        <w:t>eclarations</w:t>
      </w:r>
      <w:bookmarkEnd w:id="46"/>
      <w:r w:rsidRPr="00E40A2A">
        <w:t xml:space="preserve"> </w:t>
      </w:r>
    </w:p>
    <w:p w14:paraId="7BA31CC5" w14:textId="28F4C909" w:rsidR="00E20621" w:rsidRDefault="00E20621" w:rsidP="00FC277A">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Collaboration with NRA/</w:t>
      </w:r>
      <w:r w:rsidR="001964CD">
        <w:rPr>
          <w:rFonts w:ascii="Baskerville Old Face" w:hAnsi="Baskerville Old Face" w:cs="Times New Roman"/>
          <w:sz w:val="24"/>
          <w:szCs w:val="24"/>
        </w:rPr>
        <w:t>C</w:t>
      </w:r>
      <w:r w:rsidRPr="00E20621">
        <w:rPr>
          <w:rFonts w:ascii="Baskerville Old Face" w:hAnsi="Baskerville Old Face" w:cs="Times New Roman"/>
          <w:sz w:val="24"/>
          <w:szCs w:val="24"/>
        </w:rPr>
        <w:t xml:space="preserve">ustoms personnel at Lungi International Airport facilitated the collection and subsequent submission of foreign currency declaration data to the Financial Intelligence Unit (FIU) </w:t>
      </w:r>
      <w:proofErr w:type="gramStart"/>
      <w:r w:rsidRPr="00E20621">
        <w:rPr>
          <w:rFonts w:ascii="Baskerville Old Face" w:hAnsi="Baskerville Old Face" w:cs="Times New Roman"/>
          <w:sz w:val="24"/>
          <w:szCs w:val="24"/>
        </w:rPr>
        <w:t>on a monthly basis</w:t>
      </w:r>
      <w:proofErr w:type="gramEnd"/>
      <w:r w:rsidRPr="00E20621">
        <w:rPr>
          <w:rFonts w:ascii="Baskerville Old Face" w:hAnsi="Baskerville Old Face" w:cs="Times New Roman"/>
          <w:sz w:val="24"/>
          <w:szCs w:val="24"/>
        </w:rPr>
        <w:t>.</w:t>
      </w:r>
      <w:r>
        <w:rPr>
          <w:rFonts w:ascii="Baskerville Old Face" w:hAnsi="Baskerville Old Face" w:cs="Times New Roman"/>
          <w:sz w:val="24"/>
          <w:szCs w:val="24"/>
        </w:rPr>
        <w:t xml:space="preserve"> </w:t>
      </w:r>
    </w:p>
    <w:p w14:paraId="16FD33AA" w14:textId="01AEADE7" w:rsidR="00E40A2A" w:rsidRPr="00E40A2A" w:rsidRDefault="00E40A2A" w:rsidP="008C5C22">
      <w:pPr>
        <w:pStyle w:val="Heading3"/>
      </w:pPr>
      <w:bookmarkStart w:id="47" w:name="_Toc198205684"/>
      <w:r w:rsidRPr="00E40A2A">
        <w:t>Completed</w:t>
      </w:r>
      <w:r w:rsidR="00E20621" w:rsidRPr="00E20621">
        <w:t xml:space="preserve"> </w:t>
      </w:r>
      <w:r w:rsidR="00E20621" w:rsidRPr="00E40A2A">
        <w:t>Investigations</w:t>
      </w:r>
      <w:bookmarkEnd w:id="47"/>
    </w:p>
    <w:p w14:paraId="3F0CF418" w14:textId="47851372" w:rsidR="00E40A2A" w:rsidRDefault="00E20621" w:rsidP="00E40A2A">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 xml:space="preserve">Several investigative </w:t>
      </w:r>
      <w:r>
        <w:rPr>
          <w:rFonts w:ascii="Baskerville Old Face" w:hAnsi="Baskerville Old Face" w:cs="Times New Roman"/>
          <w:sz w:val="24"/>
          <w:szCs w:val="24"/>
        </w:rPr>
        <w:t>activities</w:t>
      </w:r>
      <w:r w:rsidRPr="00E20621">
        <w:rPr>
          <w:rFonts w:ascii="Baskerville Old Face" w:hAnsi="Baskerville Old Face" w:cs="Times New Roman"/>
          <w:sz w:val="24"/>
          <w:szCs w:val="24"/>
        </w:rPr>
        <w:t xml:space="preserve"> were concluded in 2023, includin</w:t>
      </w:r>
      <w:r>
        <w:rPr>
          <w:rFonts w:ascii="Baskerville Old Face" w:hAnsi="Baskerville Old Face" w:cs="Times New Roman"/>
          <w:sz w:val="24"/>
          <w:szCs w:val="24"/>
        </w:rPr>
        <w:t>g</w:t>
      </w:r>
      <w:r w:rsidR="00E40A2A" w:rsidRPr="00E40A2A">
        <w:rPr>
          <w:rFonts w:ascii="Baskerville Old Face" w:hAnsi="Baskerville Old Face" w:cs="Times New Roman"/>
          <w:sz w:val="24"/>
          <w:szCs w:val="24"/>
        </w:rPr>
        <w:t>:</w:t>
      </w:r>
    </w:p>
    <w:p w14:paraId="152304EB" w14:textId="67C9B32F" w:rsidR="00FC277A" w:rsidRPr="00B0513F" w:rsidRDefault="00FC277A">
      <w:pPr>
        <w:pStyle w:val="ListParagraph"/>
        <w:numPr>
          <w:ilvl w:val="0"/>
          <w:numId w:val="35"/>
        </w:numPr>
        <w:spacing w:line="360" w:lineRule="auto"/>
        <w:jc w:val="both"/>
        <w:rPr>
          <w:rFonts w:ascii="Baskerville Old Face" w:hAnsi="Baskerville Old Face" w:cs="Times New Roman"/>
          <w:sz w:val="24"/>
          <w:szCs w:val="24"/>
        </w:rPr>
      </w:pPr>
      <w:r w:rsidRPr="00B0513F">
        <w:rPr>
          <w:rFonts w:ascii="Baskerville Old Face" w:hAnsi="Baskerville Old Face" w:cs="Times New Roman"/>
          <w:sz w:val="24"/>
          <w:szCs w:val="24"/>
        </w:rPr>
        <w:t xml:space="preserve">Outstation Monitoring </w:t>
      </w:r>
    </w:p>
    <w:p w14:paraId="294F4D07" w14:textId="77777777" w:rsidR="00E20621" w:rsidRDefault="00E20621">
      <w:pPr>
        <w:pStyle w:val="ListParagraph"/>
        <w:numPr>
          <w:ilvl w:val="0"/>
          <w:numId w:val="35"/>
        </w:num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Verification of customs site examinations</w:t>
      </w:r>
    </w:p>
    <w:p w14:paraId="0C67F162" w14:textId="77777777" w:rsidR="00E20621" w:rsidRDefault="00E20621">
      <w:pPr>
        <w:pStyle w:val="ListParagraph"/>
        <w:numPr>
          <w:ilvl w:val="0"/>
          <w:numId w:val="35"/>
        </w:num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Analysis of customs credits</w:t>
      </w:r>
    </w:p>
    <w:p w14:paraId="5CDD027A" w14:textId="61107DA8" w:rsidR="00FC277A" w:rsidRDefault="00E20621">
      <w:pPr>
        <w:pStyle w:val="ListParagraph"/>
        <w:numPr>
          <w:ilvl w:val="0"/>
          <w:numId w:val="35"/>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 xml:space="preserve">Analysis of </w:t>
      </w:r>
      <w:r w:rsidR="00FC277A" w:rsidRPr="00FC277A">
        <w:rPr>
          <w:rFonts w:ascii="Baskerville Old Face" w:hAnsi="Baskerville Old Face" w:cs="Times New Roman"/>
          <w:sz w:val="24"/>
          <w:szCs w:val="24"/>
        </w:rPr>
        <w:t xml:space="preserve">Customs warehouse </w:t>
      </w:r>
      <w:r>
        <w:rPr>
          <w:rFonts w:ascii="Baskerville Old Face" w:hAnsi="Baskerville Old Face" w:cs="Times New Roman"/>
          <w:sz w:val="24"/>
          <w:szCs w:val="24"/>
        </w:rPr>
        <w:t>data</w:t>
      </w:r>
    </w:p>
    <w:p w14:paraId="465C1ECC" w14:textId="2DF1E3ED" w:rsidR="00E20621" w:rsidRPr="00E20621" w:rsidRDefault="00E20621">
      <w:pPr>
        <w:pStyle w:val="ListParagraph"/>
        <w:numPr>
          <w:ilvl w:val="0"/>
          <w:numId w:val="35"/>
        </w:num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Investigations into specific entities such as Hong Peng Resources SL Ltd, Brilliant Company SL Ltd, China Henan International Cooperation Group SL Ltd, and Home Leone Ltd.</w:t>
      </w:r>
    </w:p>
    <w:p w14:paraId="2C01F029" w14:textId="1A5CA3FE" w:rsidR="00E20621" w:rsidRPr="00E20621" w:rsidRDefault="00E20621" w:rsidP="00B0513F">
      <w:pPr>
        <w:spacing w:line="360" w:lineRule="auto"/>
        <w:jc w:val="both"/>
        <w:rPr>
          <w:rFonts w:ascii="Baskerville Old Face" w:hAnsi="Baskerville Old Face" w:cs="Times New Roman"/>
          <w:sz w:val="24"/>
          <w:szCs w:val="24"/>
        </w:rPr>
      </w:pPr>
      <w:r w:rsidRPr="00E20621">
        <w:rPr>
          <w:rFonts w:ascii="Baskerville Old Face" w:hAnsi="Baskerville Old Face" w:cs="Times New Roman"/>
          <w:sz w:val="24"/>
          <w:szCs w:val="24"/>
        </w:rPr>
        <w:t>As a result of these investigations, the RIID successfully recovered revenues along with associated penalties totaling NLe2</w:t>
      </w:r>
      <w:r w:rsidR="00EC2155">
        <w:rPr>
          <w:rFonts w:ascii="Baskerville Old Face" w:hAnsi="Baskerville Old Face" w:cs="Times New Roman"/>
          <w:sz w:val="24"/>
          <w:szCs w:val="24"/>
        </w:rPr>
        <w:t>.</w:t>
      </w:r>
      <w:r w:rsidRPr="00E20621">
        <w:rPr>
          <w:rFonts w:ascii="Baskerville Old Face" w:hAnsi="Baskerville Old Face" w:cs="Times New Roman"/>
          <w:sz w:val="24"/>
          <w:szCs w:val="24"/>
        </w:rPr>
        <w:t xml:space="preserve">690 </w:t>
      </w:r>
      <w:r w:rsidR="00EC2155" w:rsidRPr="00E20621">
        <w:rPr>
          <w:rFonts w:ascii="Baskerville Old Face" w:hAnsi="Baskerville Old Face" w:cs="Times New Roman"/>
          <w:sz w:val="24"/>
          <w:szCs w:val="24"/>
        </w:rPr>
        <w:t>million</w:t>
      </w:r>
      <w:r w:rsidRPr="00E20621">
        <w:rPr>
          <w:rFonts w:ascii="Baskerville Old Face" w:hAnsi="Baskerville Old Face" w:cs="Times New Roman"/>
          <w:sz w:val="24"/>
          <w:szCs w:val="24"/>
        </w:rPr>
        <w:t>. Several cases have been carried over to 2024 for further investigation, including inquiries into Maersk Line regarding GST on local purchases, analysis of GST returns and payments, monthly back-end analysis of ECR</w:t>
      </w:r>
      <w:r>
        <w:rPr>
          <w:rFonts w:ascii="Baskerville Old Face" w:hAnsi="Baskerville Old Face" w:cs="Times New Roman"/>
          <w:sz w:val="24"/>
          <w:szCs w:val="24"/>
        </w:rPr>
        <w:t xml:space="preserve"> data</w:t>
      </w:r>
      <w:r w:rsidRPr="00E20621">
        <w:rPr>
          <w:rFonts w:ascii="Baskerville Old Face" w:hAnsi="Baskerville Old Face" w:cs="Times New Roman"/>
          <w:sz w:val="24"/>
          <w:szCs w:val="24"/>
        </w:rPr>
        <w:t xml:space="preserve">, customs warehouse </w:t>
      </w:r>
      <w:r>
        <w:rPr>
          <w:rFonts w:ascii="Baskerville Old Face" w:hAnsi="Baskerville Old Face" w:cs="Times New Roman"/>
          <w:sz w:val="24"/>
          <w:szCs w:val="24"/>
        </w:rPr>
        <w:t>data analysis</w:t>
      </w:r>
      <w:r w:rsidRPr="00E20621">
        <w:rPr>
          <w:rFonts w:ascii="Baskerville Old Face" w:hAnsi="Baskerville Old Face" w:cs="Times New Roman"/>
          <w:sz w:val="24"/>
          <w:szCs w:val="24"/>
        </w:rPr>
        <w:t>, customs credit analysis, periodic or quarterly outstation revenue investigations</w:t>
      </w:r>
      <w:r>
        <w:rPr>
          <w:rFonts w:ascii="Baskerville Old Face" w:hAnsi="Baskerville Old Face" w:cs="Times New Roman"/>
          <w:sz w:val="24"/>
          <w:szCs w:val="24"/>
        </w:rPr>
        <w:t>, and monitoring compliance of ECR installation</w:t>
      </w:r>
      <w:r w:rsidRPr="00E20621">
        <w:rPr>
          <w:rFonts w:ascii="Baskerville Old Face" w:hAnsi="Baskerville Old Face" w:cs="Times New Roman"/>
          <w:sz w:val="24"/>
          <w:szCs w:val="24"/>
        </w:rPr>
        <w:t>.</w:t>
      </w:r>
    </w:p>
    <w:p w14:paraId="67184D35" w14:textId="5C97A76E" w:rsidR="00144BCB" w:rsidRPr="00144BCB" w:rsidRDefault="00DA22C9" w:rsidP="002725A1">
      <w:pPr>
        <w:pStyle w:val="Heading2"/>
      </w:pPr>
      <w:bookmarkStart w:id="48" w:name="_Toc198205685"/>
      <w:r>
        <w:t xml:space="preserve">3.7: </w:t>
      </w:r>
      <w:r w:rsidR="00EA47E4" w:rsidRPr="00144BCB">
        <w:t xml:space="preserve">UPDATE ON 2023 </w:t>
      </w:r>
      <w:r w:rsidR="00EA47E4">
        <w:t>STRATEGIC PROJECTS</w:t>
      </w:r>
      <w:r w:rsidR="00EA47E4" w:rsidRPr="00144BCB">
        <w:t xml:space="preserve"> </w:t>
      </w:r>
      <w:r w:rsidR="00EA47E4">
        <w:t>I</w:t>
      </w:r>
      <w:r w:rsidR="00EA47E4" w:rsidRPr="00144BCB">
        <w:t>MPLEMENTED</w:t>
      </w:r>
      <w:bookmarkEnd w:id="48"/>
    </w:p>
    <w:p w14:paraId="54ED6F3F" w14:textId="2F86F799" w:rsidR="00CE4C02" w:rsidRPr="006D3B8E" w:rsidRDefault="006D3B8E" w:rsidP="006D3B8E">
      <w:pPr>
        <w:spacing w:line="360" w:lineRule="auto"/>
        <w:jc w:val="both"/>
        <w:rPr>
          <w:rFonts w:ascii="Baskerville Old Face" w:hAnsi="Baskerville Old Face" w:cs="Times New Roman"/>
          <w:sz w:val="24"/>
          <w:szCs w:val="24"/>
        </w:rPr>
      </w:pPr>
      <w:r w:rsidRPr="006D3B8E">
        <w:rPr>
          <w:rFonts w:ascii="Baskerville Old Face" w:hAnsi="Baskerville Old Face" w:cs="Times New Roman"/>
          <w:sz w:val="24"/>
          <w:szCs w:val="24"/>
        </w:rPr>
        <w:t xml:space="preserve">The Authority, with assistance from development partners, commenced the implementation of multiple projects during the period in review. Presented </w:t>
      </w:r>
      <w:r w:rsidR="0017165C">
        <w:rPr>
          <w:rFonts w:ascii="Baskerville Old Face" w:hAnsi="Baskerville Old Face" w:cs="Times New Roman"/>
          <w:sz w:val="24"/>
          <w:szCs w:val="24"/>
        </w:rPr>
        <w:t>in this section</w:t>
      </w:r>
      <w:r w:rsidRPr="006D3B8E">
        <w:rPr>
          <w:rFonts w:ascii="Baskerville Old Face" w:hAnsi="Baskerville Old Face" w:cs="Times New Roman"/>
          <w:sz w:val="24"/>
          <w:szCs w:val="24"/>
        </w:rPr>
        <w:t xml:space="preserve"> is an overview of the progress of these projects, along with the obstacles faced during their implementation. The first four out of the </w:t>
      </w:r>
      <w:r w:rsidR="00920D69">
        <w:rPr>
          <w:rFonts w:ascii="Baskerville Old Face" w:hAnsi="Baskerville Old Face" w:cs="Times New Roman"/>
          <w:sz w:val="24"/>
          <w:szCs w:val="24"/>
        </w:rPr>
        <w:t>nine</w:t>
      </w:r>
      <w:r w:rsidRPr="006D3B8E">
        <w:rPr>
          <w:rFonts w:ascii="Baskerville Old Face" w:hAnsi="Baskerville Old Face" w:cs="Times New Roman"/>
          <w:sz w:val="24"/>
          <w:szCs w:val="24"/>
        </w:rPr>
        <w:t xml:space="preserve"> projects listed below are projects in the current 2023 – 2027 Strategic Plan, while the remainder are carried over from the preceding Strategic Plan.</w:t>
      </w:r>
    </w:p>
    <w:p w14:paraId="33D4BDBF" w14:textId="00D8805E" w:rsidR="00CE4C02" w:rsidRPr="00397086" w:rsidRDefault="00CE4C02" w:rsidP="008C5C22">
      <w:pPr>
        <w:pStyle w:val="Heading3"/>
      </w:pPr>
      <w:bookmarkStart w:id="49" w:name="_Toc198205686"/>
      <w:r w:rsidRPr="00397086">
        <w:t>Data Warehouse System Project</w:t>
      </w:r>
      <w:bookmarkEnd w:id="49"/>
    </w:p>
    <w:p w14:paraId="030A1330" w14:textId="45FF2DEC" w:rsidR="00CE4C02" w:rsidRPr="00397086" w:rsidRDefault="008E7F5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d</w:t>
      </w:r>
      <w:r w:rsidR="00CE4C02" w:rsidRPr="00397086">
        <w:rPr>
          <w:rFonts w:ascii="Baskerville Old Face" w:hAnsi="Baskerville Old Face" w:cs="Times New Roman"/>
          <w:sz w:val="24"/>
          <w:szCs w:val="24"/>
        </w:rPr>
        <w:t xml:space="preserve">ata warehouse system completed for the </w:t>
      </w:r>
      <w:r w:rsidRPr="00397086">
        <w:rPr>
          <w:rFonts w:ascii="Baskerville Old Face" w:hAnsi="Baskerville Old Face" w:cs="Times New Roman"/>
          <w:sz w:val="24"/>
          <w:szCs w:val="24"/>
        </w:rPr>
        <w:t>three</w:t>
      </w:r>
      <w:r w:rsidR="00CE4C02" w:rsidRPr="00397086">
        <w:rPr>
          <w:rFonts w:ascii="Baskerville Old Face" w:hAnsi="Baskerville Old Face" w:cs="Times New Roman"/>
          <w:sz w:val="24"/>
          <w:szCs w:val="24"/>
        </w:rPr>
        <w:t xml:space="preserve"> revenue systems (ITAS, ECR and ASYCUDA)</w:t>
      </w:r>
      <w:r w:rsidRPr="00397086">
        <w:rPr>
          <w:rFonts w:ascii="Baskerville Old Face" w:hAnsi="Baskerville Old Face" w:cs="Times New Roman"/>
          <w:sz w:val="24"/>
          <w:szCs w:val="24"/>
        </w:rPr>
        <w:t xml:space="preserve">. </w:t>
      </w:r>
    </w:p>
    <w:p w14:paraId="348ED0DC" w14:textId="69918781"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Data </w:t>
      </w:r>
      <w:r w:rsidR="008E7F52" w:rsidRPr="00397086">
        <w:rPr>
          <w:rFonts w:ascii="Baskerville Old Face" w:hAnsi="Baskerville Old Face" w:cs="Times New Roman"/>
          <w:sz w:val="24"/>
          <w:szCs w:val="24"/>
        </w:rPr>
        <w:t>i</w:t>
      </w:r>
      <w:r w:rsidRPr="00397086">
        <w:rPr>
          <w:rFonts w:ascii="Baskerville Old Face" w:hAnsi="Baskerville Old Face" w:cs="Times New Roman"/>
          <w:sz w:val="24"/>
          <w:szCs w:val="24"/>
        </w:rPr>
        <w:t>ntegration between ITAS and ECR completed.</w:t>
      </w:r>
    </w:p>
    <w:p w14:paraId="65EF5925" w14:textId="68F00354"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lastRenderedPageBreak/>
        <w:t>Dashboards for ECR, TAS and SYCUDA developed</w:t>
      </w:r>
      <w:r w:rsidR="008E7F52" w:rsidRPr="00397086">
        <w:rPr>
          <w:rFonts w:ascii="Baskerville Old Face" w:hAnsi="Baskerville Old Face" w:cs="Times New Roman"/>
          <w:sz w:val="24"/>
          <w:szCs w:val="24"/>
        </w:rPr>
        <w:t xml:space="preserve"> </w:t>
      </w:r>
      <w:r w:rsidRPr="00397086">
        <w:rPr>
          <w:rFonts w:ascii="Baskerville Old Face" w:hAnsi="Baskerville Old Face" w:cs="Times New Roman"/>
          <w:sz w:val="24"/>
          <w:szCs w:val="24"/>
        </w:rPr>
        <w:t>and are up and running.</w:t>
      </w:r>
    </w:p>
    <w:p w14:paraId="53432CD9" w14:textId="4E408A85"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Input GST (local purchase) functionality developed in the ECR </w:t>
      </w:r>
      <w:r w:rsidR="008E7F52" w:rsidRPr="00397086">
        <w:rPr>
          <w:rFonts w:ascii="Baskerville Old Face" w:hAnsi="Baskerville Old Face" w:cs="Times New Roman"/>
          <w:sz w:val="24"/>
          <w:szCs w:val="24"/>
        </w:rPr>
        <w:t>d</w:t>
      </w:r>
      <w:r w:rsidRPr="00397086">
        <w:rPr>
          <w:rFonts w:ascii="Baskerville Old Face" w:hAnsi="Baskerville Old Face" w:cs="Times New Roman"/>
          <w:sz w:val="24"/>
          <w:szCs w:val="24"/>
        </w:rPr>
        <w:t xml:space="preserve">ashboard and </w:t>
      </w:r>
      <w:r w:rsidR="008E7F52" w:rsidRPr="00397086">
        <w:rPr>
          <w:rFonts w:ascii="Baskerville Old Face" w:hAnsi="Baskerville Old Face" w:cs="Times New Roman"/>
          <w:sz w:val="24"/>
          <w:szCs w:val="24"/>
        </w:rPr>
        <w:t>integrated</w:t>
      </w:r>
      <w:r w:rsidRPr="00397086">
        <w:rPr>
          <w:rFonts w:ascii="Baskerville Old Face" w:hAnsi="Baskerville Old Face" w:cs="Times New Roman"/>
          <w:sz w:val="24"/>
          <w:szCs w:val="24"/>
        </w:rPr>
        <w:t xml:space="preserve"> with ITAS and ASYCUDA</w:t>
      </w:r>
      <w:r w:rsidR="008E7F52" w:rsidRPr="00397086">
        <w:rPr>
          <w:rFonts w:ascii="Baskerville Old Face" w:hAnsi="Baskerville Old Face" w:cs="Times New Roman"/>
          <w:sz w:val="24"/>
          <w:szCs w:val="24"/>
        </w:rPr>
        <w:t xml:space="preserve"> dashboard. </w:t>
      </w:r>
    </w:p>
    <w:p w14:paraId="40F8883B" w14:textId="1C8A9445" w:rsidR="008E7F52" w:rsidRPr="00397086" w:rsidRDefault="008E7F52">
      <w:pPr>
        <w:pStyle w:val="ListParagraph"/>
        <w:numPr>
          <w:ilvl w:val="0"/>
          <w:numId w:val="16"/>
        </w:numPr>
        <w:spacing w:line="360" w:lineRule="auto"/>
        <w:jc w:val="both"/>
        <w:rPr>
          <w:rFonts w:ascii="Baskerville Old Face" w:hAnsi="Baskerville Old Face" w:cs="Times New Roman"/>
          <w:sz w:val="24"/>
          <w:szCs w:val="24"/>
        </w:rPr>
      </w:pPr>
      <w:proofErr w:type="gramStart"/>
      <w:r w:rsidRPr="00397086">
        <w:rPr>
          <w:rFonts w:ascii="Baskerville Old Face" w:hAnsi="Baskerville Old Face" w:cs="Times New Roman"/>
          <w:sz w:val="24"/>
          <w:szCs w:val="24"/>
        </w:rPr>
        <w:t>Data</w:t>
      </w:r>
      <w:proofErr w:type="gramEnd"/>
      <w:r w:rsidRPr="00397086">
        <w:rPr>
          <w:rFonts w:ascii="Baskerville Old Face" w:hAnsi="Baskerville Old Face" w:cs="Times New Roman"/>
          <w:sz w:val="24"/>
          <w:szCs w:val="24"/>
        </w:rPr>
        <w:t xml:space="preserve"> warehouse system </w:t>
      </w:r>
      <w:proofErr w:type="gramStart"/>
      <w:r w:rsidRPr="00397086">
        <w:rPr>
          <w:rFonts w:ascii="Baskerville Old Face" w:hAnsi="Baskerville Old Face" w:cs="Times New Roman"/>
          <w:sz w:val="24"/>
          <w:szCs w:val="24"/>
        </w:rPr>
        <w:t>handed</w:t>
      </w:r>
      <w:proofErr w:type="gramEnd"/>
      <w:r w:rsidRPr="00397086">
        <w:rPr>
          <w:rFonts w:ascii="Baskerville Old Face" w:hAnsi="Baskerville Old Face" w:cs="Times New Roman"/>
          <w:sz w:val="24"/>
          <w:szCs w:val="24"/>
        </w:rPr>
        <w:t xml:space="preserve"> over to the NRA. </w:t>
      </w:r>
    </w:p>
    <w:p w14:paraId="531C7186" w14:textId="0F5EC000" w:rsidR="00CE4C02" w:rsidRPr="00397086" w:rsidRDefault="00CE4C02">
      <w:pPr>
        <w:pStyle w:val="ListParagraph"/>
        <w:numPr>
          <w:ilvl w:val="0"/>
          <w:numId w:val="16"/>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Documentation </w:t>
      </w:r>
      <w:r w:rsidR="008E7F52" w:rsidRPr="00397086">
        <w:rPr>
          <w:rFonts w:ascii="Baskerville Old Face" w:hAnsi="Baskerville Old Face" w:cs="Times New Roman"/>
          <w:sz w:val="24"/>
          <w:szCs w:val="24"/>
        </w:rPr>
        <w:t xml:space="preserve">on system functionality </w:t>
      </w:r>
      <w:r w:rsidRPr="00397086">
        <w:rPr>
          <w:rFonts w:ascii="Baskerville Old Face" w:hAnsi="Baskerville Old Face" w:cs="Times New Roman"/>
          <w:sz w:val="24"/>
          <w:szCs w:val="24"/>
        </w:rPr>
        <w:t>for the data warehouse prepared</w:t>
      </w:r>
      <w:r w:rsidR="008E7F52" w:rsidRPr="00397086">
        <w:rPr>
          <w:rFonts w:ascii="Baskerville Old Face" w:hAnsi="Baskerville Old Face" w:cs="Times New Roman"/>
          <w:sz w:val="24"/>
          <w:szCs w:val="24"/>
        </w:rPr>
        <w:t xml:space="preserve"> and handed over to the NRA by the consultant</w:t>
      </w:r>
      <w:r w:rsidRPr="00397086">
        <w:rPr>
          <w:rFonts w:ascii="Baskerville Old Face" w:hAnsi="Baskerville Old Face" w:cs="Times New Roman"/>
          <w:sz w:val="24"/>
          <w:szCs w:val="24"/>
        </w:rPr>
        <w:t xml:space="preserve">. </w:t>
      </w:r>
    </w:p>
    <w:p w14:paraId="7EC7D723" w14:textId="108F630A" w:rsidR="00CE4C02" w:rsidRPr="00397086" w:rsidRDefault="00CE4C02" w:rsidP="004D5FD6">
      <w:pPr>
        <w:rPr>
          <w:rFonts w:ascii="Baskerville Old Face" w:hAnsi="Baskerville Old Face" w:cs="Times New Roman"/>
          <w:i/>
          <w:iCs/>
          <w:sz w:val="24"/>
          <w:szCs w:val="24"/>
        </w:rPr>
      </w:pPr>
      <w:r w:rsidRPr="00397086">
        <w:rPr>
          <w:rFonts w:ascii="Baskerville Old Face" w:hAnsi="Baskerville Old Face" w:cs="Times New Roman"/>
          <w:i/>
          <w:iCs/>
          <w:sz w:val="24"/>
          <w:szCs w:val="24"/>
        </w:rPr>
        <w:t>Challenges</w:t>
      </w:r>
    </w:p>
    <w:p w14:paraId="6FEF613B" w14:textId="2FC7714F"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No data is available for the ITAS audit module, </w:t>
      </w:r>
      <w:r w:rsidR="008E7F52" w:rsidRPr="00397086">
        <w:rPr>
          <w:rFonts w:ascii="Baskerville Old Face" w:hAnsi="Baskerville Old Face" w:cs="Times New Roman"/>
          <w:sz w:val="24"/>
          <w:szCs w:val="24"/>
        </w:rPr>
        <w:t>r</w:t>
      </w:r>
      <w:r w:rsidRPr="00397086">
        <w:rPr>
          <w:rFonts w:ascii="Baskerville Old Face" w:hAnsi="Baskerville Old Face" w:cs="Times New Roman"/>
          <w:sz w:val="24"/>
          <w:szCs w:val="24"/>
        </w:rPr>
        <w:t xml:space="preserve">isk </w:t>
      </w:r>
      <w:r w:rsidR="008E7F52" w:rsidRPr="00397086">
        <w:rPr>
          <w:rFonts w:ascii="Baskerville Old Face" w:hAnsi="Baskerville Old Face" w:cs="Times New Roman"/>
          <w:sz w:val="24"/>
          <w:szCs w:val="24"/>
        </w:rPr>
        <w:t>a</w:t>
      </w:r>
      <w:r w:rsidRPr="00397086">
        <w:rPr>
          <w:rFonts w:ascii="Baskerville Old Face" w:hAnsi="Baskerville Old Face" w:cs="Times New Roman"/>
          <w:sz w:val="24"/>
          <w:szCs w:val="24"/>
        </w:rPr>
        <w:t xml:space="preserve">nalysis, </w:t>
      </w:r>
      <w:r w:rsidR="008E7F52" w:rsidRPr="00397086">
        <w:rPr>
          <w:rFonts w:ascii="Baskerville Old Face" w:hAnsi="Baskerville Old Face" w:cs="Times New Roman"/>
          <w:sz w:val="24"/>
          <w:szCs w:val="24"/>
        </w:rPr>
        <w:t>r</w:t>
      </w:r>
      <w:r w:rsidRPr="00397086">
        <w:rPr>
          <w:rFonts w:ascii="Baskerville Old Face" w:hAnsi="Baskerville Old Face" w:cs="Times New Roman"/>
          <w:sz w:val="24"/>
          <w:szCs w:val="24"/>
        </w:rPr>
        <w:t xml:space="preserve">evenue </w:t>
      </w:r>
      <w:r w:rsidR="008E7F52" w:rsidRPr="00397086">
        <w:rPr>
          <w:rFonts w:ascii="Baskerville Old Face" w:hAnsi="Baskerville Old Face" w:cs="Times New Roman"/>
          <w:sz w:val="24"/>
          <w:szCs w:val="24"/>
        </w:rPr>
        <w:t>f</w:t>
      </w:r>
      <w:r w:rsidRPr="00397086">
        <w:rPr>
          <w:rFonts w:ascii="Baskerville Old Face" w:hAnsi="Baskerville Old Face" w:cs="Times New Roman"/>
          <w:sz w:val="24"/>
          <w:szCs w:val="24"/>
        </w:rPr>
        <w:t xml:space="preserve">orecasting, and </w:t>
      </w:r>
      <w:r w:rsidR="008E7F52" w:rsidRPr="00397086">
        <w:rPr>
          <w:rFonts w:ascii="Baskerville Old Face" w:hAnsi="Baskerville Old Face" w:cs="Times New Roman"/>
          <w:sz w:val="24"/>
          <w:szCs w:val="24"/>
        </w:rPr>
        <w:t>e</w:t>
      </w:r>
      <w:r w:rsidRPr="00397086">
        <w:rPr>
          <w:rFonts w:ascii="Baskerville Old Face" w:hAnsi="Baskerville Old Face" w:cs="Times New Roman"/>
          <w:sz w:val="24"/>
          <w:szCs w:val="24"/>
        </w:rPr>
        <w:t>xemption</w:t>
      </w:r>
      <w:r w:rsidR="008E7F52" w:rsidRPr="00397086">
        <w:rPr>
          <w:rFonts w:ascii="Baskerville Old Face" w:hAnsi="Baskerville Old Face" w:cs="Times New Roman"/>
          <w:sz w:val="24"/>
          <w:szCs w:val="24"/>
        </w:rPr>
        <w:t>s</w:t>
      </w:r>
      <w:r w:rsidRPr="00397086">
        <w:rPr>
          <w:rFonts w:ascii="Baskerville Old Face" w:hAnsi="Baskerville Old Face" w:cs="Times New Roman"/>
          <w:sz w:val="24"/>
          <w:szCs w:val="24"/>
        </w:rPr>
        <w:t xml:space="preserve"> as </w:t>
      </w:r>
      <w:r w:rsidR="00852CEE" w:rsidRPr="00397086">
        <w:rPr>
          <w:rFonts w:ascii="Baskerville Old Face" w:hAnsi="Baskerville Old Face" w:cs="Times New Roman"/>
          <w:sz w:val="24"/>
          <w:szCs w:val="24"/>
        </w:rPr>
        <w:t>the roll-out of these modules is still pending</w:t>
      </w:r>
      <w:r w:rsidRPr="00397086">
        <w:rPr>
          <w:rFonts w:ascii="Baskerville Old Face" w:hAnsi="Baskerville Old Face" w:cs="Times New Roman"/>
          <w:sz w:val="24"/>
          <w:szCs w:val="24"/>
        </w:rPr>
        <w:t xml:space="preserve">. </w:t>
      </w:r>
    </w:p>
    <w:p w14:paraId="4D72032E" w14:textId="1152ACFB"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Abnormal figures are showing in the dashboard</w:t>
      </w:r>
      <w:r w:rsidR="00852CEE" w:rsidRPr="00397086">
        <w:rPr>
          <w:rFonts w:ascii="Baskerville Old Face" w:hAnsi="Baskerville Old Face" w:cs="Times New Roman"/>
          <w:sz w:val="24"/>
          <w:szCs w:val="24"/>
        </w:rPr>
        <w:t>s</w:t>
      </w:r>
      <w:r w:rsidRPr="00397086">
        <w:rPr>
          <w:rFonts w:ascii="Baskerville Old Face" w:hAnsi="Baskerville Old Face" w:cs="Times New Roman"/>
          <w:sz w:val="24"/>
          <w:szCs w:val="24"/>
        </w:rPr>
        <w:t xml:space="preserve"> that require cross-checking with source data.</w:t>
      </w:r>
    </w:p>
    <w:p w14:paraId="29F0D819" w14:textId="57476221"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Data quality in the ECR systems is increasingly getting low </w:t>
      </w:r>
      <w:r w:rsidR="00852CEE" w:rsidRPr="00397086">
        <w:rPr>
          <w:rFonts w:ascii="Baskerville Old Face" w:hAnsi="Baskerville Old Face" w:cs="Times New Roman"/>
          <w:sz w:val="24"/>
          <w:szCs w:val="24"/>
        </w:rPr>
        <w:t>with primary concern including z</w:t>
      </w:r>
      <w:r w:rsidRPr="00397086">
        <w:rPr>
          <w:rFonts w:ascii="Baskerville Old Face" w:hAnsi="Baskerville Old Face" w:cs="Times New Roman"/>
          <w:sz w:val="24"/>
          <w:szCs w:val="24"/>
        </w:rPr>
        <w:t xml:space="preserve">ero amount invoices, </w:t>
      </w:r>
      <w:r w:rsidR="00852CEE" w:rsidRPr="00397086">
        <w:rPr>
          <w:rFonts w:ascii="Baskerville Old Face" w:hAnsi="Baskerville Old Face" w:cs="Times New Roman"/>
          <w:sz w:val="24"/>
          <w:szCs w:val="24"/>
        </w:rPr>
        <w:t>u</w:t>
      </w:r>
      <w:r w:rsidRPr="00397086">
        <w:rPr>
          <w:rFonts w:ascii="Baskerville Old Face" w:hAnsi="Baskerville Old Face" w:cs="Times New Roman"/>
          <w:sz w:val="24"/>
          <w:szCs w:val="24"/>
        </w:rPr>
        <w:t>nchecked refunds, no corresponding refunds invoice on sales,</w:t>
      </w:r>
      <w:r w:rsidR="00852CEE" w:rsidRPr="00397086">
        <w:rPr>
          <w:rFonts w:ascii="Baskerville Old Face" w:hAnsi="Baskerville Old Face" w:cs="Times New Roman"/>
          <w:sz w:val="24"/>
          <w:szCs w:val="24"/>
        </w:rPr>
        <w:t xml:space="preserve"> and</w:t>
      </w:r>
      <w:r w:rsidRPr="00397086">
        <w:rPr>
          <w:rFonts w:ascii="Baskerville Old Face" w:hAnsi="Baskerville Old Face" w:cs="Times New Roman"/>
          <w:sz w:val="24"/>
          <w:szCs w:val="24"/>
        </w:rPr>
        <w:t xml:space="preserve"> buyer name not indicated</w:t>
      </w:r>
      <w:r w:rsidR="00852CEE" w:rsidRPr="00397086">
        <w:rPr>
          <w:rFonts w:ascii="Baskerville Old Face" w:hAnsi="Baskerville Old Face" w:cs="Times New Roman"/>
          <w:sz w:val="24"/>
          <w:szCs w:val="24"/>
        </w:rPr>
        <w:t xml:space="preserve">. </w:t>
      </w:r>
    </w:p>
    <w:p w14:paraId="179F0F80" w14:textId="76AC6ABF"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There is no plan on how to approach taxpayers to ensure compliance and ensure the ECR usage and data entry are aligned with the NRA guidelines.</w:t>
      </w:r>
    </w:p>
    <w:p w14:paraId="23C9DC91" w14:textId="319D90B6" w:rsidR="00CE4C02" w:rsidRPr="00397086" w:rsidRDefault="00CE4C02">
      <w:pPr>
        <w:pStyle w:val="ListParagraph"/>
        <w:numPr>
          <w:ilvl w:val="0"/>
          <w:numId w:val="1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Third party data sources </w:t>
      </w:r>
      <w:proofErr w:type="gramStart"/>
      <w:r w:rsidRPr="00397086">
        <w:rPr>
          <w:rFonts w:ascii="Baskerville Old Face" w:hAnsi="Baskerville Old Face" w:cs="Times New Roman"/>
          <w:sz w:val="24"/>
          <w:szCs w:val="24"/>
        </w:rPr>
        <w:t>yet</w:t>
      </w:r>
      <w:proofErr w:type="gramEnd"/>
      <w:r w:rsidRPr="00397086">
        <w:rPr>
          <w:rFonts w:ascii="Baskerville Old Face" w:hAnsi="Baskerville Old Face" w:cs="Times New Roman"/>
          <w:sz w:val="24"/>
          <w:szCs w:val="24"/>
        </w:rPr>
        <w:t xml:space="preserve"> to be integrated.</w:t>
      </w:r>
    </w:p>
    <w:p w14:paraId="5BBAFF3A" w14:textId="77777777" w:rsidR="00CE1C11" w:rsidRPr="00397086" w:rsidRDefault="00CE1C11" w:rsidP="00CE1C11">
      <w:pPr>
        <w:pStyle w:val="ListParagraph"/>
        <w:spacing w:line="360" w:lineRule="auto"/>
        <w:jc w:val="both"/>
        <w:rPr>
          <w:rFonts w:ascii="Baskerville Old Face" w:hAnsi="Baskerville Old Face" w:cs="Times New Roman"/>
          <w:sz w:val="24"/>
          <w:szCs w:val="24"/>
        </w:rPr>
      </w:pPr>
    </w:p>
    <w:p w14:paraId="5CE2C183" w14:textId="11F6C955" w:rsidR="00CE4C02" w:rsidRPr="00397086" w:rsidRDefault="00CE4C02" w:rsidP="008C5C22">
      <w:pPr>
        <w:pStyle w:val="Heading3"/>
      </w:pPr>
      <w:bookmarkStart w:id="50" w:name="_Toc198205687"/>
      <w:r w:rsidRPr="00397086">
        <w:t>Compliance Improvement Project</w:t>
      </w:r>
      <w:r w:rsidR="00751434" w:rsidRPr="00397086">
        <w:t xml:space="preserve"> (CIP)</w:t>
      </w:r>
      <w:bookmarkEnd w:id="50"/>
    </w:p>
    <w:p w14:paraId="17D3FD7D" w14:textId="3B6A66A2" w:rsidR="00CE4C02" w:rsidRPr="00397086" w:rsidRDefault="0017165C">
      <w:pPr>
        <w:pStyle w:val="ListParagraph"/>
        <w:numPr>
          <w:ilvl w:val="0"/>
          <w:numId w:val="24"/>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 xml:space="preserve">The </w:t>
      </w:r>
      <w:r w:rsidR="00CE4C02" w:rsidRPr="00397086">
        <w:rPr>
          <w:rFonts w:ascii="Baskerville Old Face" w:hAnsi="Baskerville Old Face" w:cs="Times New Roman"/>
          <w:sz w:val="24"/>
          <w:szCs w:val="24"/>
        </w:rPr>
        <w:t>IMF</w:t>
      </w:r>
      <w:r>
        <w:rPr>
          <w:rFonts w:ascii="Baskerville Old Face" w:hAnsi="Baskerville Old Face" w:cs="Times New Roman"/>
          <w:sz w:val="24"/>
          <w:szCs w:val="24"/>
        </w:rPr>
        <w:t>’s</w:t>
      </w:r>
      <w:r w:rsidR="00CE4C02" w:rsidRPr="00397086">
        <w:rPr>
          <w:rFonts w:ascii="Baskerville Old Face" w:hAnsi="Baskerville Old Face" w:cs="Times New Roman"/>
          <w:sz w:val="24"/>
          <w:szCs w:val="24"/>
        </w:rPr>
        <w:t xml:space="preserve"> </w:t>
      </w:r>
      <w:r w:rsidRPr="0017165C">
        <w:rPr>
          <w:rFonts w:ascii="Baskerville Old Face" w:hAnsi="Baskerville Old Face" w:cs="Times New Roman"/>
          <w:sz w:val="24"/>
          <w:szCs w:val="24"/>
        </w:rPr>
        <w:t>Fiscal Affairs Department</w:t>
      </w:r>
      <w:r w:rsidR="00CE4C02" w:rsidRPr="00397086">
        <w:rPr>
          <w:rFonts w:ascii="Baskerville Old Face" w:hAnsi="Baskerville Old Face" w:cs="Times New Roman"/>
          <w:sz w:val="24"/>
          <w:szCs w:val="24"/>
        </w:rPr>
        <w:t xml:space="preserve"> had commenced a mission on development </w:t>
      </w:r>
      <w:r w:rsidR="00751434" w:rsidRPr="00397086">
        <w:rPr>
          <w:rFonts w:ascii="Baskerville Old Face" w:hAnsi="Baskerville Old Face" w:cs="Times New Roman"/>
          <w:sz w:val="24"/>
          <w:szCs w:val="24"/>
        </w:rPr>
        <w:t xml:space="preserve">of </w:t>
      </w:r>
      <w:r w:rsidR="00CE4C02" w:rsidRPr="00397086">
        <w:rPr>
          <w:rFonts w:ascii="Baskerville Old Face" w:hAnsi="Baskerville Old Face" w:cs="Times New Roman"/>
          <w:sz w:val="24"/>
          <w:szCs w:val="24"/>
        </w:rPr>
        <w:t xml:space="preserve">CIPs for </w:t>
      </w:r>
      <w:r w:rsidR="00751434" w:rsidRPr="00397086">
        <w:rPr>
          <w:rFonts w:ascii="Baskerville Old Face" w:hAnsi="Baskerville Old Face" w:cs="Times New Roman"/>
          <w:sz w:val="24"/>
          <w:szCs w:val="24"/>
        </w:rPr>
        <w:t>major</w:t>
      </w:r>
      <w:r w:rsidR="00CE4C02" w:rsidRPr="00397086">
        <w:rPr>
          <w:rFonts w:ascii="Baskerville Old Face" w:hAnsi="Baskerville Old Face" w:cs="Times New Roman"/>
          <w:sz w:val="24"/>
          <w:szCs w:val="24"/>
        </w:rPr>
        <w:t xml:space="preserve"> taxes for special taxpayers and training of NRA staff.</w:t>
      </w:r>
    </w:p>
    <w:p w14:paraId="3AB0641A" w14:textId="2B8EA00F" w:rsidR="00CE4C02" w:rsidRPr="00397086" w:rsidRDefault="00CE4C02">
      <w:pPr>
        <w:pStyle w:val="ListParagraph"/>
        <w:numPr>
          <w:ilvl w:val="0"/>
          <w:numId w:val="24"/>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Comprehensive digital taxpayer education plan has been prepared and costed.</w:t>
      </w:r>
    </w:p>
    <w:p w14:paraId="0CCE9780" w14:textId="5D42274A" w:rsidR="00CE4C02" w:rsidRPr="00397086" w:rsidRDefault="00CE4C02">
      <w:pPr>
        <w:pStyle w:val="ListParagraph"/>
        <w:numPr>
          <w:ilvl w:val="0"/>
          <w:numId w:val="24"/>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Engagements have commenced with </w:t>
      </w:r>
      <w:r w:rsidR="00751434" w:rsidRPr="00397086">
        <w:rPr>
          <w:rFonts w:ascii="Baskerville Old Face" w:hAnsi="Baskerville Old Face" w:cs="Times New Roman"/>
          <w:sz w:val="24"/>
          <w:szCs w:val="24"/>
        </w:rPr>
        <w:t>the Foreign, Commonwealth &amp; Development Office (</w:t>
      </w:r>
      <w:r w:rsidRPr="00397086">
        <w:rPr>
          <w:rFonts w:ascii="Baskerville Old Face" w:hAnsi="Baskerville Old Face" w:cs="Times New Roman"/>
          <w:sz w:val="24"/>
          <w:szCs w:val="24"/>
        </w:rPr>
        <w:t>FCDO</w:t>
      </w:r>
      <w:r w:rsidR="00751434" w:rsidRPr="00397086">
        <w:rPr>
          <w:rFonts w:ascii="Baskerville Old Face" w:hAnsi="Baskerville Old Face" w:cs="Times New Roman"/>
          <w:sz w:val="24"/>
          <w:szCs w:val="24"/>
        </w:rPr>
        <w:t>)</w:t>
      </w:r>
      <w:r w:rsidRPr="00397086">
        <w:rPr>
          <w:rFonts w:ascii="Baskerville Old Face" w:hAnsi="Baskerville Old Face" w:cs="Times New Roman"/>
          <w:sz w:val="24"/>
          <w:szCs w:val="24"/>
        </w:rPr>
        <w:t xml:space="preserve"> for </w:t>
      </w:r>
      <w:proofErr w:type="gramStart"/>
      <w:r w:rsidRPr="00397086">
        <w:rPr>
          <w:rFonts w:ascii="Baskerville Old Face" w:hAnsi="Baskerville Old Face" w:cs="Times New Roman"/>
          <w:sz w:val="24"/>
          <w:szCs w:val="24"/>
        </w:rPr>
        <w:t>funding of</w:t>
      </w:r>
      <w:proofErr w:type="gramEnd"/>
      <w:r w:rsidRPr="00397086">
        <w:rPr>
          <w:rFonts w:ascii="Baskerville Old Face" w:hAnsi="Baskerville Old Face" w:cs="Times New Roman"/>
          <w:sz w:val="24"/>
          <w:szCs w:val="24"/>
        </w:rPr>
        <w:t xml:space="preserve"> this digital taxpayer education plan.</w:t>
      </w:r>
    </w:p>
    <w:p w14:paraId="1C800746" w14:textId="0E5B80E1" w:rsidR="00144BCB" w:rsidRPr="00397086" w:rsidRDefault="00CE4C02" w:rsidP="004D5FD6">
      <w:pPr>
        <w:rPr>
          <w:rFonts w:ascii="Baskerville Old Face" w:hAnsi="Baskerville Old Face" w:cs="Times New Roman"/>
          <w:i/>
          <w:iCs/>
          <w:sz w:val="24"/>
          <w:szCs w:val="24"/>
        </w:rPr>
      </w:pPr>
      <w:r w:rsidRPr="00397086">
        <w:rPr>
          <w:rFonts w:ascii="Baskerville Old Face" w:hAnsi="Baskerville Old Face" w:cs="Times New Roman"/>
          <w:i/>
          <w:iCs/>
          <w:sz w:val="24"/>
          <w:szCs w:val="24"/>
        </w:rPr>
        <w:t xml:space="preserve">Challenges </w:t>
      </w:r>
    </w:p>
    <w:p w14:paraId="4DEECDF2" w14:textId="05010D9D" w:rsidR="00CE4C02" w:rsidRPr="00397086" w:rsidRDefault="00CE4C02">
      <w:pPr>
        <w:pStyle w:val="ListParagraph"/>
        <w:numPr>
          <w:ilvl w:val="0"/>
          <w:numId w:val="25"/>
        </w:numPr>
        <w:rPr>
          <w:rFonts w:ascii="Baskerville Old Face" w:hAnsi="Baskerville Old Face" w:cs="Times New Roman"/>
          <w:sz w:val="24"/>
          <w:szCs w:val="24"/>
        </w:rPr>
      </w:pPr>
      <w:r w:rsidRPr="00397086">
        <w:rPr>
          <w:rFonts w:ascii="Baskerville Old Face" w:hAnsi="Baskerville Old Face" w:cs="Times New Roman"/>
          <w:sz w:val="24"/>
          <w:szCs w:val="24"/>
        </w:rPr>
        <w:t>Non-establishment of project team</w:t>
      </w:r>
      <w:r w:rsidR="00751434" w:rsidRPr="00397086">
        <w:rPr>
          <w:rFonts w:ascii="Baskerville Old Face" w:hAnsi="Baskerville Old Face" w:cs="Times New Roman"/>
          <w:sz w:val="24"/>
          <w:szCs w:val="24"/>
        </w:rPr>
        <w:t xml:space="preserve">. </w:t>
      </w:r>
    </w:p>
    <w:p w14:paraId="5D5F9986" w14:textId="6283D538" w:rsidR="00CE4C02" w:rsidRPr="00397086" w:rsidRDefault="00BF29EA">
      <w:pPr>
        <w:pStyle w:val="ListParagraph"/>
        <w:numPr>
          <w:ilvl w:val="0"/>
          <w:numId w:val="25"/>
        </w:numPr>
        <w:rPr>
          <w:rFonts w:ascii="Baskerville Old Face" w:hAnsi="Baskerville Old Face" w:cs="Times New Roman"/>
          <w:sz w:val="24"/>
          <w:szCs w:val="24"/>
        </w:rPr>
      </w:pPr>
      <w:r w:rsidRPr="0098005F">
        <w:rPr>
          <w:rFonts w:ascii="Baskerville Old Face" w:hAnsi="Baskerville Old Face" w:cs="Times New Roman"/>
          <w:sz w:val="24"/>
          <w:szCs w:val="24"/>
        </w:rPr>
        <w:t>Low c</w:t>
      </w:r>
      <w:r w:rsidR="00CE4C02" w:rsidRPr="0098005F">
        <w:rPr>
          <w:rFonts w:ascii="Baskerville Old Face" w:hAnsi="Baskerville Old Face" w:cs="Times New Roman"/>
          <w:sz w:val="24"/>
          <w:szCs w:val="24"/>
        </w:rPr>
        <w:t>o</w:t>
      </w:r>
      <w:r w:rsidRPr="0098005F">
        <w:rPr>
          <w:rFonts w:ascii="Baskerville Old Face" w:hAnsi="Baskerville Old Face" w:cs="Times New Roman"/>
          <w:sz w:val="24"/>
          <w:szCs w:val="24"/>
        </w:rPr>
        <w:t>mmitment o</w:t>
      </w:r>
      <w:r w:rsidR="00CE4C02" w:rsidRPr="0098005F">
        <w:rPr>
          <w:rFonts w:ascii="Baskerville Old Face" w:hAnsi="Baskerville Old Face" w:cs="Times New Roman"/>
          <w:sz w:val="24"/>
          <w:szCs w:val="24"/>
        </w:rPr>
        <w:t>f relevant staff to the development of the CIPs</w:t>
      </w:r>
      <w:r w:rsidR="00751434" w:rsidRPr="00397086">
        <w:rPr>
          <w:rFonts w:ascii="Baskerville Old Face" w:hAnsi="Baskerville Old Face" w:cs="Times New Roman"/>
          <w:sz w:val="24"/>
          <w:szCs w:val="24"/>
        </w:rPr>
        <w:t xml:space="preserve">. </w:t>
      </w:r>
    </w:p>
    <w:p w14:paraId="01AA0A46" w14:textId="7761C84D" w:rsidR="00CE4C02" w:rsidRPr="00397086" w:rsidRDefault="00CE4C02">
      <w:pPr>
        <w:pStyle w:val="ListParagraph"/>
        <w:numPr>
          <w:ilvl w:val="0"/>
          <w:numId w:val="25"/>
        </w:numPr>
        <w:rPr>
          <w:rFonts w:ascii="Baskerville Old Face" w:hAnsi="Baskerville Old Face" w:cs="Times New Roman"/>
          <w:sz w:val="24"/>
          <w:szCs w:val="24"/>
        </w:rPr>
      </w:pPr>
      <w:r w:rsidRPr="00397086">
        <w:rPr>
          <w:rFonts w:ascii="Baskerville Old Face" w:hAnsi="Baskerville Old Face" w:cs="Times New Roman"/>
          <w:sz w:val="24"/>
          <w:szCs w:val="24"/>
        </w:rPr>
        <w:t xml:space="preserve">Non-confirmed funding for implementation of the </w:t>
      </w:r>
      <w:r w:rsidR="0017165C">
        <w:rPr>
          <w:rFonts w:ascii="Baskerville Old Face" w:hAnsi="Baskerville Old Face" w:cs="Times New Roman"/>
          <w:sz w:val="24"/>
          <w:szCs w:val="24"/>
        </w:rPr>
        <w:t>p</w:t>
      </w:r>
      <w:r w:rsidRPr="00397086">
        <w:rPr>
          <w:rFonts w:ascii="Baskerville Old Face" w:hAnsi="Baskerville Old Face" w:cs="Times New Roman"/>
          <w:sz w:val="24"/>
          <w:szCs w:val="24"/>
        </w:rPr>
        <w:t>lans when they should have been developed</w:t>
      </w:r>
      <w:r w:rsidR="00751434" w:rsidRPr="00397086">
        <w:rPr>
          <w:rFonts w:ascii="Baskerville Old Face" w:hAnsi="Baskerville Old Face" w:cs="Times New Roman"/>
          <w:sz w:val="24"/>
          <w:szCs w:val="24"/>
        </w:rPr>
        <w:t xml:space="preserve">. </w:t>
      </w:r>
    </w:p>
    <w:p w14:paraId="0369DD3B" w14:textId="77777777" w:rsidR="000D1C54" w:rsidRPr="00397086" w:rsidRDefault="000D1C54" w:rsidP="000D1C54">
      <w:pPr>
        <w:pStyle w:val="ListParagraph"/>
        <w:rPr>
          <w:rFonts w:ascii="Baskerville Old Face" w:hAnsi="Baskerville Old Face" w:cs="Times New Roman"/>
          <w:sz w:val="24"/>
          <w:szCs w:val="24"/>
        </w:rPr>
      </w:pPr>
    </w:p>
    <w:p w14:paraId="369EFFFF" w14:textId="7C48674F" w:rsidR="000D1C54" w:rsidRPr="00397086" w:rsidRDefault="000D1C54" w:rsidP="008C5C22">
      <w:pPr>
        <w:pStyle w:val="Heading3"/>
      </w:pPr>
      <w:bookmarkStart w:id="51" w:name="_Toc198205688"/>
      <w:r w:rsidRPr="00397086">
        <w:lastRenderedPageBreak/>
        <w:t>Mobile Payment App Expansion Project</w:t>
      </w:r>
      <w:bookmarkEnd w:id="51"/>
    </w:p>
    <w:p w14:paraId="0CCFA82A" w14:textId="77777777" w:rsidR="000D1C54" w:rsidRPr="00397086" w:rsidRDefault="000D1C54">
      <w:pPr>
        <w:pStyle w:val="ListParagraph"/>
        <w:numPr>
          <w:ilvl w:val="0"/>
          <w:numId w:val="2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Rolled out to NCRA; OARG; Births and Death; Law Court; and the Ministry of Lands, Housing and Country Planning. </w:t>
      </w:r>
    </w:p>
    <w:p w14:paraId="15731486" w14:textId="77777777" w:rsidR="000D1C54" w:rsidRPr="00397086" w:rsidRDefault="000D1C54">
      <w:pPr>
        <w:pStyle w:val="ListParagraph"/>
        <w:numPr>
          <w:ilvl w:val="0"/>
          <w:numId w:val="2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project team in collaboration with Blue Ribbon initiated a meeting with the Executive Director of SLRSA on plans to commence vehicle and motorbike registration in the Freetown and the provincial areas using the App platform option.</w:t>
      </w:r>
    </w:p>
    <w:p w14:paraId="7D928478" w14:textId="58113562" w:rsidR="00D32305" w:rsidRPr="00397086" w:rsidRDefault="00D32305">
      <w:pPr>
        <w:pStyle w:val="ListParagraph"/>
        <w:numPr>
          <w:ilvl w:val="0"/>
          <w:numId w:val="27"/>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There is an ongoing plan to expand the mobile payment app to SMEs to facilitate payment of taxes. </w:t>
      </w:r>
    </w:p>
    <w:p w14:paraId="7AE7142B" w14:textId="77777777" w:rsidR="000D1C54" w:rsidRPr="00397086" w:rsidRDefault="000D1C54" w:rsidP="000D1C54">
      <w:pPr>
        <w:rPr>
          <w:rFonts w:ascii="Baskerville Old Face" w:hAnsi="Baskerville Old Face" w:cs="Times New Roman"/>
          <w:i/>
          <w:iCs/>
          <w:sz w:val="24"/>
          <w:szCs w:val="24"/>
        </w:rPr>
      </w:pPr>
      <w:r w:rsidRPr="00397086">
        <w:rPr>
          <w:rFonts w:ascii="Baskerville Old Face" w:hAnsi="Baskerville Old Face" w:cs="Times New Roman"/>
          <w:i/>
          <w:iCs/>
          <w:sz w:val="24"/>
          <w:szCs w:val="24"/>
        </w:rPr>
        <w:t>Challenges</w:t>
      </w:r>
    </w:p>
    <w:p w14:paraId="0DFDBE5E" w14:textId="77777777" w:rsidR="000D1C54" w:rsidRPr="00397086" w:rsidRDefault="000D1C54">
      <w:pPr>
        <w:pStyle w:val="ListParagraph"/>
        <w:numPr>
          <w:ilvl w:val="0"/>
          <w:numId w:val="19"/>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The poor internet </w:t>
      </w:r>
      <w:proofErr w:type="gramStart"/>
      <w:r w:rsidRPr="00397086">
        <w:rPr>
          <w:rFonts w:ascii="Baskerville Old Face" w:hAnsi="Baskerville Old Face" w:cs="Times New Roman"/>
          <w:sz w:val="24"/>
          <w:szCs w:val="24"/>
        </w:rPr>
        <w:t>connectivity</w:t>
      </w:r>
      <w:proofErr w:type="gramEnd"/>
      <w:r w:rsidRPr="00397086">
        <w:rPr>
          <w:rFonts w:ascii="Baskerville Old Face" w:hAnsi="Baskerville Old Face" w:cs="Times New Roman"/>
          <w:sz w:val="24"/>
          <w:szCs w:val="24"/>
        </w:rPr>
        <w:t xml:space="preserve"> for most MDAs in the provinces poses a challenge.</w:t>
      </w:r>
    </w:p>
    <w:p w14:paraId="5A7CE2A8" w14:textId="77777777" w:rsidR="000D1C54" w:rsidRPr="00397086" w:rsidRDefault="000D1C54">
      <w:pPr>
        <w:pStyle w:val="ListParagraph"/>
        <w:numPr>
          <w:ilvl w:val="0"/>
          <w:numId w:val="19"/>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The </w:t>
      </w:r>
      <w:proofErr w:type="spellStart"/>
      <w:r w:rsidRPr="00397086">
        <w:rPr>
          <w:rFonts w:ascii="Baskerville Old Face" w:hAnsi="Baskerville Old Face" w:cs="Times New Roman"/>
          <w:sz w:val="24"/>
          <w:szCs w:val="24"/>
        </w:rPr>
        <w:t>utilisation</w:t>
      </w:r>
      <w:proofErr w:type="spellEnd"/>
      <w:r w:rsidRPr="00397086">
        <w:rPr>
          <w:rFonts w:ascii="Baskerville Old Face" w:hAnsi="Baskerville Old Face" w:cs="Times New Roman"/>
          <w:sz w:val="24"/>
          <w:szCs w:val="24"/>
        </w:rPr>
        <w:t xml:space="preserve"> of the Mobile Payment App by SMEs depends on the integration with ITAS and ASYCUDA, which is pending. </w:t>
      </w:r>
    </w:p>
    <w:p w14:paraId="04101DF4" w14:textId="77777777" w:rsidR="000D1C54" w:rsidRPr="00397086" w:rsidRDefault="000D1C54">
      <w:pPr>
        <w:pStyle w:val="ListParagraph"/>
        <w:numPr>
          <w:ilvl w:val="0"/>
          <w:numId w:val="19"/>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The NRA is still awaiting a response from the Executive Director of SLRSA.</w:t>
      </w:r>
    </w:p>
    <w:p w14:paraId="095F192C" w14:textId="77777777" w:rsidR="000D1C54" w:rsidRPr="00397086" w:rsidRDefault="000D1C54" w:rsidP="008811C2">
      <w:pPr>
        <w:pStyle w:val="ListParagraph"/>
        <w:spacing w:line="240" w:lineRule="auto"/>
        <w:jc w:val="both"/>
        <w:rPr>
          <w:rFonts w:ascii="Baskerville Old Face" w:hAnsi="Baskerville Old Face" w:cs="Times New Roman"/>
          <w:sz w:val="24"/>
          <w:szCs w:val="24"/>
        </w:rPr>
      </w:pPr>
    </w:p>
    <w:p w14:paraId="483B3366" w14:textId="5EEC83E6" w:rsidR="000D1C54" w:rsidRPr="00397086" w:rsidRDefault="000D1C54" w:rsidP="008C5C22">
      <w:pPr>
        <w:pStyle w:val="Heading3"/>
      </w:pPr>
      <w:bookmarkStart w:id="52" w:name="_Toc198205689"/>
      <w:r w:rsidRPr="00397086">
        <w:t>Small and Micro Enterprise Project (Formalization Project)</w:t>
      </w:r>
      <w:bookmarkEnd w:id="52"/>
    </w:p>
    <w:p w14:paraId="222FB463" w14:textId="77777777" w:rsidR="000D1C54" w:rsidRPr="00397086" w:rsidRDefault="000D1C54">
      <w:pPr>
        <w:pStyle w:val="ListParagraph"/>
        <w:numPr>
          <w:ilvl w:val="0"/>
          <w:numId w:val="3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Block registration of businesses and taxpayers </w:t>
      </w:r>
      <w:proofErr w:type="gramStart"/>
      <w:r w:rsidRPr="00397086">
        <w:rPr>
          <w:rFonts w:ascii="Baskerville Old Face" w:hAnsi="Baskerville Old Face" w:cs="Times New Roman"/>
          <w:sz w:val="24"/>
          <w:szCs w:val="24"/>
        </w:rPr>
        <w:t>conducted</w:t>
      </w:r>
      <w:proofErr w:type="gramEnd"/>
      <w:r w:rsidRPr="00397086">
        <w:rPr>
          <w:rFonts w:ascii="Baskerville Old Face" w:hAnsi="Baskerville Old Face" w:cs="Times New Roman"/>
          <w:sz w:val="24"/>
          <w:szCs w:val="24"/>
        </w:rPr>
        <w:t xml:space="preserve"> in the Western Area in 2020. </w:t>
      </w:r>
    </w:p>
    <w:p w14:paraId="1B27F5C3" w14:textId="0A952F97" w:rsidR="000D1C54" w:rsidRPr="00397086" w:rsidRDefault="000D1C54">
      <w:pPr>
        <w:pStyle w:val="ListParagraph"/>
        <w:numPr>
          <w:ilvl w:val="0"/>
          <w:numId w:val="31"/>
        </w:numPr>
        <w:spacing w:line="360" w:lineRule="auto"/>
        <w:jc w:val="both"/>
        <w:rPr>
          <w:rFonts w:ascii="Baskerville Old Face" w:hAnsi="Baskerville Old Face" w:cs="Times New Roman"/>
          <w:sz w:val="24"/>
          <w:szCs w:val="24"/>
        </w:rPr>
      </w:pPr>
      <w:proofErr w:type="spellStart"/>
      <w:r w:rsidRPr="00397086">
        <w:rPr>
          <w:rFonts w:ascii="Baskerville Old Face" w:hAnsi="Baskerville Old Face" w:cs="Times New Roman"/>
          <w:sz w:val="24"/>
          <w:szCs w:val="24"/>
        </w:rPr>
        <w:t>Containerised</w:t>
      </w:r>
      <w:proofErr w:type="spellEnd"/>
      <w:r w:rsidRPr="00397086">
        <w:rPr>
          <w:rFonts w:ascii="Baskerville Old Face" w:hAnsi="Baskerville Old Face" w:cs="Times New Roman"/>
          <w:sz w:val="24"/>
          <w:szCs w:val="24"/>
        </w:rPr>
        <w:t xml:space="preserve"> offices installed with support from the UNDP and handed over to serve as taxpayer service </w:t>
      </w:r>
      <w:proofErr w:type="spellStart"/>
      <w:r w:rsidR="008D3B82" w:rsidRPr="00397086">
        <w:rPr>
          <w:rFonts w:ascii="Baskerville Old Face" w:hAnsi="Baskerville Old Face" w:cs="Times New Roman"/>
          <w:sz w:val="24"/>
          <w:szCs w:val="24"/>
        </w:rPr>
        <w:t>centre</w:t>
      </w:r>
      <w:r w:rsidR="008D3B82">
        <w:rPr>
          <w:rFonts w:ascii="Baskerville Old Face" w:hAnsi="Baskerville Old Face" w:cs="Times New Roman"/>
          <w:sz w:val="24"/>
          <w:szCs w:val="24"/>
        </w:rPr>
        <w:t>s</w:t>
      </w:r>
      <w:proofErr w:type="spellEnd"/>
      <w:r w:rsidRPr="00397086">
        <w:rPr>
          <w:rFonts w:ascii="Baskerville Old Face" w:hAnsi="Baskerville Old Face" w:cs="Times New Roman"/>
          <w:sz w:val="24"/>
          <w:szCs w:val="24"/>
        </w:rPr>
        <w:t xml:space="preserve"> in Freetown. </w:t>
      </w:r>
    </w:p>
    <w:p w14:paraId="670BEB5E" w14:textId="77777777" w:rsidR="000D1C54" w:rsidRPr="00397086" w:rsidRDefault="000D1C54">
      <w:pPr>
        <w:pStyle w:val="ListParagraph"/>
        <w:numPr>
          <w:ilvl w:val="0"/>
          <w:numId w:val="3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Concept Note prepared for the Block Registration exercise in the regional cities.</w:t>
      </w:r>
    </w:p>
    <w:p w14:paraId="4F515176" w14:textId="77777777" w:rsidR="000D1C54" w:rsidRPr="00397086" w:rsidRDefault="000D1C54" w:rsidP="000D1C54">
      <w:pPr>
        <w:rPr>
          <w:rFonts w:ascii="Baskerville Old Face" w:hAnsi="Baskerville Old Face" w:cs="Times New Roman"/>
          <w:i/>
          <w:iCs/>
          <w:sz w:val="24"/>
          <w:szCs w:val="24"/>
        </w:rPr>
      </w:pPr>
      <w:r w:rsidRPr="00397086">
        <w:rPr>
          <w:rFonts w:ascii="Baskerville Old Face" w:hAnsi="Baskerville Old Face" w:cs="Times New Roman"/>
          <w:i/>
          <w:iCs/>
          <w:sz w:val="24"/>
          <w:szCs w:val="24"/>
        </w:rPr>
        <w:t>Challenges</w:t>
      </w:r>
    </w:p>
    <w:p w14:paraId="7DAEED50" w14:textId="77777777" w:rsidR="000D1C54" w:rsidRPr="00397086" w:rsidRDefault="000D1C54">
      <w:pPr>
        <w:pStyle w:val="ListParagraph"/>
        <w:numPr>
          <w:ilvl w:val="0"/>
          <w:numId w:val="21"/>
        </w:numPr>
        <w:spacing w:line="360" w:lineRule="auto"/>
        <w:jc w:val="both"/>
        <w:rPr>
          <w:rFonts w:ascii="Baskerville Old Face" w:hAnsi="Baskerville Old Face" w:cs="Times New Roman"/>
          <w:sz w:val="24"/>
          <w:szCs w:val="24"/>
        </w:rPr>
      </w:pPr>
      <w:proofErr w:type="spellStart"/>
      <w:r w:rsidRPr="00397086">
        <w:rPr>
          <w:rFonts w:ascii="Baskerville Old Face" w:hAnsi="Baskerville Old Face" w:cs="Times New Roman"/>
          <w:sz w:val="24"/>
          <w:szCs w:val="24"/>
        </w:rPr>
        <w:t>Containerised</w:t>
      </w:r>
      <w:proofErr w:type="spellEnd"/>
      <w:r w:rsidRPr="00397086">
        <w:rPr>
          <w:rFonts w:ascii="Baskerville Old Face" w:hAnsi="Baskerville Old Face" w:cs="Times New Roman"/>
          <w:sz w:val="24"/>
          <w:szCs w:val="24"/>
        </w:rPr>
        <w:t xml:space="preserve"> offices </w:t>
      </w:r>
      <w:proofErr w:type="gramStart"/>
      <w:r w:rsidRPr="00397086">
        <w:rPr>
          <w:rFonts w:ascii="Baskerville Old Face" w:hAnsi="Baskerville Old Face" w:cs="Times New Roman"/>
          <w:sz w:val="24"/>
          <w:szCs w:val="24"/>
        </w:rPr>
        <w:t>yet</w:t>
      </w:r>
      <w:proofErr w:type="gramEnd"/>
      <w:r w:rsidRPr="00397086">
        <w:rPr>
          <w:rFonts w:ascii="Baskerville Old Face" w:hAnsi="Baskerville Old Face" w:cs="Times New Roman"/>
          <w:sz w:val="24"/>
          <w:szCs w:val="24"/>
        </w:rPr>
        <w:t xml:space="preserve"> to be </w:t>
      </w:r>
      <w:proofErr w:type="spellStart"/>
      <w:r w:rsidRPr="00397086">
        <w:rPr>
          <w:rFonts w:ascii="Baskerville Old Face" w:hAnsi="Baskerville Old Face" w:cs="Times New Roman"/>
          <w:sz w:val="24"/>
          <w:szCs w:val="24"/>
        </w:rPr>
        <w:t>operationalised</w:t>
      </w:r>
      <w:proofErr w:type="spellEnd"/>
      <w:r w:rsidRPr="00397086">
        <w:rPr>
          <w:rFonts w:ascii="Baskerville Old Face" w:hAnsi="Baskerville Old Face" w:cs="Times New Roman"/>
          <w:sz w:val="24"/>
          <w:szCs w:val="24"/>
        </w:rPr>
        <w:t>.</w:t>
      </w:r>
    </w:p>
    <w:p w14:paraId="3B0E65AA" w14:textId="4D5BBBFB" w:rsidR="000D1C54" w:rsidRPr="00397086" w:rsidRDefault="000D1C54">
      <w:pPr>
        <w:pStyle w:val="ListParagraph"/>
        <w:numPr>
          <w:ilvl w:val="0"/>
          <w:numId w:val="21"/>
        </w:numPr>
        <w:spacing w:line="360" w:lineRule="auto"/>
        <w:jc w:val="both"/>
        <w:rPr>
          <w:rFonts w:ascii="Baskerville Old Face" w:hAnsi="Baskerville Old Face" w:cs="Times New Roman"/>
          <w:sz w:val="24"/>
          <w:szCs w:val="24"/>
        </w:rPr>
      </w:pPr>
      <w:r w:rsidRPr="00397086">
        <w:rPr>
          <w:rFonts w:ascii="Baskerville Old Face" w:hAnsi="Baskerville Old Face" w:cs="Times New Roman"/>
          <w:sz w:val="24"/>
          <w:szCs w:val="24"/>
        </w:rPr>
        <w:t xml:space="preserve">The delay in the conduct of the Block Registration in the regional cities due to </w:t>
      </w:r>
      <w:proofErr w:type="gramStart"/>
      <w:r w:rsidRPr="00397086">
        <w:rPr>
          <w:rFonts w:ascii="Baskerville Old Face" w:hAnsi="Baskerville Old Face" w:cs="Times New Roman"/>
          <w:sz w:val="24"/>
          <w:szCs w:val="24"/>
        </w:rPr>
        <w:t>nonavailability</w:t>
      </w:r>
      <w:proofErr w:type="gramEnd"/>
      <w:r w:rsidRPr="00397086">
        <w:rPr>
          <w:rFonts w:ascii="Baskerville Old Face" w:hAnsi="Baskerville Old Face" w:cs="Times New Roman"/>
          <w:sz w:val="24"/>
          <w:szCs w:val="24"/>
        </w:rPr>
        <w:t xml:space="preserve"> of funding.</w:t>
      </w:r>
    </w:p>
    <w:p w14:paraId="7F913229" w14:textId="77777777" w:rsidR="000D1C54" w:rsidRPr="00CE4C02" w:rsidRDefault="000D1C54" w:rsidP="008811C2">
      <w:pPr>
        <w:pStyle w:val="ListParagraph"/>
        <w:spacing w:line="240" w:lineRule="auto"/>
        <w:rPr>
          <w:rFonts w:ascii="Baskerville Old Face" w:hAnsi="Baskerville Old Face" w:cs="Times New Roman"/>
          <w:sz w:val="24"/>
          <w:szCs w:val="24"/>
        </w:rPr>
      </w:pPr>
    </w:p>
    <w:p w14:paraId="1E0ED44D" w14:textId="22BD69CB" w:rsidR="00CE4C02" w:rsidRPr="00762F45" w:rsidRDefault="00CE4C02" w:rsidP="008C5C22">
      <w:pPr>
        <w:pStyle w:val="Heading3"/>
      </w:pPr>
      <w:bookmarkStart w:id="53" w:name="_Toc198205690"/>
      <w:r w:rsidRPr="00762F45">
        <w:t>Change Management Enhancement Project</w:t>
      </w:r>
      <w:bookmarkEnd w:id="53"/>
    </w:p>
    <w:p w14:paraId="42B1E433" w14:textId="41F880AD" w:rsidR="00CE4C02" w:rsidRPr="00CE4C02" w:rsidRDefault="00CE4C02">
      <w:pPr>
        <w:pStyle w:val="ListParagraph"/>
        <w:numPr>
          <w:ilvl w:val="0"/>
          <w:numId w:val="26"/>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Some NRA staff (Change Champions) have been assigned to act as liaisons between the Change Management Project Team and </w:t>
      </w:r>
      <w:r w:rsidR="007C2F4C">
        <w:rPr>
          <w:rFonts w:ascii="Baskerville Old Face" w:hAnsi="Baskerville Old Face" w:cs="Times New Roman"/>
          <w:sz w:val="24"/>
          <w:szCs w:val="24"/>
        </w:rPr>
        <w:t>all staff of the Authority</w:t>
      </w:r>
      <w:r w:rsidRPr="00CE4C02">
        <w:rPr>
          <w:rFonts w:ascii="Baskerville Old Face" w:hAnsi="Baskerville Old Face" w:cs="Times New Roman"/>
          <w:sz w:val="24"/>
          <w:szCs w:val="24"/>
        </w:rPr>
        <w:t xml:space="preserve"> to coordinate change management activities within departments.</w:t>
      </w:r>
    </w:p>
    <w:p w14:paraId="28B761E0" w14:textId="290E4D1F" w:rsidR="00CE4C02" w:rsidRPr="00CE4C02" w:rsidRDefault="00CE4C02">
      <w:pPr>
        <w:pStyle w:val="ListParagraph"/>
        <w:numPr>
          <w:ilvl w:val="0"/>
          <w:numId w:val="26"/>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Town hall meetings have been initiated in the provinces.</w:t>
      </w:r>
    </w:p>
    <w:p w14:paraId="43D93B10" w14:textId="77777777" w:rsidR="009674D6" w:rsidRDefault="009674D6" w:rsidP="004D5FD6">
      <w:pPr>
        <w:rPr>
          <w:rFonts w:ascii="Baskerville Old Face" w:hAnsi="Baskerville Old Face" w:cs="Times New Roman"/>
          <w:i/>
          <w:iCs/>
          <w:sz w:val="24"/>
          <w:szCs w:val="24"/>
        </w:rPr>
      </w:pPr>
    </w:p>
    <w:p w14:paraId="153BBC62" w14:textId="421F3FA3"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lastRenderedPageBreak/>
        <w:t xml:space="preserve">Challenges </w:t>
      </w:r>
    </w:p>
    <w:p w14:paraId="6C944F51" w14:textId="5FE50AB0" w:rsidR="00CE1C11" w:rsidRPr="00E350FC" w:rsidRDefault="00CE4C02">
      <w:pPr>
        <w:pStyle w:val="ListParagraph"/>
        <w:numPr>
          <w:ilvl w:val="0"/>
          <w:numId w:val="18"/>
        </w:numPr>
        <w:spacing w:line="360" w:lineRule="auto"/>
        <w:jc w:val="both"/>
        <w:rPr>
          <w:rFonts w:ascii="Baskerville Old Face" w:hAnsi="Baskerville Old Face" w:cs="Times New Roman"/>
          <w:sz w:val="24"/>
          <w:szCs w:val="24"/>
        </w:rPr>
      </w:pPr>
      <w:r w:rsidRPr="00E350FC">
        <w:rPr>
          <w:rFonts w:ascii="Baskerville Old Face" w:hAnsi="Baskerville Old Face" w:cs="Times New Roman"/>
          <w:sz w:val="24"/>
          <w:szCs w:val="24"/>
        </w:rPr>
        <w:t xml:space="preserve">Preparation of a Change Management Plan and Timetable </w:t>
      </w:r>
      <w:r w:rsidR="006D2A72">
        <w:rPr>
          <w:rFonts w:ascii="Baskerville Old Face" w:hAnsi="Baskerville Old Face" w:cs="Times New Roman"/>
          <w:sz w:val="24"/>
          <w:szCs w:val="24"/>
        </w:rPr>
        <w:t>to provide feedback to stakeholders</w:t>
      </w:r>
      <w:r w:rsidR="00BF29EA" w:rsidRPr="00E350FC">
        <w:rPr>
          <w:rFonts w:ascii="Baskerville Old Face" w:hAnsi="Baskerville Old Face" w:cs="Times New Roman"/>
          <w:sz w:val="24"/>
          <w:szCs w:val="24"/>
        </w:rPr>
        <w:t>.</w:t>
      </w:r>
    </w:p>
    <w:p w14:paraId="092AF794" w14:textId="360B44AE" w:rsidR="00CE4C02" w:rsidRPr="00CE4C02" w:rsidRDefault="00CE4C02" w:rsidP="008811C2">
      <w:pPr>
        <w:pStyle w:val="ListParagraph"/>
        <w:spacing w:line="240" w:lineRule="auto"/>
        <w:jc w:val="both"/>
        <w:rPr>
          <w:rFonts w:ascii="Baskerville Old Face" w:hAnsi="Baskerville Old Face" w:cs="Times New Roman"/>
          <w:sz w:val="24"/>
          <w:szCs w:val="24"/>
        </w:rPr>
      </w:pPr>
    </w:p>
    <w:p w14:paraId="59ABD7C5" w14:textId="4A468A9C" w:rsidR="00CE4C02" w:rsidRPr="00CE1C11" w:rsidRDefault="00CE4C02" w:rsidP="008C5C22">
      <w:pPr>
        <w:pStyle w:val="Heading3"/>
      </w:pPr>
      <w:bookmarkStart w:id="54" w:name="_Toc198205691"/>
      <w:r w:rsidRPr="00CE1C11">
        <w:t>Revenue Systems Integration and Security Project</w:t>
      </w:r>
      <w:bookmarkEnd w:id="54"/>
    </w:p>
    <w:p w14:paraId="7FF1295B" w14:textId="0AAC509F"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Documentation for integration of the NRA systems prepared.</w:t>
      </w:r>
    </w:p>
    <w:p w14:paraId="61CC7946" w14:textId="2B60F51A"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Developed NRA </w:t>
      </w:r>
      <w:proofErr w:type="spellStart"/>
      <w:r w:rsidRPr="00CE4C02">
        <w:rPr>
          <w:rFonts w:ascii="Baskerville Old Face" w:hAnsi="Baskerville Old Face" w:cs="Times New Roman"/>
          <w:sz w:val="24"/>
          <w:szCs w:val="24"/>
        </w:rPr>
        <w:t>digitalisation</w:t>
      </w:r>
      <w:proofErr w:type="spellEnd"/>
      <w:r w:rsidRPr="00CE4C02">
        <w:rPr>
          <w:rFonts w:ascii="Baskerville Old Face" w:hAnsi="Baskerville Old Face" w:cs="Times New Roman"/>
          <w:sz w:val="24"/>
          <w:szCs w:val="24"/>
        </w:rPr>
        <w:t xml:space="preserve"> road map partly involving the integration of revenue systems.</w:t>
      </w:r>
    </w:p>
    <w:p w14:paraId="7C555DF3" w14:textId="58D98119"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Working with world bank to confirm funding.</w:t>
      </w:r>
    </w:p>
    <w:p w14:paraId="1ADDDEE1" w14:textId="00992492" w:rsidR="00CE4C02" w:rsidRPr="00CE4C02" w:rsidRDefault="00CE4C02">
      <w:pPr>
        <w:pStyle w:val="ListParagraph"/>
        <w:numPr>
          <w:ilvl w:val="0"/>
          <w:numId w:val="28"/>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Conducted a Vulnerability Assessment and Penetration Testing (VAPT) to check security of current systems.</w:t>
      </w:r>
    </w:p>
    <w:p w14:paraId="662C79CE" w14:textId="1E7D14ED"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t>Challenges</w:t>
      </w:r>
    </w:p>
    <w:p w14:paraId="55A89A2F" w14:textId="7E7302D7" w:rsidR="00CE4C02" w:rsidRP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Lack of confirmed funding</w:t>
      </w:r>
      <w:r w:rsidR="0029274C">
        <w:rPr>
          <w:rFonts w:ascii="Baskerville Old Face" w:hAnsi="Baskerville Old Face" w:cs="Times New Roman"/>
          <w:sz w:val="24"/>
          <w:szCs w:val="24"/>
        </w:rPr>
        <w:t>.</w:t>
      </w:r>
    </w:p>
    <w:p w14:paraId="402FF183" w14:textId="16A23AA0" w:rsidR="00CE4C02" w:rsidRP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Lack of internal capacity to undertake integration.</w:t>
      </w:r>
    </w:p>
    <w:p w14:paraId="0A5112C6" w14:textId="1D40F8AE" w:rsidR="00CE4C02" w:rsidRP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Non-establishment of a project team</w:t>
      </w:r>
      <w:r w:rsidR="0029274C">
        <w:rPr>
          <w:rFonts w:ascii="Baskerville Old Face" w:hAnsi="Baskerville Old Face" w:cs="Times New Roman"/>
          <w:sz w:val="24"/>
          <w:szCs w:val="24"/>
        </w:rPr>
        <w:t>.</w:t>
      </w:r>
    </w:p>
    <w:p w14:paraId="582F1AD2" w14:textId="4F4DC17F" w:rsidR="00CE4C02" w:rsidRDefault="00CE4C02">
      <w:pPr>
        <w:pStyle w:val="ListParagraph"/>
        <w:numPr>
          <w:ilvl w:val="0"/>
          <w:numId w:val="29"/>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Recommendations from VAPT yet to be implemented.</w:t>
      </w:r>
    </w:p>
    <w:p w14:paraId="645D4CA5" w14:textId="77777777" w:rsidR="00CE1C11" w:rsidRPr="00CE4C02" w:rsidRDefault="00CE1C11" w:rsidP="008811C2">
      <w:pPr>
        <w:pStyle w:val="ListParagraph"/>
        <w:spacing w:line="240" w:lineRule="auto"/>
        <w:jc w:val="both"/>
        <w:rPr>
          <w:rFonts w:ascii="Baskerville Old Face" w:hAnsi="Baskerville Old Face" w:cs="Times New Roman"/>
          <w:sz w:val="24"/>
          <w:szCs w:val="24"/>
        </w:rPr>
      </w:pPr>
    </w:p>
    <w:p w14:paraId="4BB67E4F" w14:textId="6CA6D70E" w:rsidR="00CE4C02" w:rsidRPr="00CE1C11" w:rsidRDefault="00CE4C02" w:rsidP="008C5C22">
      <w:pPr>
        <w:pStyle w:val="Heading3"/>
      </w:pPr>
      <w:bookmarkStart w:id="55" w:name="_Toc198205692"/>
      <w:r w:rsidRPr="00CE1C11">
        <w:t>Infrastructural Development/Enhancement Project</w:t>
      </w:r>
      <w:bookmarkEnd w:id="55"/>
    </w:p>
    <w:p w14:paraId="4A5FFE47" w14:textId="123218BC" w:rsidR="00CE4C02" w:rsidRPr="00CE4C02" w:rsidRDefault="00CE4C02">
      <w:pPr>
        <w:pStyle w:val="ListParagraph"/>
        <w:numPr>
          <w:ilvl w:val="0"/>
          <w:numId w:val="30"/>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Contract awarded for the construction of the </w:t>
      </w:r>
      <w:r w:rsidR="0029274C">
        <w:rPr>
          <w:rFonts w:ascii="Baskerville Old Face" w:hAnsi="Baskerville Old Face" w:cs="Times New Roman"/>
          <w:sz w:val="24"/>
          <w:szCs w:val="24"/>
        </w:rPr>
        <w:t>proposed administrative headquarters of the NRA (</w:t>
      </w:r>
      <w:r w:rsidRPr="00CE4C02">
        <w:rPr>
          <w:rFonts w:ascii="Baskerville Old Face" w:hAnsi="Baskerville Old Face" w:cs="Times New Roman"/>
          <w:sz w:val="24"/>
          <w:szCs w:val="24"/>
        </w:rPr>
        <w:t>Revenue House</w:t>
      </w:r>
      <w:r w:rsidR="0029274C">
        <w:rPr>
          <w:rFonts w:ascii="Baskerville Old Face" w:hAnsi="Baskerville Old Face" w:cs="Times New Roman"/>
          <w:sz w:val="24"/>
          <w:szCs w:val="24"/>
        </w:rPr>
        <w:t>)</w:t>
      </w:r>
      <w:r w:rsidRPr="00CE4C02">
        <w:rPr>
          <w:rFonts w:ascii="Baskerville Old Face" w:hAnsi="Baskerville Old Face" w:cs="Times New Roman"/>
          <w:sz w:val="24"/>
          <w:szCs w:val="24"/>
        </w:rPr>
        <w:t xml:space="preserve"> </w:t>
      </w:r>
      <w:r w:rsidR="0029274C">
        <w:rPr>
          <w:rFonts w:ascii="Baskerville Old Face" w:hAnsi="Baskerville Old Face" w:cs="Times New Roman"/>
          <w:sz w:val="24"/>
          <w:szCs w:val="24"/>
        </w:rPr>
        <w:t>on</w:t>
      </w:r>
      <w:r w:rsidRPr="00CE4C02">
        <w:rPr>
          <w:rFonts w:ascii="Baskerville Old Face" w:hAnsi="Baskerville Old Face" w:cs="Times New Roman"/>
          <w:sz w:val="24"/>
          <w:szCs w:val="24"/>
        </w:rPr>
        <w:t xml:space="preserve"> Wilkinson Road</w:t>
      </w:r>
      <w:r w:rsidR="0029274C">
        <w:rPr>
          <w:rFonts w:ascii="Baskerville Old Face" w:hAnsi="Baskerville Old Face" w:cs="Times New Roman"/>
          <w:sz w:val="24"/>
          <w:szCs w:val="24"/>
        </w:rPr>
        <w:t xml:space="preserve">. </w:t>
      </w:r>
    </w:p>
    <w:p w14:paraId="4D48F524" w14:textId="1EFA3C07" w:rsidR="00CE4C02" w:rsidRPr="00CE4C02" w:rsidRDefault="0029274C">
      <w:pPr>
        <w:pStyle w:val="ListParagraph"/>
        <w:numPr>
          <w:ilvl w:val="0"/>
          <w:numId w:val="30"/>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The l</w:t>
      </w:r>
      <w:r w:rsidR="00CE4C02" w:rsidRPr="00CE4C02">
        <w:rPr>
          <w:rFonts w:ascii="Baskerville Old Face" w:hAnsi="Baskerville Old Face" w:cs="Times New Roman"/>
          <w:sz w:val="24"/>
          <w:szCs w:val="24"/>
        </w:rPr>
        <w:t xml:space="preserve">and </w:t>
      </w:r>
      <w:r>
        <w:rPr>
          <w:rFonts w:ascii="Baskerville Old Face" w:hAnsi="Baskerville Old Face" w:cs="Times New Roman"/>
          <w:sz w:val="24"/>
          <w:szCs w:val="24"/>
        </w:rPr>
        <w:t xml:space="preserve">has been </w:t>
      </w:r>
      <w:r w:rsidR="00CE4C02" w:rsidRPr="00CE4C02">
        <w:rPr>
          <w:rFonts w:ascii="Baskerville Old Face" w:hAnsi="Baskerville Old Face" w:cs="Times New Roman"/>
          <w:sz w:val="24"/>
          <w:szCs w:val="24"/>
        </w:rPr>
        <w:t xml:space="preserve">cleared to commence </w:t>
      </w:r>
      <w:r w:rsidR="00C844A3">
        <w:rPr>
          <w:rFonts w:ascii="Baskerville Old Face" w:hAnsi="Baskerville Old Face" w:cs="Times New Roman"/>
          <w:sz w:val="24"/>
          <w:szCs w:val="24"/>
        </w:rPr>
        <w:t xml:space="preserve">construction </w:t>
      </w:r>
      <w:r w:rsidR="00CE4C02" w:rsidRPr="00CE4C02">
        <w:rPr>
          <w:rFonts w:ascii="Baskerville Old Face" w:hAnsi="Baskerville Old Face" w:cs="Times New Roman"/>
          <w:sz w:val="24"/>
          <w:szCs w:val="24"/>
        </w:rPr>
        <w:t>work.</w:t>
      </w:r>
    </w:p>
    <w:p w14:paraId="2F6FB329" w14:textId="32B81AE5"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t>Challenges</w:t>
      </w:r>
    </w:p>
    <w:p w14:paraId="4A6003F7" w14:textId="77777777" w:rsidR="00CE1C11" w:rsidRDefault="00CE4C02">
      <w:pPr>
        <w:pStyle w:val="ListParagraph"/>
        <w:numPr>
          <w:ilvl w:val="0"/>
          <w:numId w:val="20"/>
        </w:numPr>
        <w:rPr>
          <w:rFonts w:ascii="Baskerville Old Face" w:hAnsi="Baskerville Old Face" w:cs="Times New Roman"/>
          <w:sz w:val="24"/>
          <w:szCs w:val="24"/>
        </w:rPr>
      </w:pPr>
      <w:r w:rsidRPr="00CE4C02">
        <w:rPr>
          <w:rFonts w:ascii="Baskerville Old Face" w:hAnsi="Baskerville Old Face" w:cs="Times New Roman"/>
          <w:sz w:val="24"/>
          <w:szCs w:val="24"/>
        </w:rPr>
        <w:t>Lack of confirmed funding</w:t>
      </w:r>
      <w:r w:rsidR="0029274C">
        <w:rPr>
          <w:rFonts w:ascii="Baskerville Old Face" w:hAnsi="Baskerville Old Face" w:cs="Times New Roman"/>
          <w:sz w:val="24"/>
          <w:szCs w:val="24"/>
        </w:rPr>
        <w:t>.</w:t>
      </w:r>
    </w:p>
    <w:p w14:paraId="1BD7026B" w14:textId="77777777" w:rsidR="000D1C54" w:rsidRDefault="000D1C54" w:rsidP="008811C2">
      <w:pPr>
        <w:pStyle w:val="ListParagraph"/>
        <w:spacing w:line="240" w:lineRule="auto"/>
        <w:rPr>
          <w:rFonts w:ascii="Baskerville Old Face" w:hAnsi="Baskerville Old Face" w:cs="Times New Roman"/>
          <w:sz w:val="24"/>
          <w:szCs w:val="24"/>
        </w:rPr>
      </w:pPr>
    </w:p>
    <w:p w14:paraId="1700C93B" w14:textId="4BB8225D" w:rsidR="000D1C54" w:rsidRPr="00CE1C11" w:rsidRDefault="000D1C54" w:rsidP="008C5C22">
      <w:pPr>
        <w:pStyle w:val="Heading3"/>
      </w:pPr>
      <w:bookmarkStart w:id="56" w:name="_Toc198205693"/>
      <w:r w:rsidRPr="00CE1C11">
        <w:t>Centralized Data Analytics Project</w:t>
      </w:r>
      <w:bookmarkEnd w:id="56"/>
    </w:p>
    <w:p w14:paraId="143494EF" w14:textId="77777777" w:rsidR="000D1C54" w:rsidRPr="00CE4C02" w:rsidRDefault="000D1C54">
      <w:pPr>
        <w:pStyle w:val="ListParagraph"/>
        <w:numPr>
          <w:ilvl w:val="0"/>
          <w:numId w:val="15"/>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Functional Data analytic team constituted, trained, and equipped with high-end laptops and data analytics report</w:t>
      </w:r>
      <w:r>
        <w:rPr>
          <w:rFonts w:ascii="Baskerville Old Face" w:hAnsi="Baskerville Old Face" w:cs="Times New Roman"/>
          <w:sz w:val="24"/>
          <w:szCs w:val="24"/>
        </w:rPr>
        <w:t xml:space="preserve">s are being </w:t>
      </w:r>
      <w:r w:rsidRPr="00CE4C02">
        <w:rPr>
          <w:rFonts w:ascii="Baskerville Old Face" w:hAnsi="Baskerville Old Face" w:cs="Times New Roman"/>
          <w:sz w:val="24"/>
          <w:szCs w:val="24"/>
        </w:rPr>
        <w:t>produced periodically.</w:t>
      </w:r>
    </w:p>
    <w:p w14:paraId="404246A7" w14:textId="77777777" w:rsidR="000D1C54" w:rsidRPr="00CE4C02" w:rsidRDefault="000D1C54">
      <w:pPr>
        <w:pStyle w:val="ListParagraph"/>
        <w:numPr>
          <w:ilvl w:val="0"/>
          <w:numId w:val="15"/>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Job descriptions relating to the </w:t>
      </w:r>
      <w:r>
        <w:rPr>
          <w:rFonts w:ascii="Baskerville Old Face" w:hAnsi="Baskerville Old Face" w:cs="Times New Roman"/>
          <w:sz w:val="24"/>
          <w:szCs w:val="24"/>
        </w:rPr>
        <w:t>proposed U</w:t>
      </w:r>
      <w:r w:rsidRPr="00CE4C02">
        <w:rPr>
          <w:rFonts w:ascii="Baskerville Old Face" w:hAnsi="Baskerville Old Face" w:cs="Times New Roman"/>
          <w:sz w:val="24"/>
          <w:szCs w:val="24"/>
        </w:rPr>
        <w:t xml:space="preserve">nit developed and </w:t>
      </w:r>
      <w:r>
        <w:rPr>
          <w:rFonts w:ascii="Baskerville Old Face" w:hAnsi="Baskerville Old Face" w:cs="Times New Roman"/>
          <w:sz w:val="24"/>
          <w:szCs w:val="24"/>
        </w:rPr>
        <w:t>distributed</w:t>
      </w:r>
      <w:r w:rsidRPr="00CE4C02">
        <w:rPr>
          <w:rFonts w:ascii="Baskerville Old Face" w:hAnsi="Baskerville Old Face" w:cs="Times New Roman"/>
          <w:sz w:val="24"/>
          <w:szCs w:val="24"/>
        </w:rPr>
        <w:t xml:space="preserve"> to staff</w:t>
      </w:r>
      <w:r>
        <w:rPr>
          <w:rFonts w:ascii="Baskerville Old Face" w:hAnsi="Baskerville Old Face" w:cs="Times New Roman"/>
          <w:sz w:val="24"/>
          <w:szCs w:val="24"/>
        </w:rPr>
        <w:t xml:space="preserve"> to guide their work</w:t>
      </w:r>
      <w:r w:rsidRPr="00CE4C02">
        <w:rPr>
          <w:rFonts w:ascii="Baskerville Old Face" w:hAnsi="Baskerville Old Face" w:cs="Times New Roman"/>
          <w:sz w:val="24"/>
          <w:szCs w:val="24"/>
        </w:rPr>
        <w:t>.</w:t>
      </w:r>
    </w:p>
    <w:p w14:paraId="499D467D" w14:textId="77777777" w:rsidR="000D1C54" w:rsidRPr="00CE4C02" w:rsidRDefault="000D1C54">
      <w:pPr>
        <w:pStyle w:val="ListParagraph"/>
        <w:numPr>
          <w:ilvl w:val="0"/>
          <w:numId w:val="15"/>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Terms of Reference (</w:t>
      </w:r>
      <w:r w:rsidRPr="00CE4C02">
        <w:rPr>
          <w:rFonts w:ascii="Baskerville Old Face" w:hAnsi="Baskerville Old Face" w:cs="Times New Roman"/>
          <w:sz w:val="24"/>
          <w:szCs w:val="24"/>
        </w:rPr>
        <w:t>TOR</w:t>
      </w:r>
      <w:r>
        <w:rPr>
          <w:rFonts w:ascii="Baskerville Old Face" w:hAnsi="Baskerville Old Face" w:cs="Times New Roman"/>
          <w:sz w:val="24"/>
          <w:szCs w:val="24"/>
        </w:rPr>
        <w:t>)</w:t>
      </w:r>
      <w:r w:rsidRPr="00CE4C02">
        <w:rPr>
          <w:rFonts w:ascii="Baskerville Old Face" w:hAnsi="Baskerville Old Face" w:cs="Times New Roman"/>
          <w:sz w:val="24"/>
          <w:szCs w:val="24"/>
        </w:rPr>
        <w:t xml:space="preserve"> and Board Concept Note</w:t>
      </w:r>
      <w:r>
        <w:rPr>
          <w:rFonts w:ascii="Baskerville Old Face" w:hAnsi="Baskerville Old Face" w:cs="Times New Roman"/>
          <w:sz w:val="24"/>
          <w:szCs w:val="24"/>
        </w:rPr>
        <w:t xml:space="preserve"> </w:t>
      </w:r>
      <w:r w:rsidRPr="00CE4C02">
        <w:rPr>
          <w:rFonts w:ascii="Baskerville Old Face" w:hAnsi="Baskerville Old Face" w:cs="Times New Roman"/>
          <w:sz w:val="24"/>
          <w:szCs w:val="24"/>
        </w:rPr>
        <w:t xml:space="preserve">developed for approval </w:t>
      </w:r>
      <w:r>
        <w:rPr>
          <w:rFonts w:ascii="Baskerville Old Face" w:hAnsi="Baskerville Old Face" w:cs="Times New Roman"/>
          <w:sz w:val="24"/>
          <w:szCs w:val="24"/>
        </w:rPr>
        <w:t xml:space="preserve">to transform the Data Analytics Team into a centralized Unit </w:t>
      </w:r>
      <w:r w:rsidRPr="00CE4C02">
        <w:rPr>
          <w:rFonts w:ascii="Baskerville Old Face" w:hAnsi="Baskerville Old Face" w:cs="Times New Roman"/>
          <w:sz w:val="24"/>
          <w:szCs w:val="24"/>
        </w:rPr>
        <w:t xml:space="preserve">under </w:t>
      </w:r>
      <w:r>
        <w:rPr>
          <w:rFonts w:ascii="Baskerville Old Face" w:hAnsi="Baskerville Old Face" w:cs="Times New Roman"/>
          <w:sz w:val="24"/>
          <w:szCs w:val="24"/>
        </w:rPr>
        <w:t xml:space="preserve">the </w:t>
      </w:r>
      <w:r w:rsidRPr="00CE4C02">
        <w:rPr>
          <w:rFonts w:ascii="Baskerville Old Face" w:hAnsi="Baskerville Old Face" w:cs="Times New Roman"/>
          <w:sz w:val="24"/>
          <w:szCs w:val="24"/>
        </w:rPr>
        <w:t>MRP</w:t>
      </w:r>
      <w:r>
        <w:rPr>
          <w:rFonts w:ascii="Baskerville Old Face" w:hAnsi="Baskerville Old Face" w:cs="Times New Roman"/>
          <w:sz w:val="24"/>
          <w:szCs w:val="24"/>
        </w:rPr>
        <w:t xml:space="preserve"> Department. </w:t>
      </w:r>
    </w:p>
    <w:p w14:paraId="31A610BD" w14:textId="77777777" w:rsidR="000D1C54" w:rsidRPr="00CE4C02" w:rsidRDefault="000D1C54" w:rsidP="000D1C54">
      <w:pPr>
        <w:spacing w:line="360" w:lineRule="auto"/>
        <w:jc w:val="both"/>
        <w:rPr>
          <w:rFonts w:ascii="Baskerville Old Face" w:hAnsi="Baskerville Old Face" w:cs="Times New Roman"/>
          <w:i/>
          <w:iCs/>
          <w:sz w:val="24"/>
          <w:szCs w:val="24"/>
        </w:rPr>
      </w:pPr>
      <w:r w:rsidRPr="00CE4C02">
        <w:rPr>
          <w:rFonts w:ascii="Baskerville Old Face" w:hAnsi="Baskerville Old Face" w:cs="Times New Roman"/>
          <w:i/>
          <w:iCs/>
          <w:sz w:val="24"/>
          <w:szCs w:val="24"/>
        </w:rPr>
        <w:lastRenderedPageBreak/>
        <w:t xml:space="preserve">Challenges </w:t>
      </w:r>
    </w:p>
    <w:p w14:paraId="4ADCE8A5" w14:textId="0E0640BA" w:rsidR="000D1C54" w:rsidRPr="00CE4C02" w:rsidRDefault="008D3B82">
      <w:pPr>
        <w:pStyle w:val="ListParagraph"/>
        <w:numPr>
          <w:ilvl w:val="0"/>
          <w:numId w:val="23"/>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w:t>
      </w:r>
      <w:r w:rsidR="000D1C54" w:rsidRPr="00CE4C02">
        <w:rPr>
          <w:rFonts w:ascii="Baskerville Old Face" w:hAnsi="Baskerville Old Face" w:cs="Times New Roman"/>
          <w:sz w:val="24"/>
          <w:szCs w:val="24"/>
        </w:rPr>
        <w:t xml:space="preserve">raining </w:t>
      </w:r>
      <w:r w:rsidR="000D1C54">
        <w:rPr>
          <w:rFonts w:ascii="Baskerville Old Face" w:hAnsi="Baskerville Old Face" w:cs="Times New Roman"/>
          <w:sz w:val="24"/>
          <w:szCs w:val="24"/>
        </w:rPr>
        <w:t xml:space="preserve">in </w:t>
      </w:r>
      <w:r>
        <w:rPr>
          <w:rFonts w:ascii="Baskerville Old Face" w:hAnsi="Baskerville Old Face" w:cs="Times New Roman"/>
          <w:sz w:val="24"/>
          <w:szCs w:val="24"/>
        </w:rPr>
        <w:t xml:space="preserve">advanced </w:t>
      </w:r>
      <w:r w:rsidR="000D1C54">
        <w:rPr>
          <w:rFonts w:ascii="Baskerville Old Face" w:hAnsi="Baskerville Old Face" w:cs="Times New Roman"/>
          <w:sz w:val="24"/>
          <w:szCs w:val="24"/>
        </w:rPr>
        <w:t xml:space="preserve">data analytics </w:t>
      </w:r>
      <w:proofErr w:type="gramStart"/>
      <w:r w:rsidR="000D1C54" w:rsidRPr="00CE4C02">
        <w:rPr>
          <w:rFonts w:ascii="Baskerville Old Face" w:hAnsi="Baskerville Old Face" w:cs="Times New Roman"/>
          <w:sz w:val="24"/>
          <w:szCs w:val="24"/>
        </w:rPr>
        <w:t>needed</w:t>
      </w:r>
      <w:proofErr w:type="gramEnd"/>
      <w:r w:rsidR="000D1C54" w:rsidRPr="00CE4C02">
        <w:rPr>
          <w:rFonts w:ascii="Baskerville Old Face" w:hAnsi="Baskerville Old Face" w:cs="Times New Roman"/>
          <w:sz w:val="24"/>
          <w:szCs w:val="24"/>
        </w:rPr>
        <w:t xml:space="preserve"> </w:t>
      </w:r>
      <w:r w:rsidR="000D1C54">
        <w:rPr>
          <w:rFonts w:ascii="Baskerville Old Face" w:hAnsi="Baskerville Old Face" w:cs="Times New Roman"/>
          <w:sz w:val="24"/>
          <w:szCs w:val="24"/>
        </w:rPr>
        <w:t>for the team</w:t>
      </w:r>
      <w:r w:rsidR="000D1C54" w:rsidRPr="00CE4C02">
        <w:rPr>
          <w:rFonts w:ascii="Baskerville Old Face" w:hAnsi="Baskerville Old Face" w:cs="Times New Roman"/>
          <w:sz w:val="24"/>
          <w:szCs w:val="24"/>
        </w:rPr>
        <w:t>.</w:t>
      </w:r>
    </w:p>
    <w:p w14:paraId="17D5CE72" w14:textId="77777777" w:rsidR="000D1C54" w:rsidRPr="00CE4C02" w:rsidRDefault="000D1C54">
      <w:pPr>
        <w:pStyle w:val="ListParagraph"/>
        <w:numPr>
          <w:ilvl w:val="0"/>
          <w:numId w:val="23"/>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Limited access to statistical software and tools</w:t>
      </w:r>
      <w:r>
        <w:rPr>
          <w:rFonts w:ascii="Baskerville Old Face" w:hAnsi="Baskerville Old Face" w:cs="Times New Roman"/>
          <w:sz w:val="24"/>
          <w:szCs w:val="24"/>
        </w:rPr>
        <w:t xml:space="preserve">. </w:t>
      </w:r>
      <w:r w:rsidRPr="00CE4C02">
        <w:rPr>
          <w:rFonts w:ascii="Baskerville Old Face" w:hAnsi="Baskerville Old Face" w:cs="Times New Roman"/>
          <w:sz w:val="24"/>
          <w:szCs w:val="24"/>
        </w:rPr>
        <w:t xml:space="preserve"> </w:t>
      </w:r>
    </w:p>
    <w:p w14:paraId="1A6C3548" w14:textId="7CDBDE72" w:rsidR="00CE1C11" w:rsidRDefault="000D1C54">
      <w:pPr>
        <w:pStyle w:val="ListParagraph"/>
        <w:numPr>
          <w:ilvl w:val="0"/>
          <w:numId w:val="23"/>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Delay in </w:t>
      </w:r>
      <w:r>
        <w:rPr>
          <w:rFonts w:ascii="Baskerville Old Face" w:hAnsi="Baskerville Old Face" w:cs="Times New Roman"/>
          <w:sz w:val="24"/>
          <w:szCs w:val="24"/>
        </w:rPr>
        <w:t xml:space="preserve">the </w:t>
      </w:r>
      <w:r w:rsidRPr="00CE4C02">
        <w:rPr>
          <w:rFonts w:ascii="Baskerville Old Face" w:hAnsi="Baskerville Old Face" w:cs="Times New Roman"/>
          <w:sz w:val="24"/>
          <w:szCs w:val="24"/>
        </w:rPr>
        <w:t>Board</w:t>
      </w:r>
      <w:r>
        <w:rPr>
          <w:rFonts w:ascii="Baskerville Old Face" w:hAnsi="Baskerville Old Face" w:cs="Times New Roman"/>
          <w:sz w:val="24"/>
          <w:szCs w:val="24"/>
        </w:rPr>
        <w:t>’s</w:t>
      </w:r>
      <w:r w:rsidRPr="00CE4C02">
        <w:rPr>
          <w:rFonts w:ascii="Baskerville Old Face" w:hAnsi="Baskerville Old Face" w:cs="Times New Roman"/>
          <w:sz w:val="24"/>
          <w:szCs w:val="24"/>
        </w:rPr>
        <w:t xml:space="preserve"> approval of the </w:t>
      </w:r>
      <w:proofErr w:type="spellStart"/>
      <w:r w:rsidR="008D3B82" w:rsidRPr="00CE4C02">
        <w:rPr>
          <w:rFonts w:ascii="Baskerville Old Face" w:hAnsi="Baskerville Old Face" w:cs="Times New Roman"/>
          <w:sz w:val="24"/>
          <w:szCs w:val="24"/>
        </w:rPr>
        <w:t>centrali</w:t>
      </w:r>
      <w:r w:rsidR="008D3B82">
        <w:rPr>
          <w:rFonts w:ascii="Baskerville Old Face" w:hAnsi="Baskerville Old Face" w:cs="Times New Roman"/>
          <w:sz w:val="24"/>
          <w:szCs w:val="24"/>
        </w:rPr>
        <w:t>s</w:t>
      </w:r>
      <w:r w:rsidR="008D3B82" w:rsidRPr="00CE4C02">
        <w:rPr>
          <w:rFonts w:ascii="Baskerville Old Face" w:hAnsi="Baskerville Old Face" w:cs="Times New Roman"/>
          <w:sz w:val="24"/>
          <w:szCs w:val="24"/>
        </w:rPr>
        <w:t>ed</w:t>
      </w:r>
      <w:proofErr w:type="spellEnd"/>
      <w:r w:rsidRPr="00CE4C02">
        <w:rPr>
          <w:rFonts w:ascii="Baskerville Old Face" w:hAnsi="Baskerville Old Face" w:cs="Times New Roman"/>
          <w:sz w:val="24"/>
          <w:szCs w:val="24"/>
        </w:rPr>
        <w:t xml:space="preserve"> </w:t>
      </w:r>
      <w:r>
        <w:rPr>
          <w:rFonts w:ascii="Baskerville Old Face" w:hAnsi="Baskerville Old Face" w:cs="Times New Roman"/>
          <w:sz w:val="24"/>
          <w:szCs w:val="24"/>
        </w:rPr>
        <w:t>Data Analytics U</w:t>
      </w:r>
      <w:r w:rsidRPr="00CE4C02">
        <w:rPr>
          <w:rFonts w:ascii="Baskerville Old Face" w:hAnsi="Baskerville Old Face" w:cs="Times New Roman"/>
          <w:sz w:val="24"/>
          <w:szCs w:val="24"/>
        </w:rPr>
        <w:t>nit and organogram</w:t>
      </w:r>
      <w:r>
        <w:rPr>
          <w:rFonts w:ascii="Baskerville Old Face" w:hAnsi="Baskerville Old Face" w:cs="Times New Roman"/>
          <w:sz w:val="24"/>
          <w:szCs w:val="24"/>
        </w:rPr>
        <w:t>.</w:t>
      </w:r>
    </w:p>
    <w:p w14:paraId="0826814E" w14:textId="77777777" w:rsidR="000D1C54" w:rsidRPr="000D1C54" w:rsidRDefault="000D1C54" w:rsidP="008811C2">
      <w:pPr>
        <w:pStyle w:val="ListParagraph"/>
        <w:spacing w:line="240" w:lineRule="auto"/>
        <w:jc w:val="both"/>
        <w:rPr>
          <w:rFonts w:ascii="Baskerville Old Face" w:hAnsi="Baskerville Old Face" w:cs="Times New Roman"/>
          <w:sz w:val="24"/>
          <w:szCs w:val="24"/>
        </w:rPr>
      </w:pPr>
    </w:p>
    <w:p w14:paraId="49BF2802" w14:textId="49A29789" w:rsidR="00CE4C02" w:rsidRPr="00CE1C11" w:rsidRDefault="002025CE" w:rsidP="008C5C22">
      <w:pPr>
        <w:pStyle w:val="Heading3"/>
      </w:pPr>
      <w:bookmarkStart w:id="57" w:name="_Toc198205694"/>
      <w:r w:rsidRPr="00CE1C11">
        <w:t>Excise Stamp and Product Marking Project</w:t>
      </w:r>
      <w:bookmarkEnd w:id="57"/>
    </w:p>
    <w:p w14:paraId="418283B8" w14:textId="5CC2AF80"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Excise stamp and other </w:t>
      </w:r>
      <w:r w:rsidR="00A852FF">
        <w:rPr>
          <w:rFonts w:ascii="Baskerville Old Face" w:hAnsi="Baskerville Old Face" w:cs="Times New Roman"/>
          <w:sz w:val="24"/>
          <w:szCs w:val="24"/>
        </w:rPr>
        <w:t>m</w:t>
      </w:r>
      <w:r w:rsidRPr="00CE4C02">
        <w:rPr>
          <w:rFonts w:ascii="Baskerville Old Face" w:hAnsi="Baskerville Old Face" w:cs="Times New Roman"/>
          <w:sz w:val="24"/>
          <w:szCs w:val="24"/>
        </w:rPr>
        <w:t>arkings (for fuel) regulations ratified by Parliament.</w:t>
      </w:r>
    </w:p>
    <w:p w14:paraId="4703FD77" w14:textId="1F6509C6"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Benchmarking visit </w:t>
      </w:r>
      <w:r w:rsidR="00EC735F">
        <w:rPr>
          <w:rFonts w:ascii="Baskerville Old Face" w:hAnsi="Baskerville Old Face" w:cs="Times New Roman"/>
          <w:sz w:val="24"/>
          <w:szCs w:val="24"/>
        </w:rPr>
        <w:t xml:space="preserve">to Uganda </w:t>
      </w:r>
      <w:r w:rsidRPr="00CE4C02">
        <w:rPr>
          <w:rFonts w:ascii="Baskerville Old Face" w:hAnsi="Baskerville Old Face" w:cs="Times New Roman"/>
          <w:sz w:val="24"/>
          <w:szCs w:val="24"/>
        </w:rPr>
        <w:t>conducted.</w:t>
      </w:r>
    </w:p>
    <w:p w14:paraId="7F1F8CFA" w14:textId="24D29972"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All known local production lines have been visited and assessments made.</w:t>
      </w:r>
    </w:p>
    <w:p w14:paraId="40E6F0F6" w14:textId="331D8D44" w:rsidR="00CE4C02" w:rsidRPr="00CE4C02" w:rsidRDefault="00CE4C02">
      <w:pPr>
        <w:pStyle w:val="ListParagraph"/>
        <w:numPr>
          <w:ilvl w:val="0"/>
          <w:numId w:val="2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 xml:space="preserve">Training for targeted importers and manufacturers </w:t>
      </w:r>
      <w:r w:rsidR="00A852FF">
        <w:rPr>
          <w:rFonts w:ascii="Baskerville Old Face" w:hAnsi="Baskerville Old Face" w:cs="Times New Roman"/>
          <w:sz w:val="24"/>
          <w:szCs w:val="24"/>
        </w:rPr>
        <w:t>delivered</w:t>
      </w:r>
      <w:r w:rsidRPr="00CE4C02">
        <w:rPr>
          <w:rFonts w:ascii="Baskerville Old Face" w:hAnsi="Baskerville Old Face" w:cs="Times New Roman"/>
          <w:sz w:val="24"/>
          <w:szCs w:val="24"/>
        </w:rPr>
        <w:t xml:space="preserve">, and </w:t>
      </w:r>
      <w:r w:rsidR="00A852FF" w:rsidRPr="00CE4C02">
        <w:rPr>
          <w:rFonts w:ascii="Baskerville Old Face" w:hAnsi="Baskerville Old Face" w:cs="Times New Roman"/>
          <w:sz w:val="24"/>
          <w:szCs w:val="24"/>
        </w:rPr>
        <w:t>sensiti</w:t>
      </w:r>
      <w:r w:rsidR="00A852FF">
        <w:rPr>
          <w:rFonts w:ascii="Baskerville Old Face" w:hAnsi="Baskerville Old Face" w:cs="Times New Roman"/>
          <w:sz w:val="24"/>
          <w:szCs w:val="24"/>
        </w:rPr>
        <w:t>s</w:t>
      </w:r>
      <w:r w:rsidR="00A852FF" w:rsidRPr="00CE4C02">
        <w:rPr>
          <w:rFonts w:ascii="Baskerville Old Face" w:hAnsi="Baskerville Old Face" w:cs="Times New Roman"/>
          <w:sz w:val="24"/>
          <w:szCs w:val="24"/>
        </w:rPr>
        <w:t>ation</w:t>
      </w:r>
      <w:r w:rsidRPr="00CE4C02">
        <w:rPr>
          <w:rFonts w:ascii="Baskerville Old Face" w:hAnsi="Baskerville Old Face" w:cs="Times New Roman"/>
          <w:sz w:val="24"/>
          <w:szCs w:val="24"/>
        </w:rPr>
        <w:t xml:space="preserve"> workshops conducted.</w:t>
      </w:r>
    </w:p>
    <w:p w14:paraId="628B8585" w14:textId="40884B13" w:rsidR="00CE4C02" w:rsidRPr="00CE4C02" w:rsidRDefault="00CE4C02" w:rsidP="004D5FD6">
      <w:pPr>
        <w:rPr>
          <w:rFonts w:ascii="Baskerville Old Face" w:hAnsi="Baskerville Old Face" w:cs="Times New Roman"/>
          <w:i/>
          <w:iCs/>
          <w:sz w:val="24"/>
          <w:szCs w:val="24"/>
        </w:rPr>
      </w:pPr>
      <w:r w:rsidRPr="00CE4C02">
        <w:rPr>
          <w:rFonts w:ascii="Baskerville Old Face" w:hAnsi="Baskerville Old Face" w:cs="Times New Roman"/>
          <w:i/>
          <w:iCs/>
          <w:sz w:val="24"/>
          <w:szCs w:val="24"/>
        </w:rPr>
        <w:t xml:space="preserve">Challenges </w:t>
      </w:r>
    </w:p>
    <w:p w14:paraId="7540BABD" w14:textId="6897FCFF" w:rsidR="00CE4C02" w:rsidRPr="00CE4C02" w:rsidRDefault="00CE4C02">
      <w:pPr>
        <w:pStyle w:val="ListParagraph"/>
        <w:numPr>
          <w:ilvl w:val="0"/>
          <w:numId w:val="3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SICPA excise duty stamp awaiting full implementation and rollout nationwide.</w:t>
      </w:r>
    </w:p>
    <w:p w14:paraId="6F7364AF" w14:textId="3D84CBB1" w:rsidR="00CE4C02" w:rsidRDefault="00CE4C02">
      <w:pPr>
        <w:pStyle w:val="ListParagraph"/>
        <w:numPr>
          <w:ilvl w:val="0"/>
          <w:numId w:val="32"/>
        </w:numPr>
        <w:spacing w:line="360" w:lineRule="auto"/>
        <w:jc w:val="both"/>
        <w:rPr>
          <w:rFonts w:ascii="Baskerville Old Face" w:hAnsi="Baskerville Old Face" w:cs="Times New Roman"/>
          <w:sz w:val="24"/>
          <w:szCs w:val="24"/>
        </w:rPr>
      </w:pPr>
      <w:r w:rsidRPr="00CE4C02">
        <w:rPr>
          <w:rFonts w:ascii="Baskerville Old Face" w:hAnsi="Baskerville Old Face" w:cs="Times New Roman"/>
          <w:sz w:val="24"/>
          <w:szCs w:val="24"/>
        </w:rPr>
        <w:t>Procurement of duty stamps pending</w:t>
      </w:r>
      <w:r w:rsidR="00EC735F">
        <w:rPr>
          <w:rFonts w:ascii="Baskerville Old Face" w:hAnsi="Baskerville Old Face" w:cs="Times New Roman"/>
          <w:sz w:val="24"/>
          <w:szCs w:val="24"/>
        </w:rPr>
        <w:t xml:space="preserve">. </w:t>
      </w:r>
    </w:p>
    <w:p w14:paraId="5FEB6E76" w14:textId="7DD66914" w:rsidR="00F568B0" w:rsidRPr="00626C03" w:rsidRDefault="00DA22C9" w:rsidP="002725A1">
      <w:pPr>
        <w:pStyle w:val="Heading2"/>
      </w:pPr>
      <w:bookmarkStart w:id="58" w:name="_Toc198205695"/>
      <w:r>
        <w:t xml:space="preserve">3.8: </w:t>
      </w:r>
      <w:r w:rsidR="00F568B0" w:rsidRPr="00626C03">
        <w:t>ICT ACTIVITIES UPDATE</w:t>
      </w:r>
      <w:bookmarkEnd w:id="58"/>
    </w:p>
    <w:p w14:paraId="5D51BAB3" w14:textId="77777777" w:rsidR="002725A1" w:rsidRDefault="002725A1" w:rsidP="00F568B0">
      <w:pPr>
        <w:spacing w:line="360" w:lineRule="auto"/>
        <w:jc w:val="both"/>
        <w:rPr>
          <w:rFonts w:ascii="Baskerville Old Face" w:hAnsi="Baskerville Old Face"/>
          <w:sz w:val="24"/>
          <w:szCs w:val="24"/>
        </w:rPr>
      </w:pPr>
    </w:p>
    <w:p w14:paraId="65F9890B" w14:textId="574DC37F" w:rsidR="00F568B0" w:rsidRPr="00626C03" w:rsidRDefault="00F568B0" w:rsidP="00F568B0">
      <w:pPr>
        <w:spacing w:line="360" w:lineRule="auto"/>
        <w:jc w:val="both"/>
        <w:rPr>
          <w:rFonts w:ascii="Baskerville Old Face" w:hAnsi="Baskerville Old Face"/>
          <w:sz w:val="24"/>
          <w:szCs w:val="24"/>
        </w:rPr>
      </w:pPr>
      <w:r w:rsidRPr="00626C03">
        <w:rPr>
          <w:rFonts w:ascii="Baskerville Old Face" w:hAnsi="Baskerville Old Face"/>
          <w:sz w:val="24"/>
          <w:szCs w:val="24"/>
        </w:rPr>
        <w:t xml:space="preserve">The ICT Department, as a vital support Department of the Authority, is entrusted with the crucial task of delivering responsive, effective, and efficient ICT services to the NRA and its stakeholders in fulfilment of the NRA’s core mandate of domestic revenue </w:t>
      </w:r>
      <w:proofErr w:type="spellStart"/>
      <w:r w:rsidRPr="00626C03">
        <w:rPr>
          <w:rFonts w:ascii="Baskerville Old Face" w:hAnsi="Baskerville Old Face"/>
          <w:sz w:val="24"/>
          <w:szCs w:val="24"/>
        </w:rPr>
        <w:t>mobilisation</w:t>
      </w:r>
      <w:proofErr w:type="spellEnd"/>
      <w:r w:rsidRPr="00626C03">
        <w:rPr>
          <w:rFonts w:ascii="Baskerville Old Face" w:hAnsi="Baskerville Old Face"/>
          <w:sz w:val="24"/>
          <w:szCs w:val="24"/>
        </w:rPr>
        <w:t xml:space="preserve"> and collection. The following are the key achievements of the department's various units during the fiscal year 2023:</w:t>
      </w:r>
    </w:p>
    <w:p w14:paraId="310B6594" w14:textId="77777777" w:rsidR="00F568B0" w:rsidRPr="00626C03" w:rsidRDefault="00F568B0" w:rsidP="008C5C22">
      <w:pPr>
        <w:pStyle w:val="Heading3"/>
      </w:pPr>
      <w:bookmarkStart w:id="59" w:name="_Toc198205696"/>
      <w:r w:rsidRPr="00626C03">
        <w:t>Software Unit:</w:t>
      </w:r>
      <w:bookmarkEnd w:id="59"/>
    </w:p>
    <w:p w14:paraId="1D44BEE7"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extension of the NTR Mobile Payment App rollout to additional MDAs, including the Ministry of Lands, Immigration, Small Arms Commission, and Law Courts in various districts.</w:t>
      </w:r>
    </w:p>
    <w:p w14:paraId="715C591D"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development of the NRA data warehouse, enabling the extraction of information from operational business systems, and successfully launched dashboards for ECR, ITAS, and ASYCUDA.</w:t>
      </w:r>
    </w:p>
    <w:p w14:paraId="7ED3AC63"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introduction of the N-soft solution for gathering GST information from the Telecoms sector.</w:t>
      </w:r>
    </w:p>
    <w:p w14:paraId="19893FBD"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lastRenderedPageBreak/>
        <w:t>Aided in implementing the Product Tracing System (PTS) to gather information on Domestic Excise.</w:t>
      </w:r>
    </w:p>
    <w:p w14:paraId="415EED2F" w14:textId="5BC2265F" w:rsidR="00F568B0" w:rsidRPr="00C3169C" w:rsidRDefault="00C3169C">
      <w:pPr>
        <w:pStyle w:val="ListParagraph"/>
        <w:numPr>
          <w:ilvl w:val="0"/>
          <w:numId w:val="36"/>
        </w:numPr>
        <w:spacing w:line="360" w:lineRule="auto"/>
        <w:jc w:val="both"/>
        <w:rPr>
          <w:rFonts w:ascii="Baskerville Old Face" w:hAnsi="Baskerville Old Face"/>
          <w:sz w:val="24"/>
          <w:szCs w:val="24"/>
        </w:rPr>
      </w:pPr>
      <w:r w:rsidRPr="00C3169C">
        <w:rPr>
          <w:rFonts w:ascii="Baskerville Old Face" w:hAnsi="Baskerville Old Face"/>
          <w:sz w:val="24"/>
          <w:szCs w:val="24"/>
        </w:rPr>
        <w:t>Supported in</w:t>
      </w:r>
      <w:r w:rsidR="00F568B0" w:rsidRPr="00C3169C">
        <w:rPr>
          <w:rFonts w:ascii="Baskerville Old Face" w:hAnsi="Baskerville Old Face"/>
          <w:sz w:val="24"/>
          <w:szCs w:val="24"/>
        </w:rPr>
        <w:t xml:space="preserve"> implementing the NLe10 processing fee for ITAS returns filing.</w:t>
      </w:r>
    </w:p>
    <w:p w14:paraId="71BDEE66"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Contributed to devising a roadmap for the comprehensive digitalization of revenue payment processes.</w:t>
      </w:r>
    </w:p>
    <w:p w14:paraId="1E6FC674" w14:textId="77777777" w:rsidR="00F568B0" w:rsidRPr="00626C03" w:rsidRDefault="00F568B0">
      <w:pPr>
        <w:pStyle w:val="ListParagraph"/>
        <w:numPr>
          <w:ilvl w:val="0"/>
          <w:numId w:val="36"/>
        </w:numPr>
        <w:spacing w:line="360" w:lineRule="auto"/>
        <w:jc w:val="both"/>
        <w:rPr>
          <w:rFonts w:ascii="Baskerville Old Face" w:hAnsi="Baskerville Old Face"/>
          <w:sz w:val="24"/>
          <w:szCs w:val="24"/>
        </w:rPr>
      </w:pPr>
      <w:r w:rsidRPr="00626C03">
        <w:rPr>
          <w:rFonts w:ascii="Baskerville Old Face" w:hAnsi="Baskerville Old Face"/>
          <w:sz w:val="24"/>
          <w:szCs w:val="24"/>
        </w:rPr>
        <w:t>Managed the administration of IT Business Systems, including ITAS, ASYCUDA World, ECR, NTRS, Microsoft Dynamics GP, and the NTR Mobile Payment App.</w:t>
      </w:r>
    </w:p>
    <w:p w14:paraId="411D0C4F" w14:textId="77777777" w:rsidR="00F568B0" w:rsidRPr="00626C03" w:rsidRDefault="00F568B0" w:rsidP="008C5C22">
      <w:pPr>
        <w:pStyle w:val="Heading3"/>
      </w:pPr>
      <w:bookmarkStart w:id="60" w:name="_Toc198205697"/>
      <w:r w:rsidRPr="00626C03">
        <w:t>Helpdesk Unit:</w:t>
      </w:r>
      <w:bookmarkEnd w:id="60"/>
    </w:p>
    <w:p w14:paraId="126E0712" w14:textId="77777777" w:rsidR="00F568B0" w:rsidRPr="00626C03" w:rsidRDefault="00F568B0">
      <w:pPr>
        <w:pStyle w:val="ListParagraph"/>
        <w:numPr>
          <w:ilvl w:val="0"/>
          <w:numId w:val="37"/>
        </w:numPr>
        <w:spacing w:line="360" w:lineRule="auto"/>
        <w:jc w:val="both"/>
        <w:rPr>
          <w:rFonts w:ascii="Baskerville Old Face" w:hAnsi="Baskerville Old Face"/>
          <w:sz w:val="24"/>
          <w:szCs w:val="24"/>
        </w:rPr>
      </w:pPr>
      <w:r w:rsidRPr="00626C03">
        <w:rPr>
          <w:rFonts w:ascii="Baskerville Old Face" w:hAnsi="Baskerville Old Face"/>
          <w:sz w:val="24"/>
          <w:szCs w:val="24"/>
        </w:rPr>
        <w:t>Provided efficient first-level and routine support to NRA staff and other ICT end-users.</w:t>
      </w:r>
    </w:p>
    <w:p w14:paraId="2212053F" w14:textId="77777777" w:rsidR="00F568B0" w:rsidRPr="00626C03" w:rsidRDefault="00F568B0">
      <w:pPr>
        <w:pStyle w:val="ListParagraph"/>
        <w:numPr>
          <w:ilvl w:val="0"/>
          <w:numId w:val="37"/>
        </w:numPr>
        <w:spacing w:line="360" w:lineRule="auto"/>
        <w:jc w:val="both"/>
        <w:rPr>
          <w:rFonts w:ascii="Baskerville Old Face" w:hAnsi="Baskerville Old Face"/>
          <w:sz w:val="24"/>
          <w:szCs w:val="24"/>
        </w:rPr>
      </w:pPr>
      <w:r w:rsidRPr="00626C03">
        <w:rPr>
          <w:rFonts w:ascii="Baskerville Old Face" w:hAnsi="Baskerville Old Face"/>
          <w:sz w:val="24"/>
          <w:szCs w:val="24"/>
        </w:rPr>
        <w:t>Managed Office 365 packages effectively.</w:t>
      </w:r>
    </w:p>
    <w:p w14:paraId="28601535" w14:textId="77777777" w:rsidR="00F568B0" w:rsidRPr="00626C03" w:rsidRDefault="00F568B0" w:rsidP="008C5C22">
      <w:pPr>
        <w:pStyle w:val="Heading3"/>
      </w:pPr>
      <w:bookmarkStart w:id="61" w:name="_Toc198205698"/>
      <w:r w:rsidRPr="00626C03">
        <w:t>Infrastructure Unit:</w:t>
      </w:r>
      <w:bookmarkEnd w:id="61"/>
    </w:p>
    <w:p w14:paraId="091A6B7F"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Expanded the NRA's wide area network (WAN) to the Waterloo office and established a local area network (LAN) within the office premises.</w:t>
      </w:r>
    </w:p>
    <w:p w14:paraId="559AA76D"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Supported the deployment of N-Soft connectivity and Server Infrastructure.</w:t>
      </w:r>
    </w:p>
    <w:p w14:paraId="2915D498"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Enhanced the NRA WAN for VPN and internet connectivity by implementing the Metro link across all Freetown offices, including data centers.</w:t>
      </w:r>
    </w:p>
    <w:p w14:paraId="45899672"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Extended the NRA’s WAN connectivity to the new Freetown International Airport.</w:t>
      </w:r>
    </w:p>
    <w:p w14:paraId="4A5D7B57" w14:textId="77777777" w:rsidR="00F568B0" w:rsidRPr="00626C03" w:rsidRDefault="00F568B0">
      <w:pPr>
        <w:pStyle w:val="ListParagraph"/>
        <w:numPr>
          <w:ilvl w:val="0"/>
          <w:numId w:val="38"/>
        </w:numPr>
        <w:spacing w:line="360" w:lineRule="auto"/>
        <w:jc w:val="both"/>
        <w:rPr>
          <w:rFonts w:ascii="Baskerville Old Face" w:hAnsi="Baskerville Old Face"/>
          <w:sz w:val="24"/>
          <w:szCs w:val="24"/>
        </w:rPr>
      </w:pPr>
      <w:r w:rsidRPr="00626C03">
        <w:rPr>
          <w:rFonts w:ascii="Baskerville Old Face" w:hAnsi="Baskerville Old Face"/>
          <w:sz w:val="24"/>
          <w:szCs w:val="24"/>
        </w:rPr>
        <w:t xml:space="preserve">Implemented a redundant </w:t>
      </w:r>
      <w:proofErr w:type="gramStart"/>
      <w:r w:rsidRPr="00626C03">
        <w:rPr>
          <w:rFonts w:ascii="Baskerville Old Face" w:hAnsi="Baskerville Old Face"/>
          <w:sz w:val="24"/>
          <w:szCs w:val="24"/>
        </w:rPr>
        <w:t>Orange</w:t>
      </w:r>
      <w:proofErr w:type="gramEnd"/>
      <w:r w:rsidRPr="00626C03">
        <w:rPr>
          <w:rFonts w:ascii="Baskerville Old Face" w:hAnsi="Baskerville Old Face"/>
          <w:sz w:val="24"/>
          <w:szCs w:val="24"/>
        </w:rPr>
        <w:t xml:space="preserve"> VPN link at the Freetown West office.</w:t>
      </w:r>
    </w:p>
    <w:p w14:paraId="7F518FF8" w14:textId="77777777" w:rsidR="00F568B0" w:rsidRPr="00626C03" w:rsidRDefault="00F568B0" w:rsidP="008C5C22">
      <w:pPr>
        <w:pStyle w:val="Heading3"/>
      </w:pPr>
      <w:bookmarkStart w:id="62" w:name="_Toc198205699"/>
      <w:r w:rsidRPr="00626C03">
        <w:t>Security Unit:</w:t>
      </w:r>
      <w:bookmarkEnd w:id="62"/>
    </w:p>
    <w:p w14:paraId="770D155A" w14:textId="77777777" w:rsidR="00F568B0" w:rsidRPr="00626C03" w:rsidRDefault="00F568B0">
      <w:pPr>
        <w:pStyle w:val="ListParagraph"/>
        <w:numPr>
          <w:ilvl w:val="0"/>
          <w:numId w:val="39"/>
        </w:numPr>
        <w:spacing w:line="360" w:lineRule="auto"/>
        <w:jc w:val="both"/>
        <w:rPr>
          <w:rFonts w:ascii="Baskerville Old Face" w:hAnsi="Baskerville Old Face"/>
          <w:sz w:val="24"/>
          <w:szCs w:val="24"/>
        </w:rPr>
      </w:pPr>
      <w:r w:rsidRPr="00626C03">
        <w:rPr>
          <w:rFonts w:ascii="Baskerville Old Face" w:hAnsi="Baskerville Old Face"/>
          <w:sz w:val="24"/>
          <w:szCs w:val="24"/>
        </w:rPr>
        <w:t>Conducted security reviews on various ICT systems.</w:t>
      </w:r>
    </w:p>
    <w:p w14:paraId="4BF90C10" w14:textId="77777777" w:rsidR="00F568B0" w:rsidRPr="00626C03" w:rsidRDefault="00F568B0" w:rsidP="00F568B0">
      <w:pPr>
        <w:spacing w:line="360" w:lineRule="auto"/>
        <w:jc w:val="both"/>
        <w:rPr>
          <w:rFonts w:ascii="Baskerville Old Face" w:hAnsi="Baskerville Old Face"/>
          <w:sz w:val="24"/>
          <w:szCs w:val="24"/>
        </w:rPr>
      </w:pPr>
      <w:r w:rsidRPr="00626C03">
        <w:rPr>
          <w:rFonts w:ascii="Baskerville Old Face" w:hAnsi="Baskerville Old Face"/>
          <w:sz w:val="24"/>
          <w:szCs w:val="24"/>
        </w:rPr>
        <w:t>Despite these commendable accomplishments, the Department grapples with several challenges, including:</w:t>
      </w:r>
    </w:p>
    <w:p w14:paraId="2C50B115"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Limited IT staff training to adequately support the ICT systems.</w:t>
      </w:r>
    </w:p>
    <w:p w14:paraId="2EA6425B"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 xml:space="preserve">Unstable power supply at data </w:t>
      </w:r>
      <w:proofErr w:type="spellStart"/>
      <w:r w:rsidRPr="00626C03">
        <w:rPr>
          <w:rFonts w:ascii="Baskerville Old Face" w:hAnsi="Baskerville Old Face"/>
          <w:sz w:val="24"/>
          <w:szCs w:val="24"/>
        </w:rPr>
        <w:t>centres</w:t>
      </w:r>
      <w:proofErr w:type="spellEnd"/>
      <w:r w:rsidRPr="00626C03">
        <w:rPr>
          <w:rFonts w:ascii="Baskerville Old Face" w:hAnsi="Baskerville Old Face"/>
          <w:sz w:val="24"/>
          <w:szCs w:val="24"/>
        </w:rPr>
        <w:t xml:space="preserve"> and other critical locations.</w:t>
      </w:r>
    </w:p>
    <w:p w14:paraId="3B4C5ABA"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Inadequate infrastructure at stakeholder sites for effective interfacing/integration.</w:t>
      </w:r>
    </w:p>
    <w:p w14:paraId="7B4157DA"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High turnover rate among ICT staff, impacting departmental capacity.</w:t>
      </w:r>
    </w:p>
    <w:p w14:paraId="14D42E93"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Outdated network devices/equipment hampering performance.</w:t>
      </w:r>
    </w:p>
    <w:p w14:paraId="2B0B71EE"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Insufficient staffing to support new implementations and ICT expansion, particularly in provincial offices.</w:t>
      </w:r>
    </w:p>
    <w:p w14:paraId="711E7799"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Inadequate security tools for securing the Authority's information systems effectively.</w:t>
      </w:r>
    </w:p>
    <w:p w14:paraId="38DF1501"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lastRenderedPageBreak/>
        <w:t>Reluctance of software vendors to provide comprehensive technical details for implemented systems.</w:t>
      </w:r>
    </w:p>
    <w:p w14:paraId="61359AE8" w14:textId="77777777" w:rsidR="00F568B0" w:rsidRPr="00626C03" w:rsidRDefault="00F568B0">
      <w:pPr>
        <w:pStyle w:val="ListParagraph"/>
        <w:numPr>
          <w:ilvl w:val="0"/>
          <w:numId w:val="40"/>
        </w:numPr>
        <w:spacing w:line="360" w:lineRule="auto"/>
        <w:jc w:val="both"/>
        <w:rPr>
          <w:rFonts w:ascii="Baskerville Old Face" w:hAnsi="Baskerville Old Face"/>
          <w:sz w:val="24"/>
          <w:szCs w:val="24"/>
        </w:rPr>
      </w:pPr>
      <w:r w:rsidRPr="00626C03">
        <w:rPr>
          <w:rFonts w:ascii="Baskerville Old Face" w:hAnsi="Baskerville Old Face"/>
          <w:sz w:val="24"/>
          <w:szCs w:val="24"/>
        </w:rPr>
        <w:t>Lack of post-implementation support from UNCTAD for ASYCUDA World.</w:t>
      </w:r>
    </w:p>
    <w:p w14:paraId="6084A46D" w14:textId="77777777" w:rsidR="00F568B0" w:rsidRPr="00626C03" w:rsidRDefault="00F568B0">
      <w:pPr>
        <w:pStyle w:val="ListParagraph"/>
        <w:numPr>
          <w:ilvl w:val="0"/>
          <w:numId w:val="40"/>
        </w:numPr>
        <w:jc w:val="both"/>
        <w:rPr>
          <w:rFonts w:ascii="Baskerville Old Face" w:hAnsi="Baskerville Old Face"/>
          <w:sz w:val="24"/>
          <w:szCs w:val="24"/>
        </w:rPr>
      </w:pPr>
      <w:r w:rsidRPr="00626C03">
        <w:rPr>
          <w:rFonts w:ascii="Baskerville Old Face" w:hAnsi="Baskerville Old Face"/>
          <w:sz w:val="24"/>
          <w:szCs w:val="24"/>
        </w:rPr>
        <w:t>High maintenance and support costs proposed by ITAS vendor.</w:t>
      </w:r>
    </w:p>
    <w:p w14:paraId="2E92C86E" w14:textId="77777777" w:rsidR="005107BD" w:rsidRDefault="005107BD" w:rsidP="00397086">
      <w:pPr>
        <w:rPr>
          <w:rFonts w:ascii="Baskerville Old Face" w:hAnsi="Baskerville Old Face" w:cs="Times New Roman"/>
          <w:b/>
          <w:bCs/>
          <w:sz w:val="24"/>
          <w:szCs w:val="24"/>
        </w:rPr>
      </w:pPr>
    </w:p>
    <w:p w14:paraId="2E34F692" w14:textId="77777777" w:rsidR="00777178" w:rsidRDefault="00777178" w:rsidP="00397086">
      <w:pPr>
        <w:rPr>
          <w:rFonts w:ascii="Baskerville Old Face" w:hAnsi="Baskerville Old Face" w:cs="Times New Roman"/>
          <w:b/>
          <w:bCs/>
          <w:sz w:val="24"/>
          <w:szCs w:val="24"/>
        </w:rPr>
      </w:pPr>
    </w:p>
    <w:p w14:paraId="73A338A0" w14:textId="5E6A27FE" w:rsidR="0008160F" w:rsidRPr="00397086" w:rsidRDefault="008E340B" w:rsidP="002725A1">
      <w:pPr>
        <w:pStyle w:val="Heading2"/>
      </w:pPr>
      <w:bookmarkStart w:id="63" w:name="_Toc198205700"/>
      <w:r>
        <w:t xml:space="preserve">3.9: </w:t>
      </w:r>
      <w:r w:rsidR="00EA47E4" w:rsidRPr="00397086">
        <w:t>UPDATE ON CONSTRUCTION AND REHABILITATION OF NRA OFFICES</w:t>
      </w:r>
      <w:bookmarkEnd w:id="63"/>
    </w:p>
    <w:p w14:paraId="736B634C" w14:textId="77777777" w:rsidR="002725A1" w:rsidRDefault="002725A1" w:rsidP="002F21BF">
      <w:pPr>
        <w:spacing w:line="360" w:lineRule="auto"/>
        <w:jc w:val="both"/>
        <w:rPr>
          <w:rFonts w:ascii="Baskerville Old Face" w:hAnsi="Baskerville Old Face" w:cs="Times New Roman"/>
          <w:sz w:val="24"/>
          <w:szCs w:val="24"/>
        </w:rPr>
      </w:pPr>
    </w:p>
    <w:p w14:paraId="695F0EBF" w14:textId="5DF74DAA" w:rsidR="00C52EEB" w:rsidRDefault="00C52EEB" w:rsidP="002F21BF">
      <w:pPr>
        <w:spacing w:line="360" w:lineRule="auto"/>
        <w:jc w:val="both"/>
        <w:rPr>
          <w:rFonts w:ascii="Baskerville Old Face" w:hAnsi="Baskerville Old Face" w:cs="Times New Roman"/>
          <w:sz w:val="24"/>
          <w:szCs w:val="24"/>
        </w:rPr>
      </w:pPr>
      <w:r w:rsidRPr="00C52EEB">
        <w:rPr>
          <w:rFonts w:ascii="Baskerville Old Face" w:hAnsi="Baskerville Old Face" w:cs="Times New Roman"/>
          <w:sz w:val="24"/>
          <w:szCs w:val="24"/>
        </w:rPr>
        <w:t>One of the primary responsibilities of the Administration Department within the NRA is to create a conducive work environment for staff</w:t>
      </w:r>
      <w:r>
        <w:rPr>
          <w:rFonts w:ascii="Baskerville Old Face" w:hAnsi="Baskerville Old Face" w:cs="Times New Roman"/>
          <w:sz w:val="24"/>
          <w:szCs w:val="24"/>
        </w:rPr>
        <w:t xml:space="preserve"> and the public</w:t>
      </w:r>
      <w:r w:rsidRPr="00C52EEB">
        <w:rPr>
          <w:rFonts w:ascii="Baskerville Old Face" w:hAnsi="Baskerville Old Face" w:cs="Times New Roman"/>
          <w:sz w:val="24"/>
          <w:szCs w:val="24"/>
        </w:rPr>
        <w:t xml:space="preserve">. During the </w:t>
      </w:r>
      <w:r>
        <w:rPr>
          <w:rFonts w:ascii="Baskerville Old Face" w:hAnsi="Baskerville Old Face" w:cs="Times New Roman"/>
          <w:sz w:val="24"/>
          <w:szCs w:val="24"/>
        </w:rPr>
        <w:t>year under review</w:t>
      </w:r>
      <w:r w:rsidRPr="00C52EEB">
        <w:rPr>
          <w:rFonts w:ascii="Baskerville Old Face" w:hAnsi="Baskerville Old Face" w:cs="Times New Roman"/>
          <w:sz w:val="24"/>
          <w:szCs w:val="24"/>
        </w:rPr>
        <w:t>, the Administration Department oversaw various property-related activities, including rehabilitation</w:t>
      </w:r>
      <w:r>
        <w:rPr>
          <w:rFonts w:ascii="Baskerville Old Face" w:hAnsi="Baskerville Old Face" w:cs="Times New Roman"/>
          <w:sz w:val="24"/>
          <w:szCs w:val="24"/>
        </w:rPr>
        <w:t xml:space="preserve"> of office</w:t>
      </w:r>
      <w:r w:rsidR="00EC7548">
        <w:rPr>
          <w:rFonts w:ascii="Baskerville Old Face" w:hAnsi="Baskerville Old Face" w:cs="Times New Roman"/>
          <w:sz w:val="24"/>
          <w:szCs w:val="24"/>
        </w:rPr>
        <w:t xml:space="preserve"> buildings</w:t>
      </w:r>
      <w:r w:rsidRPr="00C52EEB">
        <w:rPr>
          <w:rFonts w:ascii="Baskerville Old Face" w:hAnsi="Baskerville Old Face" w:cs="Times New Roman"/>
          <w:sz w:val="24"/>
          <w:szCs w:val="24"/>
        </w:rPr>
        <w:t>, and</w:t>
      </w:r>
      <w:r>
        <w:rPr>
          <w:rFonts w:ascii="Baskerville Old Face" w:hAnsi="Baskerville Old Face" w:cs="Times New Roman"/>
          <w:sz w:val="24"/>
          <w:szCs w:val="24"/>
        </w:rPr>
        <w:t xml:space="preserve"> </w:t>
      </w:r>
      <w:r w:rsidR="007B4E9F">
        <w:rPr>
          <w:rFonts w:ascii="Baskerville Old Face" w:hAnsi="Baskerville Old Face" w:cs="Times New Roman"/>
          <w:sz w:val="24"/>
          <w:szCs w:val="24"/>
        </w:rPr>
        <w:t xml:space="preserve">replacement and </w:t>
      </w:r>
      <w:r>
        <w:rPr>
          <w:rFonts w:ascii="Baskerville Old Face" w:hAnsi="Baskerville Old Face" w:cs="Times New Roman"/>
          <w:sz w:val="24"/>
          <w:szCs w:val="24"/>
        </w:rPr>
        <w:t>repair of equipment</w:t>
      </w:r>
      <w:r w:rsidRPr="00C52EEB">
        <w:rPr>
          <w:rFonts w:ascii="Baskerville Old Face" w:hAnsi="Baskerville Old Face" w:cs="Times New Roman"/>
          <w:sz w:val="24"/>
          <w:szCs w:val="24"/>
        </w:rPr>
        <w:t>. These included</w:t>
      </w:r>
      <w:r w:rsidR="004F6CB3" w:rsidRPr="004F6CB3">
        <w:rPr>
          <w:rFonts w:ascii="Baskerville Old Face" w:hAnsi="Baskerville Old Face" w:cs="Times New Roman"/>
          <w:sz w:val="24"/>
          <w:szCs w:val="24"/>
        </w:rPr>
        <w:t xml:space="preserve"> </w:t>
      </w:r>
      <w:r w:rsidR="004F6CB3">
        <w:rPr>
          <w:rFonts w:ascii="Baskerville Old Face" w:hAnsi="Baskerville Old Face" w:cs="Times New Roman"/>
          <w:sz w:val="24"/>
          <w:szCs w:val="24"/>
        </w:rPr>
        <w:t xml:space="preserve">the following: </w:t>
      </w:r>
      <w:r w:rsidRPr="00C52EEB">
        <w:rPr>
          <w:rFonts w:ascii="Baskerville Old Face" w:hAnsi="Baskerville Old Face" w:cs="Times New Roman"/>
          <w:sz w:val="24"/>
          <w:szCs w:val="24"/>
        </w:rPr>
        <w:t xml:space="preserve"> </w:t>
      </w:r>
    </w:p>
    <w:p w14:paraId="5BF786C9" w14:textId="1E0AF7DE" w:rsidR="0022007F" w:rsidRPr="00516ABF" w:rsidRDefault="00217DA3">
      <w:pPr>
        <w:pStyle w:val="ListParagraph"/>
        <w:numPr>
          <w:ilvl w:val="0"/>
          <w:numId w:val="14"/>
        </w:num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R</w:t>
      </w:r>
      <w:r w:rsidR="0022007F" w:rsidRPr="00516ABF">
        <w:rPr>
          <w:rFonts w:ascii="Baskerville Old Face" w:hAnsi="Baskerville Old Face" w:cs="Times New Roman"/>
          <w:sz w:val="24"/>
          <w:szCs w:val="24"/>
        </w:rPr>
        <w:t xml:space="preserve">ehabilitation </w:t>
      </w:r>
      <w:r>
        <w:rPr>
          <w:rFonts w:ascii="Baskerville Old Face" w:hAnsi="Baskerville Old Face" w:cs="Times New Roman"/>
          <w:sz w:val="24"/>
          <w:szCs w:val="24"/>
        </w:rPr>
        <w:t>of</w:t>
      </w:r>
      <w:r w:rsidR="0022007F" w:rsidRPr="00516ABF">
        <w:rPr>
          <w:rFonts w:ascii="Baskerville Old Face" w:hAnsi="Baskerville Old Face" w:cs="Times New Roman"/>
          <w:sz w:val="24"/>
          <w:szCs w:val="24"/>
        </w:rPr>
        <w:t xml:space="preserve"> Customs House and Administrative Buildings</w:t>
      </w:r>
      <w:r>
        <w:rPr>
          <w:rFonts w:ascii="Baskerville Old Face" w:hAnsi="Baskerville Old Face" w:cs="Times New Roman"/>
          <w:sz w:val="24"/>
          <w:szCs w:val="24"/>
        </w:rPr>
        <w:t xml:space="preserve"> at Cline Town</w:t>
      </w:r>
      <w:r w:rsidR="0022007F" w:rsidRPr="00516ABF">
        <w:rPr>
          <w:rFonts w:ascii="Baskerville Old Face" w:hAnsi="Baskerville Old Face" w:cs="Times New Roman"/>
          <w:sz w:val="24"/>
          <w:szCs w:val="24"/>
        </w:rPr>
        <w:t>.</w:t>
      </w:r>
    </w:p>
    <w:p w14:paraId="40443272" w14:textId="76EB916E" w:rsidR="00EC32CB" w:rsidRPr="00516ABF" w:rsidRDefault="00EC32CB">
      <w:pPr>
        <w:pStyle w:val="ListParagraph"/>
        <w:numPr>
          <w:ilvl w:val="0"/>
          <w:numId w:val="14"/>
        </w:numPr>
        <w:spacing w:line="360" w:lineRule="auto"/>
        <w:jc w:val="both"/>
        <w:rPr>
          <w:rFonts w:ascii="Baskerville Old Face" w:hAnsi="Baskerville Old Face" w:cs="Times New Roman"/>
          <w:sz w:val="24"/>
          <w:szCs w:val="24"/>
        </w:rPr>
      </w:pPr>
      <w:r w:rsidRPr="00516ABF">
        <w:rPr>
          <w:rFonts w:ascii="Baskerville Old Face" w:hAnsi="Baskerville Old Face" w:cs="Times New Roman"/>
          <w:sz w:val="24"/>
          <w:szCs w:val="24"/>
        </w:rPr>
        <w:t>Complet</w:t>
      </w:r>
      <w:r w:rsidR="007D6422">
        <w:rPr>
          <w:rFonts w:ascii="Baskerville Old Face" w:hAnsi="Baskerville Old Face" w:cs="Times New Roman"/>
          <w:sz w:val="24"/>
          <w:szCs w:val="24"/>
        </w:rPr>
        <w:t>ion of</w:t>
      </w:r>
      <w:r w:rsidRPr="00516ABF">
        <w:rPr>
          <w:rFonts w:ascii="Baskerville Old Face" w:hAnsi="Baskerville Old Face" w:cs="Times New Roman"/>
          <w:sz w:val="24"/>
          <w:szCs w:val="24"/>
        </w:rPr>
        <w:t xml:space="preserve"> construction of four </w:t>
      </w:r>
      <w:proofErr w:type="spellStart"/>
      <w:r w:rsidRPr="00516ABF">
        <w:rPr>
          <w:rFonts w:ascii="Baskerville Old Face" w:hAnsi="Baskerville Old Face" w:cs="Times New Roman"/>
          <w:sz w:val="24"/>
          <w:szCs w:val="24"/>
        </w:rPr>
        <w:t>containeri</w:t>
      </w:r>
      <w:r w:rsidR="007D6422">
        <w:rPr>
          <w:rFonts w:ascii="Baskerville Old Face" w:hAnsi="Baskerville Old Face" w:cs="Times New Roman"/>
          <w:sz w:val="24"/>
          <w:szCs w:val="24"/>
        </w:rPr>
        <w:t>s</w:t>
      </w:r>
      <w:r w:rsidRPr="00516ABF">
        <w:rPr>
          <w:rFonts w:ascii="Baskerville Old Face" w:hAnsi="Baskerville Old Face" w:cs="Times New Roman"/>
          <w:sz w:val="24"/>
          <w:szCs w:val="24"/>
        </w:rPr>
        <w:t>ed</w:t>
      </w:r>
      <w:proofErr w:type="spellEnd"/>
      <w:r w:rsidRPr="00516ABF">
        <w:rPr>
          <w:rFonts w:ascii="Baskerville Old Face" w:hAnsi="Baskerville Old Face" w:cs="Times New Roman"/>
          <w:sz w:val="24"/>
          <w:szCs w:val="24"/>
        </w:rPr>
        <w:t xml:space="preserve"> offices for the BMS project </w:t>
      </w:r>
      <w:r w:rsidR="00135A86" w:rsidRPr="00516ABF">
        <w:rPr>
          <w:rFonts w:ascii="Baskerville Old Face" w:hAnsi="Baskerville Old Face" w:cs="Times New Roman"/>
          <w:sz w:val="24"/>
          <w:szCs w:val="24"/>
        </w:rPr>
        <w:t>at</w:t>
      </w:r>
      <w:r w:rsidRPr="00516ABF">
        <w:rPr>
          <w:rFonts w:ascii="Baskerville Old Face" w:hAnsi="Baskerville Old Face" w:cs="Times New Roman"/>
          <w:sz w:val="24"/>
          <w:szCs w:val="24"/>
        </w:rPr>
        <w:t xml:space="preserve"> four locations in Freetown</w:t>
      </w:r>
      <w:r w:rsidR="007D6422">
        <w:rPr>
          <w:rFonts w:ascii="Baskerville Old Face" w:hAnsi="Baskerville Old Face" w:cs="Times New Roman"/>
          <w:sz w:val="24"/>
          <w:szCs w:val="24"/>
        </w:rPr>
        <w:t xml:space="preserve"> such</w:t>
      </w:r>
      <w:r w:rsidR="00094E2D" w:rsidRPr="00516ABF">
        <w:rPr>
          <w:rFonts w:ascii="Baskerville Old Face" w:hAnsi="Baskerville Old Face" w:cs="Times New Roman"/>
          <w:sz w:val="24"/>
          <w:szCs w:val="24"/>
        </w:rPr>
        <w:t xml:space="preserve"> </w:t>
      </w:r>
      <w:bookmarkStart w:id="64" w:name="_Hlk158216213"/>
      <w:r w:rsidR="00D8201B">
        <w:rPr>
          <w:rFonts w:ascii="Baskerville Old Face" w:hAnsi="Baskerville Old Face" w:cs="Times New Roman"/>
          <w:sz w:val="24"/>
          <w:szCs w:val="24"/>
        </w:rPr>
        <w:t>as</w:t>
      </w:r>
      <w:r w:rsidR="00D8201B" w:rsidRPr="00516ABF">
        <w:rPr>
          <w:rFonts w:ascii="Baskerville Old Face" w:hAnsi="Baskerville Old Face" w:cs="Times New Roman"/>
          <w:sz w:val="24"/>
          <w:szCs w:val="24"/>
        </w:rPr>
        <w:t xml:space="preserve"> Jui</w:t>
      </w:r>
      <w:r w:rsidR="00094E2D" w:rsidRPr="00516ABF">
        <w:rPr>
          <w:rFonts w:ascii="Baskerville Old Face" w:hAnsi="Baskerville Old Face" w:cs="Times New Roman"/>
          <w:sz w:val="24"/>
          <w:szCs w:val="24"/>
        </w:rPr>
        <w:t xml:space="preserve"> junction, PMB Junction at Wellington, Hillside Bypass Road by Winners Chapel, and Hill </w:t>
      </w:r>
      <w:r w:rsidR="0022007F" w:rsidRPr="00516ABF">
        <w:rPr>
          <w:rFonts w:ascii="Baskerville Old Face" w:hAnsi="Baskerville Old Face" w:cs="Times New Roman"/>
          <w:sz w:val="24"/>
          <w:szCs w:val="24"/>
        </w:rPr>
        <w:t>Station by</w:t>
      </w:r>
      <w:r w:rsidR="00094E2D" w:rsidRPr="00516ABF">
        <w:rPr>
          <w:rFonts w:ascii="Baskerville Old Face" w:hAnsi="Baskerville Old Face" w:cs="Times New Roman"/>
          <w:sz w:val="24"/>
          <w:szCs w:val="24"/>
        </w:rPr>
        <w:t xml:space="preserve"> Old </w:t>
      </w:r>
      <w:r w:rsidR="003F483F">
        <w:rPr>
          <w:rFonts w:ascii="Baskerville Old Face" w:hAnsi="Baskerville Old Face" w:cs="Times New Roman"/>
          <w:sz w:val="24"/>
          <w:szCs w:val="24"/>
        </w:rPr>
        <w:t>S</w:t>
      </w:r>
      <w:r w:rsidR="00094E2D" w:rsidRPr="00516ABF">
        <w:rPr>
          <w:rFonts w:ascii="Baskerville Old Face" w:hAnsi="Baskerville Old Face" w:cs="Times New Roman"/>
          <w:sz w:val="24"/>
          <w:szCs w:val="24"/>
        </w:rPr>
        <w:t>chool</w:t>
      </w:r>
      <w:bookmarkEnd w:id="64"/>
      <w:r w:rsidR="00094E2D" w:rsidRPr="00516ABF">
        <w:rPr>
          <w:rFonts w:ascii="Baskerville Old Face" w:hAnsi="Baskerville Old Face" w:cs="Times New Roman"/>
          <w:sz w:val="24"/>
          <w:szCs w:val="24"/>
        </w:rPr>
        <w:t xml:space="preserve">. </w:t>
      </w:r>
    </w:p>
    <w:p w14:paraId="78A618CF" w14:textId="36469FCC" w:rsidR="00094E2D" w:rsidRPr="00516ABF" w:rsidRDefault="0022007F">
      <w:pPr>
        <w:pStyle w:val="ListParagraph"/>
        <w:numPr>
          <w:ilvl w:val="0"/>
          <w:numId w:val="14"/>
        </w:numPr>
        <w:spacing w:line="360" w:lineRule="auto"/>
        <w:jc w:val="both"/>
        <w:rPr>
          <w:rFonts w:ascii="Baskerville Old Face" w:hAnsi="Baskerville Old Face" w:cs="Times New Roman"/>
          <w:sz w:val="24"/>
          <w:szCs w:val="24"/>
        </w:rPr>
      </w:pPr>
      <w:r w:rsidRPr="00516ABF">
        <w:rPr>
          <w:rFonts w:ascii="Baskerville Old Face" w:hAnsi="Baskerville Old Face" w:cs="Times New Roman"/>
          <w:sz w:val="24"/>
          <w:szCs w:val="24"/>
        </w:rPr>
        <w:t xml:space="preserve">Minor rehabilitation </w:t>
      </w:r>
      <w:r w:rsidR="00135A86" w:rsidRPr="00516ABF">
        <w:rPr>
          <w:rFonts w:ascii="Baskerville Old Face" w:hAnsi="Baskerville Old Face" w:cs="Times New Roman"/>
          <w:sz w:val="24"/>
          <w:szCs w:val="24"/>
        </w:rPr>
        <w:t xml:space="preserve">work </w:t>
      </w:r>
      <w:r w:rsidRPr="00516ABF">
        <w:rPr>
          <w:rFonts w:ascii="Baskerville Old Face" w:hAnsi="Baskerville Old Face" w:cs="Times New Roman"/>
          <w:sz w:val="24"/>
          <w:szCs w:val="24"/>
        </w:rPr>
        <w:t xml:space="preserve">by the landlord of 18 Wellington Street Office that was affected by water leakage, broken </w:t>
      </w:r>
      <w:r w:rsidR="00135A86" w:rsidRPr="00516ABF">
        <w:rPr>
          <w:rFonts w:ascii="Baskerville Old Face" w:hAnsi="Baskerville Old Face" w:cs="Times New Roman"/>
          <w:sz w:val="24"/>
          <w:szCs w:val="24"/>
        </w:rPr>
        <w:t>tiles,</w:t>
      </w:r>
      <w:r w:rsidRPr="00516ABF">
        <w:rPr>
          <w:rFonts w:ascii="Baskerville Old Face" w:hAnsi="Baskerville Old Face" w:cs="Times New Roman"/>
          <w:sz w:val="24"/>
          <w:szCs w:val="24"/>
        </w:rPr>
        <w:t xml:space="preserve"> and cracks on the walls.  </w:t>
      </w:r>
    </w:p>
    <w:p w14:paraId="06921DE8" w14:textId="4AA32747" w:rsidR="00453F41" w:rsidRPr="00516ABF" w:rsidRDefault="00135A86">
      <w:pPr>
        <w:pStyle w:val="ListParagraph"/>
        <w:numPr>
          <w:ilvl w:val="0"/>
          <w:numId w:val="14"/>
        </w:numPr>
        <w:spacing w:line="360" w:lineRule="auto"/>
        <w:jc w:val="both"/>
        <w:rPr>
          <w:rFonts w:ascii="Baskerville Old Face" w:hAnsi="Baskerville Old Face" w:cs="Times New Roman"/>
          <w:sz w:val="24"/>
          <w:szCs w:val="24"/>
        </w:rPr>
      </w:pPr>
      <w:r w:rsidRPr="00516ABF">
        <w:rPr>
          <w:rFonts w:ascii="Baskerville Old Face" w:hAnsi="Baskerville Old Face" w:cs="Times New Roman"/>
          <w:sz w:val="24"/>
          <w:szCs w:val="24"/>
        </w:rPr>
        <w:t xml:space="preserve">Development of the </w:t>
      </w:r>
      <w:r w:rsidR="007D6422">
        <w:rPr>
          <w:rFonts w:ascii="Baskerville Old Face" w:hAnsi="Baskerville Old Face" w:cs="Times New Roman"/>
          <w:sz w:val="24"/>
          <w:szCs w:val="24"/>
        </w:rPr>
        <w:t xml:space="preserve">land for the </w:t>
      </w:r>
      <w:r w:rsidRPr="00516ABF">
        <w:rPr>
          <w:rFonts w:ascii="Baskerville Old Face" w:hAnsi="Baskerville Old Face" w:cs="Times New Roman"/>
          <w:sz w:val="24"/>
          <w:szCs w:val="24"/>
        </w:rPr>
        <w:t xml:space="preserve">proposed administrative building (Revenue House) on Wilkinson Road, Freetown commenced in 2023 with clearing of </w:t>
      </w:r>
      <w:r w:rsidR="00EC32CB" w:rsidRPr="00516ABF">
        <w:rPr>
          <w:rFonts w:ascii="Baskerville Old Face" w:hAnsi="Baskerville Old Face" w:cs="Times New Roman"/>
          <w:sz w:val="24"/>
          <w:szCs w:val="24"/>
        </w:rPr>
        <w:t xml:space="preserve">land </w:t>
      </w:r>
      <w:r w:rsidRPr="00516ABF">
        <w:rPr>
          <w:rFonts w:ascii="Baskerville Old Face" w:hAnsi="Baskerville Old Face" w:cs="Times New Roman"/>
          <w:sz w:val="24"/>
          <w:szCs w:val="24"/>
        </w:rPr>
        <w:t>which is now</w:t>
      </w:r>
      <w:r w:rsidR="00EC32CB" w:rsidRPr="00516ABF">
        <w:rPr>
          <w:rFonts w:ascii="Baskerville Old Face" w:hAnsi="Baskerville Old Face" w:cs="Times New Roman"/>
          <w:sz w:val="24"/>
          <w:szCs w:val="24"/>
        </w:rPr>
        <w:t xml:space="preserve"> ready for construction.</w:t>
      </w:r>
    </w:p>
    <w:p w14:paraId="5DEBCBC9" w14:textId="77777777" w:rsidR="004F6CB3" w:rsidRDefault="004F6CB3" w:rsidP="004F6CB3">
      <w:pPr>
        <w:spacing w:line="360" w:lineRule="auto"/>
        <w:jc w:val="both"/>
        <w:rPr>
          <w:rFonts w:ascii="Baskerville Old Face" w:hAnsi="Baskerville Old Face" w:cs="Times New Roman"/>
          <w:sz w:val="24"/>
          <w:szCs w:val="24"/>
        </w:rPr>
      </w:pPr>
      <w:r w:rsidRPr="00C52EEB">
        <w:rPr>
          <w:rFonts w:ascii="Baskerville Old Face" w:hAnsi="Baskerville Old Face" w:cs="Times New Roman"/>
          <w:sz w:val="24"/>
          <w:szCs w:val="24"/>
        </w:rPr>
        <w:t>Additionally, efforts were made to replace and repair generator plants to ensure consistent power supply, although some generators in specific locations such as Freetown West Tax District, Gbalamuya Customs Border Post, Kono tax office, and Bathurst Street office still require attention.</w:t>
      </w:r>
    </w:p>
    <w:p w14:paraId="5E44CD0C" w14:textId="77777777" w:rsidR="009674D6" w:rsidRDefault="009674D6" w:rsidP="004F6CB3">
      <w:pPr>
        <w:spacing w:line="360" w:lineRule="auto"/>
        <w:jc w:val="both"/>
        <w:rPr>
          <w:rFonts w:ascii="Baskerville Old Face" w:hAnsi="Baskerville Old Face" w:cs="Times New Roman"/>
          <w:sz w:val="24"/>
          <w:szCs w:val="24"/>
        </w:rPr>
      </w:pPr>
    </w:p>
    <w:p w14:paraId="42A14819" w14:textId="77777777" w:rsidR="009674D6" w:rsidRDefault="009674D6" w:rsidP="004F6CB3">
      <w:pPr>
        <w:spacing w:line="360" w:lineRule="auto"/>
        <w:jc w:val="both"/>
        <w:rPr>
          <w:rFonts w:ascii="Baskerville Old Face" w:hAnsi="Baskerville Old Face" w:cs="Times New Roman"/>
          <w:sz w:val="24"/>
          <w:szCs w:val="24"/>
        </w:rPr>
      </w:pPr>
    </w:p>
    <w:p w14:paraId="436CCAAA" w14:textId="77777777" w:rsidR="009674D6" w:rsidRDefault="009674D6" w:rsidP="004F6CB3">
      <w:pPr>
        <w:spacing w:line="360" w:lineRule="auto"/>
        <w:jc w:val="both"/>
        <w:rPr>
          <w:rFonts w:ascii="Baskerville Old Face" w:hAnsi="Baskerville Old Face" w:cs="Times New Roman"/>
          <w:sz w:val="24"/>
          <w:szCs w:val="24"/>
        </w:rPr>
      </w:pPr>
    </w:p>
    <w:p w14:paraId="4060A369" w14:textId="2EBDEEFC" w:rsidR="00924695" w:rsidRPr="00220584" w:rsidRDefault="006A50FE" w:rsidP="00F32446">
      <w:pPr>
        <w:pStyle w:val="Heading1"/>
        <w:rPr>
          <w:color w:val="002060"/>
        </w:rPr>
      </w:pPr>
      <w:bookmarkStart w:id="65" w:name="_Toc198205701"/>
      <w:r w:rsidRPr="00220584">
        <w:rPr>
          <w:color w:val="002060"/>
        </w:rPr>
        <w:lastRenderedPageBreak/>
        <w:t>CHAPTER FOUR</w:t>
      </w:r>
      <w:r w:rsidR="00F32446" w:rsidRPr="00220584">
        <w:rPr>
          <w:color w:val="002060"/>
        </w:rPr>
        <w:t xml:space="preserve">: </w:t>
      </w:r>
      <w:r w:rsidRPr="00220584">
        <w:rPr>
          <w:color w:val="002060"/>
        </w:rPr>
        <w:t>SPECIAL RELEVANCE STATISTICS</w:t>
      </w:r>
      <w:bookmarkEnd w:id="65"/>
    </w:p>
    <w:p w14:paraId="34AFBC6B" w14:textId="1E77C314" w:rsidR="00B4587E" w:rsidRDefault="00B4587E" w:rsidP="00B4587E">
      <w:pPr>
        <w:spacing w:line="360" w:lineRule="auto"/>
        <w:jc w:val="both"/>
        <w:rPr>
          <w:rFonts w:ascii="Baskerville Old Face" w:hAnsi="Baskerville Old Face" w:cs="Times New Roman"/>
          <w:kern w:val="0"/>
          <w:sz w:val="24"/>
          <w:szCs w:val="24"/>
          <w:lang w:val="en-GB"/>
          <w14:ligatures w14:val="none"/>
        </w:rPr>
      </w:pPr>
      <w:bookmarkStart w:id="66" w:name="_Hlk167094706"/>
      <w:r w:rsidRPr="00B4587E">
        <w:rPr>
          <w:rFonts w:ascii="Baskerville Old Face" w:hAnsi="Baskerville Old Face" w:cs="Times New Roman"/>
          <w:kern w:val="0"/>
          <w:sz w:val="24"/>
          <w:szCs w:val="24"/>
          <w:lang w:val="en-GB"/>
          <w14:ligatures w14:val="none"/>
        </w:rPr>
        <w:t xml:space="preserve">This chapter provides a comprehensive examination of pertinent statistics, offering crucial insights into fundamental aspects of tax administration and revenue management. It commences with a focus on updates regarding taxpayer registration </w:t>
      </w:r>
      <w:r>
        <w:rPr>
          <w:rFonts w:ascii="Baskerville Old Face" w:hAnsi="Baskerville Old Face" w:cs="Times New Roman"/>
          <w:kern w:val="0"/>
          <w:sz w:val="24"/>
          <w:szCs w:val="24"/>
          <w:lang w:val="en-GB"/>
          <w14:ligatures w14:val="none"/>
        </w:rPr>
        <w:t xml:space="preserve">to </w:t>
      </w:r>
      <w:r w:rsidRPr="00B4587E">
        <w:rPr>
          <w:rFonts w:ascii="Baskerville Old Face" w:hAnsi="Baskerville Old Face" w:cs="Times New Roman"/>
          <w:kern w:val="0"/>
          <w:sz w:val="24"/>
          <w:szCs w:val="24"/>
          <w:lang w:val="en-GB"/>
          <w14:ligatures w14:val="none"/>
        </w:rPr>
        <w:t>demonstrat</w:t>
      </w:r>
      <w:r w:rsidR="00D80BE6">
        <w:rPr>
          <w:rFonts w:ascii="Baskerville Old Face" w:hAnsi="Baskerville Old Face" w:cs="Times New Roman"/>
          <w:kern w:val="0"/>
          <w:sz w:val="24"/>
          <w:szCs w:val="24"/>
          <w:lang w:val="en-GB"/>
          <w14:ligatures w14:val="none"/>
        </w:rPr>
        <w:t>e</w:t>
      </w:r>
      <w:r w:rsidRPr="00B4587E">
        <w:rPr>
          <w:rFonts w:ascii="Baskerville Old Face" w:hAnsi="Baskerville Old Face" w:cs="Times New Roman"/>
          <w:kern w:val="0"/>
          <w:sz w:val="24"/>
          <w:szCs w:val="24"/>
          <w:lang w:val="en-GB"/>
          <w14:ligatures w14:val="none"/>
        </w:rPr>
        <w:t xml:space="preserve"> efforts to broaden the taxpayer base. Additionally, another section is dedicated to an analysis of planned and completed tax and customs audits, as well as tax compliance and enforcement statistics to provide valuable insights into compliance status. Updates on tax and revenue arrears shed light on outstanding liabilities. </w:t>
      </w:r>
      <w:r w:rsidR="00067FE5">
        <w:rPr>
          <w:rFonts w:ascii="Baskerville Old Face" w:hAnsi="Baskerville Old Face" w:cs="Times New Roman"/>
          <w:kern w:val="0"/>
          <w:sz w:val="24"/>
          <w:szCs w:val="24"/>
          <w:lang w:val="en-GB"/>
          <w14:ligatures w14:val="none"/>
        </w:rPr>
        <w:t>Furthermore, a</w:t>
      </w:r>
      <w:r w:rsidRPr="00B4587E">
        <w:rPr>
          <w:rFonts w:ascii="Baskerville Old Face" w:hAnsi="Baskerville Old Face" w:cs="Times New Roman"/>
          <w:kern w:val="0"/>
          <w:sz w:val="24"/>
          <w:szCs w:val="24"/>
          <w:lang w:val="en-GB"/>
          <w14:ligatures w14:val="none"/>
        </w:rPr>
        <w:t xml:space="preserve"> comparative analysis between 2022 and 2023 is then conducted to unveil trends in import dynamics, declaration statistics by lane, and container and vehicle statistics, facilitating a</w:t>
      </w:r>
      <w:r>
        <w:rPr>
          <w:rFonts w:ascii="Baskerville Old Face" w:hAnsi="Baskerville Old Face" w:cs="Times New Roman"/>
          <w:kern w:val="0"/>
          <w:sz w:val="24"/>
          <w:szCs w:val="24"/>
          <w:lang w:val="en-GB"/>
          <w14:ligatures w14:val="none"/>
        </w:rPr>
        <w:t>n</w:t>
      </w:r>
      <w:r w:rsidRPr="00B4587E">
        <w:rPr>
          <w:rFonts w:ascii="Baskerville Old Face" w:hAnsi="Baskerville Old Face" w:cs="Times New Roman"/>
          <w:kern w:val="0"/>
          <w:sz w:val="24"/>
          <w:szCs w:val="24"/>
          <w:lang w:val="en-GB"/>
          <w14:ligatures w14:val="none"/>
        </w:rPr>
        <w:t xml:space="preserve"> understanding of trade dynamics.</w:t>
      </w:r>
    </w:p>
    <w:bookmarkEnd w:id="66"/>
    <w:p w14:paraId="618C8C75" w14:textId="77777777" w:rsidR="00D27E51" w:rsidRDefault="00D27E51" w:rsidP="00D27E51">
      <w:pPr>
        <w:pStyle w:val="Heading2"/>
        <w:spacing w:before="120" w:after="120"/>
        <w:rPr>
          <w:lang w:val="en-GB"/>
        </w:rPr>
      </w:pPr>
    </w:p>
    <w:p w14:paraId="719F15D8" w14:textId="5B456B38" w:rsidR="00576D48" w:rsidRPr="00513E71" w:rsidRDefault="008E340B" w:rsidP="00D27E51">
      <w:pPr>
        <w:pStyle w:val="Heading2"/>
        <w:spacing w:before="120" w:after="120"/>
        <w:rPr>
          <w:lang w:val="en-GB"/>
        </w:rPr>
      </w:pPr>
      <w:bookmarkStart w:id="67" w:name="_Toc198205702"/>
      <w:r>
        <w:rPr>
          <w:lang w:val="en-GB"/>
        </w:rPr>
        <w:t xml:space="preserve">4.1: </w:t>
      </w:r>
      <w:r w:rsidR="00EA47E4" w:rsidRPr="00513E71">
        <w:rPr>
          <w:lang w:val="en-GB"/>
        </w:rPr>
        <w:t>UPDATE ON TAXPAYER REGISTRATION</w:t>
      </w:r>
      <w:bookmarkEnd w:id="67"/>
    </w:p>
    <w:p w14:paraId="095FC07C" w14:textId="39D91528" w:rsidR="00492CEB" w:rsidRDefault="00492CEB" w:rsidP="00612D93">
      <w:pPr>
        <w:spacing w:line="360" w:lineRule="auto"/>
        <w:jc w:val="both"/>
        <w:rPr>
          <w:rFonts w:ascii="Baskerville Old Face" w:hAnsi="Baskerville Old Face" w:cs="Times New Roman"/>
          <w:kern w:val="0"/>
          <w:sz w:val="24"/>
          <w:szCs w:val="24"/>
          <w:lang w:val="en-GB"/>
          <w14:ligatures w14:val="none"/>
        </w:rPr>
      </w:pPr>
      <w:r w:rsidRPr="00492CEB">
        <w:rPr>
          <w:rFonts w:ascii="Baskerville Old Face" w:hAnsi="Baskerville Old Face" w:cs="Times New Roman"/>
          <w:kern w:val="0"/>
          <w:sz w:val="24"/>
          <w:szCs w:val="24"/>
          <w:lang w:val="en-GB"/>
          <w14:ligatures w14:val="none"/>
        </w:rPr>
        <w:t>Taxpayers are required to register with the National Revenue Authority (NRA) for taxation purposes, receiving a unique identifier called a Taxpayer Identification Number (TIN). However, not all TINs are designated for business purposes. In the reviewed year, 14,499 TINs were issued, a decrease from 21,410 in 2022.</w:t>
      </w:r>
    </w:p>
    <w:p w14:paraId="2FD313F5" w14:textId="05E22044" w:rsidR="00F758AB" w:rsidRDefault="00DC190F" w:rsidP="00612D93">
      <w:pPr>
        <w:spacing w:line="360" w:lineRule="auto"/>
        <w:jc w:val="both"/>
        <w:rPr>
          <w:rFonts w:ascii="Baskerville Old Face" w:hAnsi="Baskerville Old Face" w:cs="Times New Roman"/>
          <w:kern w:val="0"/>
          <w:sz w:val="24"/>
          <w:szCs w:val="24"/>
          <w:lang w:val="en-GB"/>
          <w14:ligatures w14:val="none"/>
        </w:rPr>
      </w:pPr>
      <w:r w:rsidRPr="00DC190F">
        <w:rPr>
          <w:rFonts w:ascii="Baskerville Old Face" w:hAnsi="Baskerville Old Face" w:cs="Times New Roman"/>
          <w:kern w:val="0"/>
          <w:sz w:val="24"/>
          <w:szCs w:val="24"/>
          <w:lang w:val="en-GB"/>
          <w14:ligatures w14:val="none"/>
        </w:rPr>
        <w:t xml:space="preserve">The distribution of TINs by tax office in 2023 and 2022 is detailed in </w:t>
      </w:r>
      <w:r w:rsidRPr="002B4BD4">
        <w:rPr>
          <w:rFonts w:ascii="Baskerville Old Face" w:hAnsi="Baskerville Old Face" w:cs="Times New Roman"/>
          <w:kern w:val="0"/>
          <w:sz w:val="24"/>
          <w:szCs w:val="24"/>
          <w:lang w:val="en-GB"/>
          <w14:ligatures w14:val="none"/>
        </w:rPr>
        <w:t xml:space="preserve">Table </w:t>
      </w:r>
      <w:r w:rsidR="002B4BD4">
        <w:rPr>
          <w:rFonts w:ascii="Baskerville Old Face" w:hAnsi="Baskerville Old Face" w:cs="Times New Roman"/>
          <w:kern w:val="0"/>
          <w:sz w:val="24"/>
          <w:szCs w:val="24"/>
          <w:lang w:val="en-GB"/>
          <w14:ligatures w14:val="none"/>
        </w:rPr>
        <w:t>1</w:t>
      </w:r>
      <w:r w:rsidR="007A5F56">
        <w:rPr>
          <w:rFonts w:ascii="Baskerville Old Face" w:hAnsi="Baskerville Old Face" w:cs="Times New Roman"/>
          <w:kern w:val="0"/>
          <w:sz w:val="24"/>
          <w:szCs w:val="24"/>
          <w:lang w:val="en-GB"/>
          <w14:ligatures w14:val="none"/>
        </w:rPr>
        <w:t>2</w:t>
      </w:r>
      <w:r w:rsidRPr="00DC190F">
        <w:rPr>
          <w:rFonts w:ascii="Baskerville Old Face" w:hAnsi="Baskerville Old Face" w:cs="Times New Roman"/>
          <w:kern w:val="0"/>
          <w:sz w:val="24"/>
          <w:szCs w:val="24"/>
          <w:lang w:val="en-GB"/>
          <w14:ligatures w14:val="none"/>
        </w:rPr>
        <w:t xml:space="preserve">. The Medium Taxpayers Office (MTO) in Freetown issued the highest number of TINs in both years, followed by the DTD head office at the West African Monetary Agency (WAMA) building in Freetown, and the Freetown Central Office. TINs </w:t>
      </w:r>
      <w:r w:rsidR="00ED7498">
        <w:rPr>
          <w:rFonts w:ascii="Baskerville Old Face" w:hAnsi="Baskerville Old Face" w:cs="Times New Roman"/>
          <w:kern w:val="0"/>
          <w:sz w:val="24"/>
          <w:szCs w:val="24"/>
          <w:lang w:val="en-GB"/>
          <w14:ligatures w14:val="none"/>
        </w:rPr>
        <w:t xml:space="preserve">issued from </w:t>
      </w:r>
      <w:r w:rsidRPr="00DC190F">
        <w:rPr>
          <w:rFonts w:ascii="Baskerville Old Face" w:hAnsi="Baskerville Old Face" w:cs="Times New Roman"/>
          <w:kern w:val="0"/>
          <w:sz w:val="24"/>
          <w:szCs w:val="24"/>
          <w:lang w:val="en-GB"/>
          <w14:ligatures w14:val="none"/>
        </w:rPr>
        <w:t xml:space="preserve">the CSD office </w:t>
      </w:r>
      <w:r w:rsidR="00ED7498">
        <w:rPr>
          <w:rFonts w:ascii="Baskerville Old Face" w:hAnsi="Baskerville Old Face" w:cs="Times New Roman"/>
          <w:kern w:val="0"/>
          <w:sz w:val="24"/>
          <w:szCs w:val="24"/>
          <w:lang w:val="en-GB"/>
          <w14:ligatures w14:val="none"/>
        </w:rPr>
        <w:t xml:space="preserve">are </w:t>
      </w:r>
      <w:r w:rsidRPr="00DC190F">
        <w:rPr>
          <w:rFonts w:ascii="Baskerville Old Face" w:hAnsi="Baskerville Old Face" w:cs="Times New Roman"/>
          <w:kern w:val="0"/>
          <w:sz w:val="24"/>
          <w:szCs w:val="24"/>
          <w:lang w:val="en-GB"/>
          <w14:ligatures w14:val="none"/>
        </w:rPr>
        <w:t xml:space="preserve">primarily </w:t>
      </w:r>
      <w:r w:rsidR="00ED7498">
        <w:rPr>
          <w:rFonts w:ascii="Baskerville Old Face" w:hAnsi="Baskerville Old Face" w:cs="Times New Roman"/>
          <w:kern w:val="0"/>
          <w:sz w:val="24"/>
          <w:szCs w:val="24"/>
          <w:lang w:val="en-GB"/>
          <w14:ligatures w14:val="none"/>
        </w:rPr>
        <w:t>for</w:t>
      </w:r>
      <w:r w:rsidRPr="00DC190F">
        <w:rPr>
          <w:rFonts w:ascii="Baskerville Old Face" w:hAnsi="Baskerville Old Face" w:cs="Times New Roman"/>
          <w:kern w:val="0"/>
          <w:sz w:val="24"/>
          <w:szCs w:val="24"/>
          <w:lang w:val="en-GB"/>
          <w14:ligatures w14:val="none"/>
        </w:rPr>
        <w:t xml:space="preserve"> import</w:t>
      </w:r>
      <w:r w:rsidR="00ED7498">
        <w:rPr>
          <w:rFonts w:ascii="Baskerville Old Face" w:hAnsi="Baskerville Old Face" w:cs="Times New Roman"/>
          <w:kern w:val="0"/>
          <w:sz w:val="24"/>
          <w:szCs w:val="24"/>
          <w:lang w:val="en-GB"/>
          <w14:ligatures w14:val="none"/>
        </w:rPr>
        <w:t>s</w:t>
      </w:r>
      <w:r w:rsidRPr="00DC190F">
        <w:rPr>
          <w:rFonts w:ascii="Baskerville Old Face" w:hAnsi="Baskerville Old Face" w:cs="Times New Roman"/>
          <w:kern w:val="0"/>
          <w:sz w:val="24"/>
          <w:szCs w:val="24"/>
          <w:lang w:val="en-GB"/>
          <w14:ligatures w14:val="none"/>
        </w:rPr>
        <w:t xml:space="preserve"> and export</w:t>
      </w:r>
      <w:r w:rsidR="00ED7498">
        <w:rPr>
          <w:rFonts w:ascii="Baskerville Old Face" w:hAnsi="Baskerville Old Face" w:cs="Times New Roman"/>
          <w:kern w:val="0"/>
          <w:sz w:val="24"/>
          <w:szCs w:val="24"/>
          <w:lang w:val="en-GB"/>
          <w14:ligatures w14:val="none"/>
        </w:rPr>
        <w:t>s</w:t>
      </w:r>
      <w:r w:rsidRPr="00DC190F">
        <w:rPr>
          <w:rFonts w:ascii="Baskerville Old Face" w:hAnsi="Baskerville Old Face" w:cs="Times New Roman"/>
          <w:kern w:val="0"/>
          <w:sz w:val="24"/>
          <w:szCs w:val="24"/>
          <w:lang w:val="en-GB"/>
          <w14:ligatures w14:val="none"/>
        </w:rPr>
        <w:t xml:space="preserve"> </w:t>
      </w:r>
      <w:r w:rsidR="00ED7498">
        <w:rPr>
          <w:rFonts w:ascii="Baskerville Old Face" w:hAnsi="Baskerville Old Face" w:cs="Times New Roman"/>
          <w:kern w:val="0"/>
          <w:sz w:val="24"/>
          <w:szCs w:val="24"/>
          <w:lang w:val="en-GB"/>
          <w14:ligatures w14:val="none"/>
        </w:rPr>
        <w:t>purposes</w:t>
      </w:r>
      <w:r w:rsidRPr="00DC190F">
        <w:rPr>
          <w:rFonts w:ascii="Baskerville Old Face" w:hAnsi="Baskerville Old Face" w:cs="Times New Roman"/>
          <w:kern w:val="0"/>
          <w:sz w:val="24"/>
          <w:szCs w:val="24"/>
          <w:lang w:val="en-GB"/>
          <w14:ligatures w14:val="none"/>
        </w:rPr>
        <w:t>.</w:t>
      </w:r>
    </w:p>
    <w:p w14:paraId="47261EFA" w14:textId="77777777" w:rsidR="00D27E51" w:rsidRDefault="00D27E51" w:rsidP="004D5FD6">
      <w:pPr>
        <w:rPr>
          <w:rFonts w:ascii="Baskerville Old Face" w:hAnsi="Baskerville Old Face" w:cs="Times New Roman"/>
          <w:b/>
          <w:bCs/>
          <w:i/>
          <w:iCs/>
          <w:kern w:val="0"/>
          <w:sz w:val="24"/>
          <w:szCs w:val="24"/>
          <w:lang w:val="en-GB"/>
          <w14:ligatures w14:val="none"/>
        </w:rPr>
      </w:pPr>
      <w:bookmarkStart w:id="68" w:name="Table12"/>
    </w:p>
    <w:p w14:paraId="562D30E7" w14:textId="77777777" w:rsidR="00D27E51" w:rsidRDefault="00D27E51" w:rsidP="004D5FD6">
      <w:pPr>
        <w:rPr>
          <w:rFonts w:ascii="Baskerville Old Face" w:hAnsi="Baskerville Old Face" w:cs="Times New Roman"/>
          <w:b/>
          <w:bCs/>
          <w:i/>
          <w:iCs/>
          <w:kern w:val="0"/>
          <w:sz w:val="24"/>
          <w:szCs w:val="24"/>
          <w:lang w:val="en-GB"/>
          <w14:ligatures w14:val="none"/>
        </w:rPr>
      </w:pPr>
    </w:p>
    <w:p w14:paraId="5FC2CF34" w14:textId="77777777" w:rsidR="00D27E51" w:rsidRDefault="00D27E51" w:rsidP="004D5FD6">
      <w:pPr>
        <w:rPr>
          <w:rFonts w:ascii="Baskerville Old Face" w:hAnsi="Baskerville Old Face" w:cs="Times New Roman"/>
          <w:b/>
          <w:bCs/>
          <w:i/>
          <w:iCs/>
          <w:kern w:val="0"/>
          <w:sz w:val="24"/>
          <w:szCs w:val="24"/>
          <w:lang w:val="en-GB"/>
          <w14:ligatures w14:val="none"/>
        </w:rPr>
      </w:pPr>
    </w:p>
    <w:p w14:paraId="7865B478" w14:textId="77777777" w:rsidR="00D27E51" w:rsidRDefault="00D27E51" w:rsidP="004D5FD6">
      <w:pPr>
        <w:rPr>
          <w:rFonts w:ascii="Baskerville Old Face" w:hAnsi="Baskerville Old Face" w:cs="Times New Roman"/>
          <w:b/>
          <w:bCs/>
          <w:i/>
          <w:iCs/>
          <w:kern w:val="0"/>
          <w:sz w:val="24"/>
          <w:szCs w:val="24"/>
          <w:lang w:val="en-GB"/>
          <w14:ligatures w14:val="none"/>
        </w:rPr>
      </w:pPr>
    </w:p>
    <w:p w14:paraId="783089A5" w14:textId="77777777" w:rsidR="00D27E51" w:rsidRDefault="00D27E51" w:rsidP="004D5FD6">
      <w:pPr>
        <w:rPr>
          <w:rFonts w:ascii="Baskerville Old Face" w:hAnsi="Baskerville Old Face" w:cs="Times New Roman"/>
          <w:b/>
          <w:bCs/>
          <w:i/>
          <w:iCs/>
          <w:kern w:val="0"/>
          <w:sz w:val="24"/>
          <w:szCs w:val="24"/>
          <w:lang w:val="en-GB"/>
          <w14:ligatures w14:val="none"/>
        </w:rPr>
      </w:pPr>
    </w:p>
    <w:p w14:paraId="79649A0D" w14:textId="77777777" w:rsidR="00D27E51" w:rsidRDefault="00D27E51" w:rsidP="004D5FD6">
      <w:pPr>
        <w:rPr>
          <w:rFonts w:ascii="Baskerville Old Face" w:hAnsi="Baskerville Old Face" w:cs="Times New Roman"/>
          <w:b/>
          <w:bCs/>
          <w:i/>
          <w:iCs/>
          <w:kern w:val="0"/>
          <w:sz w:val="24"/>
          <w:szCs w:val="24"/>
          <w:lang w:val="en-GB"/>
          <w14:ligatures w14:val="none"/>
        </w:rPr>
      </w:pPr>
    </w:p>
    <w:p w14:paraId="213F409C" w14:textId="77777777" w:rsidR="00D27E51" w:rsidRDefault="00D27E51" w:rsidP="004D5FD6">
      <w:pPr>
        <w:rPr>
          <w:rFonts w:ascii="Baskerville Old Face" w:hAnsi="Baskerville Old Face" w:cs="Times New Roman"/>
          <w:b/>
          <w:bCs/>
          <w:i/>
          <w:iCs/>
          <w:kern w:val="0"/>
          <w:sz w:val="24"/>
          <w:szCs w:val="24"/>
          <w:lang w:val="en-GB"/>
          <w14:ligatures w14:val="none"/>
        </w:rPr>
      </w:pPr>
    </w:p>
    <w:p w14:paraId="059A4DBA" w14:textId="31988A3A" w:rsidR="00576D48" w:rsidRPr="002A0914" w:rsidRDefault="00340C03" w:rsidP="004D5FD6">
      <w:pPr>
        <w:rPr>
          <w:rFonts w:ascii="Baskerville Old Face" w:hAnsi="Baskerville Old Face" w:cs="Times New Roman"/>
          <w:b/>
          <w:bCs/>
          <w:i/>
          <w:iCs/>
          <w:kern w:val="0"/>
          <w:sz w:val="24"/>
          <w:szCs w:val="24"/>
          <w:lang w:val="en-GB"/>
          <w14:ligatures w14:val="none"/>
        </w:rPr>
      </w:pPr>
      <w:r w:rsidRPr="002B4BD4">
        <w:rPr>
          <w:rFonts w:ascii="Baskerville Old Face" w:hAnsi="Baskerville Old Face" w:cs="Times New Roman"/>
          <w:b/>
          <w:bCs/>
          <w:i/>
          <w:iCs/>
          <w:kern w:val="0"/>
          <w:sz w:val="24"/>
          <w:szCs w:val="24"/>
          <w:lang w:val="en-GB"/>
          <w14:ligatures w14:val="none"/>
        </w:rPr>
        <w:lastRenderedPageBreak/>
        <w:t xml:space="preserve">Table </w:t>
      </w:r>
      <w:r w:rsidR="002B4BD4">
        <w:rPr>
          <w:rFonts w:ascii="Baskerville Old Face" w:hAnsi="Baskerville Old Face" w:cs="Times New Roman"/>
          <w:b/>
          <w:bCs/>
          <w:i/>
          <w:iCs/>
          <w:kern w:val="0"/>
          <w:sz w:val="24"/>
          <w:szCs w:val="24"/>
          <w:lang w:val="en-GB"/>
          <w14:ligatures w14:val="none"/>
        </w:rPr>
        <w:t>1</w:t>
      </w:r>
      <w:r w:rsidR="00341F25">
        <w:rPr>
          <w:rFonts w:ascii="Baskerville Old Face" w:hAnsi="Baskerville Old Face" w:cs="Times New Roman"/>
          <w:b/>
          <w:bCs/>
          <w:i/>
          <w:iCs/>
          <w:kern w:val="0"/>
          <w:sz w:val="24"/>
          <w:szCs w:val="24"/>
          <w:lang w:val="en-GB"/>
          <w14:ligatures w14:val="none"/>
        </w:rPr>
        <w:t>2</w:t>
      </w:r>
      <w:r w:rsidRPr="002A0914">
        <w:rPr>
          <w:rFonts w:ascii="Baskerville Old Face" w:hAnsi="Baskerville Old Face" w:cs="Times New Roman"/>
          <w:b/>
          <w:bCs/>
          <w:i/>
          <w:iCs/>
          <w:kern w:val="0"/>
          <w:sz w:val="24"/>
          <w:szCs w:val="24"/>
          <w:lang w:val="en-GB"/>
          <w14:ligatures w14:val="none"/>
        </w:rPr>
        <w:t>: Number of TIN Issued by Tax Office</w:t>
      </w:r>
      <w:r w:rsidR="00842E98" w:rsidRPr="002A0914">
        <w:rPr>
          <w:rFonts w:ascii="Baskerville Old Face" w:hAnsi="Baskerville Old Face" w:cs="Times New Roman"/>
          <w:b/>
          <w:bCs/>
          <w:i/>
          <w:iCs/>
          <w:kern w:val="0"/>
          <w:sz w:val="24"/>
          <w:szCs w:val="24"/>
          <w:lang w:val="en-GB"/>
          <w14:ligatures w14:val="none"/>
        </w:rPr>
        <w:t xml:space="preserve"> in </w:t>
      </w:r>
      <w:r w:rsidRPr="002A0914">
        <w:rPr>
          <w:rFonts w:ascii="Baskerville Old Face" w:hAnsi="Baskerville Old Face" w:cs="Times New Roman"/>
          <w:b/>
          <w:bCs/>
          <w:i/>
          <w:iCs/>
          <w:kern w:val="0"/>
          <w:sz w:val="24"/>
          <w:szCs w:val="24"/>
          <w:lang w:val="en-GB"/>
          <w14:ligatures w14:val="none"/>
        </w:rPr>
        <w:t xml:space="preserve">2023 </w:t>
      </w:r>
      <w:r w:rsidR="00842E98" w:rsidRPr="002A0914">
        <w:rPr>
          <w:rFonts w:ascii="Baskerville Old Face" w:hAnsi="Baskerville Old Face" w:cs="Times New Roman"/>
          <w:b/>
          <w:bCs/>
          <w:i/>
          <w:iCs/>
          <w:kern w:val="0"/>
          <w:sz w:val="24"/>
          <w:szCs w:val="24"/>
          <w:lang w:val="en-GB"/>
          <w14:ligatures w14:val="none"/>
        </w:rPr>
        <w:t>and</w:t>
      </w:r>
      <w:r w:rsidRPr="002A0914">
        <w:rPr>
          <w:rFonts w:ascii="Baskerville Old Face" w:hAnsi="Baskerville Old Face" w:cs="Times New Roman"/>
          <w:b/>
          <w:bCs/>
          <w:i/>
          <w:iCs/>
          <w:kern w:val="0"/>
          <w:sz w:val="24"/>
          <w:szCs w:val="24"/>
          <w:lang w:val="en-GB"/>
          <w14:ligatures w14:val="none"/>
        </w:rPr>
        <w:t xml:space="preserve"> 2022</w:t>
      </w:r>
    </w:p>
    <w:tbl>
      <w:tblPr>
        <w:tblStyle w:val="GridTable2-Accent5"/>
        <w:tblW w:w="6390" w:type="dxa"/>
        <w:tblLook w:val="04A0" w:firstRow="1" w:lastRow="0" w:firstColumn="1" w:lastColumn="0" w:noHBand="0" w:noVBand="1"/>
      </w:tblPr>
      <w:tblGrid>
        <w:gridCol w:w="3330"/>
        <w:gridCol w:w="1440"/>
        <w:gridCol w:w="1620"/>
      </w:tblGrid>
      <w:tr w:rsidR="0073750A" w:rsidRPr="0073750A" w14:paraId="008EBFCC" w14:textId="77777777" w:rsidTr="005157C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30" w:type="dxa"/>
            <w:noWrap/>
            <w:hideMark/>
          </w:tcPr>
          <w:bookmarkEnd w:id="68"/>
          <w:p w14:paraId="03817B8B" w14:textId="77777777" w:rsidR="0073750A" w:rsidRPr="0073750A" w:rsidRDefault="0073750A" w:rsidP="0073750A">
            <w:pPr>
              <w:rPr>
                <w:rFonts w:ascii="Baskerville Old Face" w:eastAsia="Times New Roman" w:hAnsi="Baskerville Old Face" w:cs="Times New Roman"/>
                <w:kern w:val="0"/>
                <w:sz w:val="20"/>
                <w:szCs w:val="20"/>
                <w14:ligatures w14:val="none"/>
              </w:rPr>
            </w:pPr>
            <w:r w:rsidRPr="0073750A">
              <w:rPr>
                <w:rFonts w:ascii="Baskerville Old Face" w:eastAsia="Times New Roman" w:hAnsi="Baskerville Old Face" w:cs="Times New Roman"/>
                <w:kern w:val="0"/>
                <w:sz w:val="20"/>
                <w:szCs w:val="20"/>
                <w14:ligatures w14:val="none"/>
              </w:rPr>
              <w:t>Tax Office</w:t>
            </w:r>
          </w:p>
        </w:tc>
        <w:tc>
          <w:tcPr>
            <w:tcW w:w="1440" w:type="dxa"/>
            <w:noWrap/>
            <w:hideMark/>
          </w:tcPr>
          <w:p w14:paraId="196D279D" w14:textId="77777777" w:rsidR="0073750A" w:rsidRPr="0073750A" w:rsidRDefault="0073750A" w:rsidP="00D6538E">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sz w:val="20"/>
                <w:szCs w:val="20"/>
                <w14:ligatures w14:val="none"/>
              </w:rPr>
            </w:pPr>
            <w:r w:rsidRPr="0073750A">
              <w:rPr>
                <w:rFonts w:ascii="Baskerville Old Face" w:eastAsia="Times New Roman" w:hAnsi="Baskerville Old Face" w:cs="Times New Roman"/>
                <w:kern w:val="0"/>
                <w:sz w:val="20"/>
                <w:szCs w:val="20"/>
                <w14:ligatures w14:val="none"/>
              </w:rPr>
              <w:t>2023</w:t>
            </w:r>
          </w:p>
        </w:tc>
        <w:tc>
          <w:tcPr>
            <w:tcW w:w="1620" w:type="dxa"/>
            <w:noWrap/>
            <w:hideMark/>
          </w:tcPr>
          <w:p w14:paraId="0B957AA5" w14:textId="77777777" w:rsidR="0073750A" w:rsidRPr="0073750A" w:rsidRDefault="0073750A" w:rsidP="00D6538E">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2022</w:t>
            </w:r>
          </w:p>
        </w:tc>
      </w:tr>
      <w:tr w:rsidR="0073750A" w:rsidRPr="0073750A" w14:paraId="51A182FB"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F609CE5"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Medium Taxpayers Office </w:t>
            </w:r>
          </w:p>
        </w:tc>
        <w:tc>
          <w:tcPr>
            <w:tcW w:w="1440" w:type="dxa"/>
            <w:noWrap/>
            <w:hideMark/>
          </w:tcPr>
          <w:p w14:paraId="386FE857" w14:textId="685E733C"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4,674</w:t>
            </w:r>
          </w:p>
        </w:tc>
        <w:tc>
          <w:tcPr>
            <w:tcW w:w="1620" w:type="dxa"/>
            <w:noWrap/>
            <w:hideMark/>
          </w:tcPr>
          <w:p w14:paraId="38312D3E" w14:textId="2D607E9C"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7,087</w:t>
            </w:r>
          </w:p>
        </w:tc>
      </w:tr>
      <w:tr w:rsidR="0073750A" w:rsidRPr="0073750A" w14:paraId="41DB2B4C"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3C2AC0C2"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WAMA Individual Taxpayer  </w:t>
            </w:r>
          </w:p>
        </w:tc>
        <w:tc>
          <w:tcPr>
            <w:tcW w:w="1440" w:type="dxa"/>
            <w:noWrap/>
            <w:hideMark/>
          </w:tcPr>
          <w:p w14:paraId="4F31A9B1" w14:textId="330868CE"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3,473</w:t>
            </w:r>
          </w:p>
        </w:tc>
        <w:tc>
          <w:tcPr>
            <w:tcW w:w="1620" w:type="dxa"/>
            <w:noWrap/>
            <w:hideMark/>
          </w:tcPr>
          <w:p w14:paraId="3F47D5A0" w14:textId="52A0E236"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3,217</w:t>
            </w:r>
          </w:p>
        </w:tc>
      </w:tr>
      <w:tr w:rsidR="0073750A" w:rsidRPr="0073750A" w14:paraId="01ED66C1"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018EA17"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Freetown Central </w:t>
            </w:r>
          </w:p>
        </w:tc>
        <w:tc>
          <w:tcPr>
            <w:tcW w:w="1440" w:type="dxa"/>
            <w:noWrap/>
            <w:hideMark/>
          </w:tcPr>
          <w:p w14:paraId="26D921EA" w14:textId="56546F04"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2,262</w:t>
            </w:r>
          </w:p>
        </w:tc>
        <w:tc>
          <w:tcPr>
            <w:tcW w:w="1620" w:type="dxa"/>
            <w:noWrap/>
            <w:hideMark/>
          </w:tcPr>
          <w:p w14:paraId="72F6D244" w14:textId="5D1D0A73"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2,366</w:t>
            </w:r>
          </w:p>
        </w:tc>
      </w:tr>
      <w:tr w:rsidR="0073750A" w:rsidRPr="0073750A" w14:paraId="63B16C90"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B8BAAE5"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Makeni Taxpayers Office </w:t>
            </w:r>
          </w:p>
        </w:tc>
        <w:tc>
          <w:tcPr>
            <w:tcW w:w="1440" w:type="dxa"/>
            <w:noWrap/>
            <w:hideMark/>
          </w:tcPr>
          <w:p w14:paraId="0827D030" w14:textId="713C077A"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940</w:t>
            </w:r>
          </w:p>
        </w:tc>
        <w:tc>
          <w:tcPr>
            <w:tcW w:w="1620" w:type="dxa"/>
            <w:noWrap/>
            <w:hideMark/>
          </w:tcPr>
          <w:p w14:paraId="7A6A865C" w14:textId="096F9067"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1,364</w:t>
            </w:r>
          </w:p>
        </w:tc>
      </w:tr>
      <w:tr w:rsidR="0073750A" w:rsidRPr="0073750A" w14:paraId="4D41B080"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289EADE6"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CSD Importers and Brokers </w:t>
            </w:r>
          </w:p>
        </w:tc>
        <w:tc>
          <w:tcPr>
            <w:tcW w:w="1440" w:type="dxa"/>
            <w:noWrap/>
            <w:hideMark/>
          </w:tcPr>
          <w:p w14:paraId="6A82255F" w14:textId="57EE2644"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838</w:t>
            </w:r>
          </w:p>
        </w:tc>
        <w:tc>
          <w:tcPr>
            <w:tcW w:w="1620" w:type="dxa"/>
            <w:noWrap/>
            <w:hideMark/>
          </w:tcPr>
          <w:p w14:paraId="1DE09F08" w14:textId="16F45C6B"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2,203</w:t>
            </w:r>
          </w:p>
        </w:tc>
      </w:tr>
      <w:tr w:rsidR="0073750A" w:rsidRPr="0073750A" w14:paraId="2105F1C3"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6C1CF9FC"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Freetown West </w:t>
            </w:r>
          </w:p>
        </w:tc>
        <w:tc>
          <w:tcPr>
            <w:tcW w:w="1440" w:type="dxa"/>
            <w:noWrap/>
            <w:hideMark/>
          </w:tcPr>
          <w:p w14:paraId="2EAF306F" w14:textId="49F2D33D"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619</w:t>
            </w:r>
          </w:p>
        </w:tc>
        <w:tc>
          <w:tcPr>
            <w:tcW w:w="1620" w:type="dxa"/>
            <w:noWrap/>
            <w:hideMark/>
          </w:tcPr>
          <w:p w14:paraId="11E1DDC8" w14:textId="764CB844"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1,579</w:t>
            </w:r>
          </w:p>
        </w:tc>
      </w:tr>
      <w:tr w:rsidR="0073750A" w:rsidRPr="0073750A" w14:paraId="36CC41DA"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C1890D7"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Kenema Taxpayers Office </w:t>
            </w:r>
          </w:p>
        </w:tc>
        <w:tc>
          <w:tcPr>
            <w:tcW w:w="1440" w:type="dxa"/>
            <w:noWrap/>
            <w:hideMark/>
          </w:tcPr>
          <w:p w14:paraId="5579817D" w14:textId="316622E4"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556</w:t>
            </w:r>
          </w:p>
        </w:tc>
        <w:tc>
          <w:tcPr>
            <w:tcW w:w="1620" w:type="dxa"/>
            <w:noWrap/>
            <w:hideMark/>
          </w:tcPr>
          <w:p w14:paraId="31697C24" w14:textId="0040C449"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901</w:t>
            </w:r>
          </w:p>
        </w:tc>
      </w:tr>
      <w:tr w:rsidR="0073750A" w:rsidRPr="0073750A" w14:paraId="481C39E8"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55071AB1"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Bo Taxpayers Office </w:t>
            </w:r>
          </w:p>
        </w:tc>
        <w:tc>
          <w:tcPr>
            <w:tcW w:w="1440" w:type="dxa"/>
            <w:noWrap/>
            <w:hideMark/>
          </w:tcPr>
          <w:p w14:paraId="0C97D19E" w14:textId="3432E731"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531</w:t>
            </w:r>
          </w:p>
        </w:tc>
        <w:tc>
          <w:tcPr>
            <w:tcW w:w="1620" w:type="dxa"/>
            <w:noWrap/>
            <w:hideMark/>
          </w:tcPr>
          <w:p w14:paraId="375161A8" w14:textId="57E22CAA"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974</w:t>
            </w:r>
          </w:p>
        </w:tc>
      </w:tr>
      <w:tr w:rsidR="0073750A" w:rsidRPr="0073750A" w14:paraId="40868CAE"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DE644E1"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Kono Taxpayers Office </w:t>
            </w:r>
          </w:p>
        </w:tc>
        <w:tc>
          <w:tcPr>
            <w:tcW w:w="1440" w:type="dxa"/>
            <w:noWrap/>
            <w:hideMark/>
          </w:tcPr>
          <w:p w14:paraId="05ED7682" w14:textId="7BD37FD0"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287</w:t>
            </w:r>
          </w:p>
        </w:tc>
        <w:tc>
          <w:tcPr>
            <w:tcW w:w="1620" w:type="dxa"/>
            <w:noWrap/>
            <w:hideMark/>
          </w:tcPr>
          <w:p w14:paraId="01E81BFE" w14:textId="27F380BE"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404</w:t>
            </w:r>
          </w:p>
        </w:tc>
      </w:tr>
      <w:tr w:rsidR="0073750A" w:rsidRPr="0073750A" w14:paraId="50CA34FE" w14:textId="77777777" w:rsidTr="005157C9">
        <w:trPr>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04CFCBE7"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Freetown East </w:t>
            </w:r>
          </w:p>
        </w:tc>
        <w:tc>
          <w:tcPr>
            <w:tcW w:w="1440" w:type="dxa"/>
            <w:noWrap/>
            <w:hideMark/>
          </w:tcPr>
          <w:p w14:paraId="32CE1B7C" w14:textId="3F2338EC"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267</w:t>
            </w:r>
          </w:p>
        </w:tc>
        <w:tc>
          <w:tcPr>
            <w:tcW w:w="1620" w:type="dxa"/>
            <w:noWrap/>
            <w:hideMark/>
          </w:tcPr>
          <w:p w14:paraId="2801313A" w14:textId="7F8D8389"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1,232</w:t>
            </w:r>
          </w:p>
        </w:tc>
      </w:tr>
      <w:tr w:rsidR="0073750A" w:rsidRPr="0073750A" w14:paraId="37BFA8D7" w14:textId="77777777" w:rsidTr="005157C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330" w:type="dxa"/>
            <w:noWrap/>
            <w:hideMark/>
          </w:tcPr>
          <w:p w14:paraId="785FD394"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Extractive Industry Revenue Unit </w:t>
            </w:r>
          </w:p>
        </w:tc>
        <w:tc>
          <w:tcPr>
            <w:tcW w:w="1440" w:type="dxa"/>
            <w:noWrap/>
            <w:hideMark/>
          </w:tcPr>
          <w:p w14:paraId="0F44D6C5" w14:textId="4CA78EEE"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44</w:t>
            </w:r>
          </w:p>
        </w:tc>
        <w:tc>
          <w:tcPr>
            <w:tcW w:w="1620" w:type="dxa"/>
            <w:noWrap/>
            <w:hideMark/>
          </w:tcPr>
          <w:p w14:paraId="5EEFFCBC" w14:textId="03505DAF"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60</w:t>
            </w:r>
          </w:p>
        </w:tc>
      </w:tr>
      <w:tr w:rsidR="0073750A" w:rsidRPr="0073750A" w14:paraId="2DC59B14" w14:textId="77777777" w:rsidTr="005157C9">
        <w:trPr>
          <w:trHeight w:val="288"/>
        </w:trPr>
        <w:tc>
          <w:tcPr>
            <w:cnfStyle w:val="001000000000" w:firstRow="0" w:lastRow="0" w:firstColumn="1" w:lastColumn="0" w:oddVBand="0" w:evenVBand="0" w:oddHBand="0" w:evenHBand="0" w:firstRowFirstColumn="0" w:firstRowLastColumn="0" w:lastRowFirstColumn="0" w:lastRowLastColumn="0"/>
            <w:tcW w:w="3330" w:type="dxa"/>
            <w:noWrap/>
            <w:hideMark/>
          </w:tcPr>
          <w:p w14:paraId="4EBD1333" w14:textId="77777777" w:rsidR="0073750A" w:rsidRPr="002D165A" w:rsidRDefault="0073750A" w:rsidP="0073750A">
            <w:pPr>
              <w:rPr>
                <w:rFonts w:ascii="Baskerville Old Face" w:eastAsia="Times New Roman" w:hAnsi="Baskerville Old Face" w:cs="Times New Roman"/>
                <w:b w:val="0"/>
                <w:bCs w:val="0"/>
                <w:color w:val="000000"/>
                <w:kern w:val="0"/>
                <w14:ligatures w14:val="none"/>
              </w:rPr>
            </w:pPr>
            <w:r w:rsidRPr="002D165A">
              <w:rPr>
                <w:rFonts w:ascii="Baskerville Old Face" w:eastAsia="Times New Roman" w:hAnsi="Baskerville Old Face" w:cs="Times New Roman"/>
                <w:b w:val="0"/>
                <w:bCs w:val="0"/>
                <w:color w:val="000000"/>
                <w:kern w:val="0"/>
                <w14:ligatures w14:val="none"/>
              </w:rPr>
              <w:t xml:space="preserve"> Large Taxpayers Office </w:t>
            </w:r>
          </w:p>
        </w:tc>
        <w:tc>
          <w:tcPr>
            <w:tcW w:w="1440" w:type="dxa"/>
            <w:noWrap/>
            <w:hideMark/>
          </w:tcPr>
          <w:p w14:paraId="4696763A" w14:textId="12E90DF7"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14:ligatures w14:val="none"/>
              </w:rPr>
              <w:t>8</w:t>
            </w:r>
          </w:p>
        </w:tc>
        <w:tc>
          <w:tcPr>
            <w:tcW w:w="1620" w:type="dxa"/>
            <w:noWrap/>
            <w:hideMark/>
          </w:tcPr>
          <w:p w14:paraId="15425BBA" w14:textId="7B6BEA2F" w:rsidR="0073750A" w:rsidRPr="0073750A" w:rsidRDefault="0073750A" w:rsidP="00D6538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73750A">
              <w:rPr>
                <w:rFonts w:ascii="Baskerville Old Face" w:eastAsia="Times New Roman" w:hAnsi="Baskerville Old Face" w:cs="Times New Roman"/>
                <w:color w:val="000000"/>
                <w:kern w:val="0"/>
                <w:lang w:val="en-GB"/>
                <w14:ligatures w14:val="none"/>
              </w:rPr>
              <w:t>23</w:t>
            </w:r>
          </w:p>
        </w:tc>
      </w:tr>
      <w:tr w:rsidR="0073750A" w:rsidRPr="0073750A" w14:paraId="01F2312F" w14:textId="77777777" w:rsidTr="005157C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30" w:type="dxa"/>
            <w:noWrap/>
            <w:hideMark/>
          </w:tcPr>
          <w:p w14:paraId="10DB2410" w14:textId="3A30C65F" w:rsidR="0073750A" w:rsidRPr="0073750A" w:rsidRDefault="0073750A" w:rsidP="0073750A">
            <w:pPr>
              <w:rPr>
                <w:rFonts w:ascii="Baskerville Old Face" w:eastAsia="Times New Roman" w:hAnsi="Baskerville Old Face" w:cs="Times New Roman"/>
                <w:kern w:val="0"/>
                <w:sz w:val="20"/>
                <w:szCs w:val="20"/>
                <w14:ligatures w14:val="none"/>
              </w:rPr>
            </w:pPr>
            <w:r w:rsidRPr="0073750A">
              <w:rPr>
                <w:rFonts w:ascii="Baskerville Old Face" w:eastAsia="Times New Roman" w:hAnsi="Baskerville Old Face" w:cs="Times New Roman"/>
                <w:kern w:val="0"/>
                <w:sz w:val="20"/>
                <w:szCs w:val="20"/>
                <w14:ligatures w14:val="none"/>
              </w:rPr>
              <w:t xml:space="preserve"> T</w:t>
            </w:r>
            <w:r w:rsidR="002D165A">
              <w:rPr>
                <w:rFonts w:ascii="Baskerville Old Face" w:eastAsia="Times New Roman" w:hAnsi="Baskerville Old Face" w:cs="Times New Roman"/>
                <w:kern w:val="0"/>
                <w:sz w:val="20"/>
                <w:szCs w:val="20"/>
                <w14:ligatures w14:val="none"/>
              </w:rPr>
              <w:t>OTAL</w:t>
            </w:r>
          </w:p>
        </w:tc>
        <w:tc>
          <w:tcPr>
            <w:tcW w:w="1440" w:type="dxa"/>
            <w:noWrap/>
            <w:hideMark/>
          </w:tcPr>
          <w:p w14:paraId="42032C77" w14:textId="155B8482"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73750A">
              <w:rPr>
                <w:rFonts w:ascii="Baskerville Old Face" w:eastAsia="Times New Roman" w:hAnsi="Baskerville Old Face" w:cs="Times New Roman"/>
                <w:b/>
                <w:bCs/>
                <w:color w:val="000000"/>
                <w:kern w:val="0"/>
                <w14:ligatures w14:val="none"/>
              </w:rPr>
              <w:t>14,499</w:t>
            </w:r>
          </w:p>
        </w:tc>
        <w:tc>
          <w:tcPr>
            <w:tcW w:w="1620" w:type="dxa"/>
            <w:noWrap/>
            <w:hideMark/>
          </w:tcPr>
          <w:p w14:paraId="0ECDA2FB" w14:textId="121CF579" w:rsidR="0073750A" w:rsidRPr="0073750A" w:rsidRDefault="0073750A" w:rsidP="00D6538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73750A">
              <w:rPr>
                <w:rFonts w:ascii="Baskerville Old Face" w:eastAsia="Times New Roman" w:hAnsi="Baskerville Old Face" w:cs="Times New Roman"/>
                <w:b/>
                <w:bCs/>
                <w:color w:val="000000"/>
                <w:kern w:val="0"/>
                <w14:ligatures w14:val="none"/>
              </w:rPr>
              <w:t>21,410</w:t>
            </w:r>
          </w:p>
        </w:tc>
      </w:tr>
    </w:tbl>
    <w:p w14:paraId="437B66B5" w14:textId="77777777" w:rsidR="00311AEB" w:rsidRPr="00311AEB" w:rsidRDefault="00311AEB" w:rsidP="00311AEB">
      <w:pPr>
        <w:spacing w:line="360" w:lineRule="auto"/>
        <w:jc w:val="both"/>
        <w:rPr>
          <w:rFonts w:ascii="Times New Roman" w:hAnsi="Times New Roman" w:cs="Times New Roman"/>
          <w:i/>
          <w:iCs/>
          <w:kern w:val="0"/>
          <w:sz w:val="18"/>
          <w:szCs w:val="18"/>
          <w:lang w:val="en-GB"/>
          <w14:ligatures w14:val="none"/>
        </w:rPr>
      </w:pPr>
      <w:r w:rsidRPr="00311AEB">
        <w:rPr>
          <w:rFonts w:ascii="Times New Roman" w:hAnsi="Times New Roman" w:cs="Times New Roman"/>
          <w:i/>
          <w:iCs/>
          <w:kern w:val="0"/>
          <w:sz w:val="18"/>
          <w:szCs w:val="18"/>
          <w:lang w:val="en-GB"/>
          <w14:ligatures w14:val="none"/>
        </w:rPr>
        <w:t>Source: ITAS</w:t>
      </w:r>
    </w:p>
    <w:p w14:paraId="4E3BF135" w14:textId="4ABD207B" w:rsidR="003F38BA" w:rsidRDefault="003F38BA" w:rsidP="00612D93">
      <w:pPr>
        <w:spacing w:line="360" w:lineRule="auto"/>
        <w:jc w:val="both"/>
        <w:rPr>
          <w:rFonts w:ascii="Baskerville Old Face" w:hAnsi="Baskerville Old Face" w:cs="Times New Roman"/>
          <w:kern w:val="0"/>
          <w:sz w:val="24"/>
          <w:szCs w:val="24"/>
          <w:lang w:val="en-GB"/>
          <w14:ligatures w14:val="none"/>
        </w:rPr>
      </w:pPr>
      <w:r w:rsidRPr="002B4BD4">
        <w:rPr>
          <w:rFonts w:ascii="Baskerville Old Face" w:hAnsi="Baskerville Old Face" w:cs="Times New Roman"/>
          <w:kern w:val="0"/>
          <w:sz w:val="24"/>
          <w:szCs w:val="24"/>
          <w:lang w:val="en-GB"/>
          <w14:ligatures w14:val="none"/>
        </w:rPr>
        <w:t xml:space="preserve">Figure </w:t>
      </w:r>
      <w:r w:rsidR="00FA2C76">
        <w:rPr>
          <w:rFonts w:ascii="Baskerville Old Face" w:hAnsi="Baskerville Old Face" w:cs="Times New Roman"/>
          <w:kern w:val="0"/>
          <w:sz w:val="24"/>
          <w:szCs w:val="24"/>
          <w:lang w:val="en-GB"/>
          <w14:ligatures w14:val="none"/>
        </w:rPr>
        <w:t>7</w:t>
      </w:r>
      <w:r w:rsidRPr="003F38BA">
        <w:rPr>
          <w:rFonts w:ascii="Baskerville Old Face" w:hAnsi="Baskerville Old Face" w:cs="Times New Roman"/>
          <w:kern w:val="0"/>
          <w:sz w:val="24"/>
          <w:szCs w:val="24"/>
          <w:lang w:val="en-GB"/>
          <w14:ligatures w14:val="none"/>
        </w:rPr>
        <w:t xml:space="preserve"> illustrates the breakdown of TINs by tax type in 2023 and 2022. More than half of the TINs were </w:t>
      </w:r>
      <w:r w:rsidR="00D35CEF">
        <w:rPr>
          <w:rFonts w:ascii="Baskerville Old Face" w:hAnsi="Baskerville Old Face" w:cs="Times New Roman"/>
          <w:kern w:val="0"/>
          <w:sz w:val="24"/>
          <w:szCs w:val="24"/>
          <w:lang w:val="en-GB"/>
          <w14:ligatures w14:val="none"/>
        </w:rPr>
        <w:t>issued</w:t>
      </w:r>
      <w:r w:rsidRPr="003F38BA">
        <w:rPr>
          <w:rFonts w:ascii="Baskerville Old Face" w:hAnsi="Baskerville Old Face" w:cs="Times New Roman"/>
          <w:kern w:val="0"/>
          <w:sz w:val="24"/>
          <w:szCs w:val="24"/>
          <w:lang w:val="en-GB"/>
          <w14:ligatures w14:val="none"/>
        </w:rPr>
        <w:t xml:space="preserve"> for Personal Income Tax (PIT) in both years, with other tax categories each comprising less than 10</w:t>
      </w:r>
      <w:r w:rsidR="002B4BD4">
        <w:rPr>
          <w:rFonts w:ascii="Baskerville Old Face" w:hAnsi="Baskerville Old Face" w:cs="Times New Roman"/>
          <w:kern w:val="0"/>
          <w:sz w:val="24"/>
          <w:szCs w:val="24"/>
          <w:lang w:val="en-GB"/>
          <w14:ligatures w14:val="none"/>
        </w:rPr>
        <w:t>.0</w:t>
      </w:r>
      <w:r w:rsidRPr="003F38BA">
        <w:rPr>
          <w:rFonts w:ascii="Baskerville Old Face" w:hAnsi="Baskerville Old Face" w:cs="Times New Roman"/>
          <w:kern w:val="0"/>
          <w:sz w:val="24"/>
          <w:szCs w:val="24"/>
          <w:lang w:val="en-GB"/>
          <w14:ligatures w14:val="none"/>
        </w:rPr>
        <w:t xml:space="preserve">% of the total issued TINs, except for Capital Gains Tax (CGT), which </w:t>
      </w:r>
      <w:r w:rsidR="00D35CEF">
        <w:rPr>
          <w:rFonts w:ascii="Baskerville Old Face" w:hAnsi="Baskerville Old Face" w:cs="Times New Roman"/>
          <w:kern w:val="0"/>
          <w:sz w:val="24"/>
          <w:szCs w:val="24"/>
          <w:lang w:val="en-GB"/>
          <w14:ligatures w14:val="none"/>
        </w:rPr>
        <w:t>accounted for</w:t>
      </w:r>
      <w:r w:rsidRPr="003F38BA">
        <w:rPr>
          <w:rFonts w:ascii="Baskerville Old Face" w:hAnsi="Baskerville Old Face" w:cs="Times New Roman"/>
          <w:kern w:val="0"/>
          <w:sz w:val="24"/>
          <w:szCs w:val="24"/>
          <w:lang w:val="en-GB"/>
          <w14:ligatures w14:val="none"/>
        </w:rPr>
        <w:t xml:space="preserve"> 12.</w:t>
      </w:r>
      <w:r w:rsidR="002B4BD4">
        <w:rPr>
          <w:rFonts w:ascii="Baskerville Old Face" w:hAnsi="Baskerville Old Face" w:cs="Times New Roman"/>
          <w:kern w:val="0"/>
          <w:sz w:val="24"/>
          <w:szCs w:val="24"/>
          <w:lang w:val="en-GB"/>
          <w14:ligatures w14:val="none"/>
        </w:rPr>
        <w:t>1</w:t>
      </w:r>
      <w:r w:rsidRPr="003F38BA">
        <w:rPr>
          <w:rFonts w:ascii="Baskerville Old Face" w:hAnsi="Baskerville Old Face" w:cs="Times New Roman"/>
          <w:kern w:val="0"/>
          <w:sz w:val="24"/>
          <w:szCs w:val="24"/>
          <w:lang w:val="en-GB"/>
          <w14:ligatures w14:val="none"/>
        </w:rPr>
        <w:t>% of the total TINs issued in 2023.</w:t>
      </w:r>
    </w:p>
    <w:p w14:paraId="4291FA8C" w14:textId="756D7498" w:rsidR="00576D48" w:rsidRPr="002A0914" w:rsidRDefault="00612D93" w:rsidP="004D5FD6">
      <w:pPr>
        <w:rPr>
          <w:rFonts w:ascii="Baskerville Old Face" w:hAnsi="Baskerville Old Face" w:cs="Times New Roman"/>
          <w:b/>
          <w:bCs/>
          <w:i/>
          <w:iCs/>
          <w:kern w:val="0"/>
          <w:sz w:val="24"/>
          <w:szCs w:val="24"/>
          <w:lang w:val="en-GB"/>
          <w14:ligatures w14:val="none"/>
        </w:rPr>
      </w:pPr>
      <w:bookmarkStart w:id="69" w:name="Figure7"/>
      <w:r w:rsidRPr="002B4BD4">
        <w:rPr>
          <w:rFonts w:ascii="Baskerville Old Face" w:hAnsi="Baskerville Old Face" w:cs="Times New Roman"/>
          <w:b/>
          <w:bCs/>
          <w:i/>
          <w:iCs/>
          <w:kern w:val="0"/>
          <w:sz w:val="24"/>
          <w:szCs w:val="24"/>
          <w:lang w:val="en-GB"/>
          <w14:ligatures w14:val="none"/>
        </w:rPr>
        <w:t xml:space="preserve">Figure </w:t>
      </w:r>
      <w:r w:rsidR="0038327B">
        <w:rPr>
          <w:rFonts w:ascii="Baskerville Old Face" w:hAnsi="Baskerville Old Face" w:cs="Times New Roman"/>
          <w:b/>
          <w:bCs/>
          <w:i/>
          <w:iCs/>
          <w:kern w:val="0"/>
          <w:sz w:val="24"/>
          <w:szCs w:val="24"/>
          <w:lang w:val="en-GB"/>
          <w14:ligatures w14:val="none"/>
        </w:rPr>
        <w:t>7</w:t>
      </w:r>
      <w:r w:rsidRPr="002A0914">
        <w:rPr>
          <w:rFonts w:ascii="Baskerville Old Face" w:hAnsi="Baskerville Old Face" w:cs="Times New Roman"/>
          <w:b/>
          <w:bCs/>
          <w:i/>
          <w:iCs/>
          <w:kern w:val="0"/>
          <w:sz w:val="24"/>
          <w:szCs w:val="24"/>
          <w:lang w:val="en-GB"/>
          <w14:ligatures w14:val="none"/>
        </w:rPr>
        <w:t xml:space="preserve">: TIN Issuance by Tax Type in </w:t>
      </w:r>
      <w:r w:rsidR="00842E98" w:rsidRPr="002A0914">
        <w:rPr>
          <w:rFonts w:ascii="Baskerville Old Face" w:hAnsi="Baskerville Old Face" w:cs="Times New Roman"/>
          <w:b/>
          <w:bCs/>
          <w:i/>
          <w:iCs/>
          <w:kern w:val="0"/>
          <w:sz w:val="24"/>
          <w:szCs w:val="24"/>
          <w:lang w:val="en-GB"/>
          <w14:ligatures w14:val="none"/>
        </w:rPr>
        <w:t xml:space="preserve">2023 and </w:t>
      </w:r>
      <w:r w:rsidRPr="002A0914">
        <w:rPr>
          <w:rFonts w:ascii="Baskerville Old Face" w:hAnsi="Baskerville Old Face" w:cs="Times New Roman"/>
          <w:b/>
          <w:bCs/>
          <w:i/>
          <w:iCs/>
          <w:kern w:val="0"/>
          <w:sz w:val="24"/>
          <w:szCs w:val="24"/>
          <w:lang w:val="en-GB"/>
          <w14:ligatures w14:val="none"/>
        </w:rPr>
        <w:t>2022</w:t>
      </w:r>
    </w:p>
    <w:bookmarkEnd w:id="69"/>
    <w:p w14:paraId="0E801707" w14:textId="65CD2E36" w:rsidR="00576D48" w:rsidRPr="00576D48" w:rsidRDefault="008437EE" w:rsidP="004D5FD6">
      <w:pPr>
        <w:rPr>
          <w:rFonts w:ascii="Baskerville Old Face" w:hAnsi="Baskerville Old Face" w:cs="Times New Roman"/>
          <w:kern w:val="0"/>
          <w:sz w:val="24"/>
          <w:szCs w:val="24"/>
          <w:lang w:val="en-GB"/>
          <w14:ligatures w14:val="none"/>
        </w:rPr>
      </w:pPr>
      <w:r>
        <w:rPr>
          <w:noProof/>
        </w:rPr>
        <w:drawing>
          <wp:inline distT="0" distB="0" distL="0" distR="0" wp14:anchorId="0B72BE8A" wp14:editId="54B84A7E">
            <wp:extent cx="6282267" cy="3048000"/>
            <wp:effectExtent l="0" t="0" r="4445" b="0"/>
            <wp:docPr id="1626600723" name="Chart 1">
              <a:extLst xmlns:a="http://schemas.openxmlformats.org/drawingml/2006/main">
                <a:ext uri="{FF2B5EF4-FFF2-40B4-BE49-F238E27FC236}">
                  <a16:creationId xmlns:a16="http://schemas.microsoft.com/office/drawing/2014/main" id="{842E15E5-A935-6930-5ED2-15334A8926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BD226A" w14:textId="77777777" w:rsidR="00A24314" w:rsidRPr="00311AEB" w:rsidRDefault="00A24314" w:rsidP="00A24314">
      <w:pPr>
        <w:spacing w:line="360" w:lineRule="auto"/>
        <w:jc w:val="both"/>
        <w:rPr>
          <w:rFonts w:ascii="Times New Roman" w:hAnsi="Times New Roman" w:cs="Times New Roman"/>
          <w:i/>
          <w:iCs/>
          <w:kern w:val="0"/>
          <w:sz w:val="18"/>
          <w:szCs w:val="18"/>
          <w:lang w:val="en-GB"/>
          <w14:ligatures w14:val="none"/>
        </w:rPr>
      </w:pPr>
      <w:r w:rsidRPr="00311AEB">
        <w:rPr>
          <w:rFonts w:ascii="Times New Roman" w:hAnsi="Times New Roman" w:cs="Times New Roman"/>
          <w:i/>
          <w:iCs/>
          <w:kern w:val="0"/>
          <w:sz w:val="18"/>
          <w:szCs w:val="18"/>
          <w:lang w:val="en-GB"/>
          <w14:ligatures w14:val="none"/>
        </w:rPr>
        <w:t>Source: ITAS</w:t>
      </w:r>
    </w:p>
    <w:p w14:paraId="41DE894C" w14:textId="49DBE7E3" w:rsidR="00D35CEF" w:rsidRPr="00D35CEF" w:rsidRDefault="00D35CEF" w:rsidP="006570AE">
      <w:pPr>
        <w:spacing w:line="360" w:lineRule="auto"/>
        <w:jc w:val="both"/>
        <w:rPr>
          <w:rFonts w:ascii="Baskerville Old Face" w:hAnsi="Baskerville Old Face" w:cs="Times New Roman"/>
          <w:kern w:val="0"/>
          <w:sz w:val="24"/>
          <w:szCs w:val="24"/>
          <w:lang w:val="en-GB"/>
          <w14:ligatures w14:val="none"/>
        </w:rPr>
      </w:pPr>
      <w:r w:rsidRPr="00D35CEF">
        <w:rPr>
          <w:rFonts w:ascii="Baskerville Old Face" w:hAnsi="Baskerville Old Face" w:cs="Times New Roman"/>
          <w:kern w:val="0"/>
          <w:sz w:val="24"/>
          <w:szCs w:val="24"/>
          <w:lang w:val="en-GB"/>
          <w14:ligatures w14:val="none"/>
        </w:rPr>
        <w:lastRenderedPageBreak/>
        <w:t xml:space="preserve">Furthermore, </w:t>
      </w:r>
      <w:r w:rsidRPr="00072363">
        <w:rPr>
          <w:rFonts w:ascii="Baskerville Old Face" w:hAnsi="Baskerville Old Face" w:cs="Times New Roman"/>
          <w:kern w:val="0"/>
          <w:sz w:val="24"/>
          <w:szCs w:val="24"/>
          <w:lang w:val="en-GB"/>
          <w14:ligatures w14:val="none"/>
        </w:rPr>
        <w:t xml:space="preserve">Figure </w:t>
      </w:r>
      <w:r w:rsidR="00FA2C76">
        <w:rPr>
          <w:rFonts w:ascii="Baskerville Old Face" w:hAnsi="Baskerville Old Face" w:cs="Times New Roman"/>
          <w:kern w:val="0"/>
          <w:sz w:val="24"/>
          <w:szCs w:val="24"/>
          <w:lang w:val="en-GB"/>
          <w14:ligatures w14:val="none"/>
        </w:rPr>
        <w:t>8</w:t>
      </w:r>
      <w:r w:rsidRPr="00D35CEF">
        <w:rPr>
          <w:rFonts w:ascii="Baskerville Old Face" w:hAnsi="Baskerville Old Face" w:cs="Times New Roman"/>
          <w:kern w:val="0"/>
          <w:sz w:val="24"/>
          <w:szCs w:val="24"/>
          <w:lang w:val="en-GB"/>
          <w14:ligatures w14:val="none"/>
        </w:rPr>
        <w:t xml:space="preserve"> presents the </w:t>
      </w:r>
      <w:r>
        <w:rPr>
          <w:rFonts w:ascii="Baskerville Old Face" w:hAnsi="Baskerville Old Face" w:cs="Times New Roman"/>
          <w:kern w:val="0"/>
          <w:sz w:val="24"/>
          <w:szCs w:val="24"/>
          <w:lang w:val="en-GB"/>
          <w14:ligatures w14:val="none"/>
        </w:rPr>
        <w:t>share</w:t>
      </w:r>
      <w:r w:rsidRPr="00D35CEF">
        <w:rPr>
          <w:rFonts w:ascii="Baskerville Old Face" w:hAnsi="Baskerville Old Face" w:cs="Times New Roman"/>
          <w:kern w:val="0"/>
          <w:sz w:val="24"/>
          <w:szCs w:val="24"/>
          <w:lang w:val="en-GB"/>
          <w14:ligatures w14:val="none"/>
        </w:rPr>
        <w:t xml:space="preserve"> of TIN by application purpose</w:t>
      </w:r>
      <w:r w:rsidR="00695848">
        <w:rPr>
          <w:rFonts w:ascii="Baskerville Old Face" w:hAnsi="Baskerville Old Face" w:cs="Times New Roman"/>
          <w:kern w:val="0"/>
          <w:sz w:val="24"/>
          <w:szCs w:val="24"/>
          <w:lang w:val="en-GB"/>
          <w14:ligatures w14:val="none"/>
        </w:rPr>
        <w:t xml:space="preserve"> for the top ten categories</w:t>
      </w:r>
      <w:r w:rsidRPr="00D35CEF">
        <w:rPr>
          <w:rFonts w:ascii="Baskerville Old Face" w:hAnsi="Baskerville Old Face" w:cs="Times New Roman"/>
          <w:kern w:val="0"/>
          <w:sz w:val="24"/>
          <w:szCs w:val="24"/>
          <w:lang w:val="en-GB"/>
          <w14:ligatures w14:val="none"/>
        </w:rPr>
        <w:t>, revealing that over half (58.1%) of the TINs were issued for business/trading purposes.</w:t>
      </w:r>
    </w:p>
    <w:p w14:paraId="3F9B9F47" w14:textId="721D4C68" w:rsidR="00842E98" w:rsidRPr="002A0914" w:rsidRDefault="00842E98" w:rsidP="004D5FD6">
      <w:pPr>
        <w:rPr>
          <w:rFonts w:ascii="Baskerville Old Face" w:hAnsi="Baskerville Old Face" w:cs="Times New Roman"/>
          <w:b/>
          <w:bCs/>
          <w:i/>
          <w:iCs/>
          <w:kern w:val="0"/>
          <w:sz w:val="24"/>
          <w:szCs w:val="24"/>
          <w:lang w:val="en-GB"/>
          <w14:ligatures w14:val="none"/>
        </w:rPr>
      </w:pPr>
      <w:bookmarkStart w:id="70" w:name="Figure8"/>
      <w:r w:rsidRPr="00363DFB">
        <w:rPr>
          <w:rFonts w:ascii="Baskerville Old Face" w:hAnsi="Baskerville Old Face" w:cs="Times New Roman"/>
          <w:b/>
          <w:bCs/>
          <w:i/>
          <w:iCs/>
          <w:kern w:val="0"/>
          <w:sz w:val="24"/>
          <w:szCs w:val="24"/>
          <w:lang w:val="en-GB"/>
          <w14:ligatures w14:val="none"/>
        </w:rPr>
        <w:t xml:space="preserve">Figure </w:t>
      </w:r>
      <w:r w:rsidR="00BE71A6">
        <w:rPr>
          <w:rFonts w:ascii="Baskerville Old Face" w:hAnsi="Baskerville Old Face" w:cs="Times New Roman"/>
          <w:b/>
          <w:bCs/>
          <w:i/>
          <w:iCs/>
          <w:kern w:val="0"/>
          <w:sz w:val="24"/>
          <w:szCs w:val="24"/>
          <w:lang w:val="en-GB"/>
          <w14:ligatures w14:val="none"/>
        </w:rPr>
        <w:t>8</w:t>
      </w:r>
      <w:r w:rsidRPr="002A0914">
        <w:rPr>
          <w:rFonts w:ascii="Baskerville Old Face" w:hAnsi="Baskerville Old Face" w:cs="Times New Roman"/>
          <w:b/>
          <w:bCs/>
          <w:i/>
          <w:iCs/>
          <w:kern w:val="0"/>
          <w:sz w:val="24"/>
          <w:szCs w:val="24"/>
          <w:lang w:val="en-GB"/>
          <w14:ligatures w14:val="none"/>
        </w:rPr>
        <w:t xml:space="preserve">: </w:t>
      </w:r>
      <w:r w:rsidR="002A0914" w:rsidRPr="002A0914">
        <w:rPr>
          <w:rFonts w:ascii="Baskerville Old Face" w:hAnsi="Baskerville Old Face" w:cs="Times New Roman"/>
          <w:b/>
          <w:bCs/>
          <w:i/>
          <w:iCs/>
          <w:kern w:val="0"/>
          <w:sz w:val="24"/>
          <w:szCs w:val="24"/>
          <w:lang w:val="en-GB"/>
          <w14:ligatures w14:val="none"/>
        </w:rPr>
        <w:t>Purpose</w:t>
      </w:r>
      <w:r w:rsidRPr="002A0914">
        <w:rPr>
          <w:rFonts w:ascii="Baskerville Old Face" w:hAnsi="Baskerville Old Face" w:cs="Times New Roman"/>
          <w:b/>
          <w:bCs/>
          <w:i/>
          <w:iCs/>
          <w:kern w:val="0"/>
          <w:sz w:val="24"/>
          <w:szCs w:val="24"/>
          <w:lang w:val="en-GB"/>
          <w14:ligatures w14:val="none"/>
        </w:rPr>
        <w:t xml:space="preserve"> for TIN Issuance in 2023</w:t>
      </w:r>
    </w:p>
    <w:bookmarkEnd w:id="70"/>
    <w:p w14:paraId="666F5147" w14:textId="16C1B478" w:rsidR="00842E98" w:rsidRDefault="00842E98" w:rsidP="004D5FD6">
      <w:pPr>
        <w:rPr>
          <w:rFonts w:ascii="Baskerville Old Face" w:hAnsi="Baskerville Old Face" w:cs="Times New Roman"/>
          <w:kern w:val="0"/>
          <w:sz w:val="24"/>
          <w:szCs w:val="24"/>
          <w:lang w:val="en-GB"/>
          <w14:ligatures w14:val="none"/>
        </w:rPr>
      </w:pPr>
      <w:r>
        <w:rPr>
          <w:noProof/>
        </w:rPr>
        <mc:AlternateContent>
          <mc:Choice Requires="cx2">
            <w:drawing>
              <wp:inline distT="0" distB="0" distL="0" distR="0" wp14:anchorId="203516AB" wp14:editId="337B57B1">
                <wp:extent cx="5920740" cy="2819400"/>
                <wp:effectExtent l="0" t="0" r="3810" b="0"/>
                <wp:docPr id="20431602" name="Chart 1">
                  <a:extLst xmlns:a="http://schemas.openxmlformats.org/drawingml/2006/main">
                    <a:ext uri="{FF2B5EF4-FFF2-40B4-BE49-F238E27FC236}">
                      <a16:creationId xmlns:a16="http://schemas.microsoft.com/office/drawing/2014/main" id="{56994DF6-4C3C-7BF8-EFF8-45E9856C614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203516AB" wp14:editId="337B57B1">
                <wp:extent cx="5920740" cy="2819400"/>
                <wp:effectExtent l="0" t="0" r="3810" b="0"/>
                <wp:docPr id="20431602" name="Chart 1">
                  <a:extLst xmlns:a="http://schemas.openxmlformats.org/drawingml/2006/main">
                    <a:ext uri="{FF2B5EF4-FFF2-40B4-BE49-F238E27FC236}">
                      <a16:creationId xmlns:a16="http://schemas.microsoft.com/office/drawing/2014/main" id="{56994DF6-4C3C-7BF8-EFF8-45E9856C614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431602" name="Chart 1">
                          <a:extLst>
                            <a:ext uri="{FF2B5EF4-FFF2-40B4-BE49-F238E27FC236}">
                              <a16:creationId xmlns:a16="http://schemas.microsoft.com/office/drawing/2014/main" id="{56994DF6-4C3C-7BF8-EFF8-45E9856C6141}"/>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920740" cy="2819400"/>
                        </a:xfrm>
                        <a:prstGeom prst="rect">
                          <a:avLst/>
                        </a:prstGeom>
                      </pic:spPr>
                    </pic:pic>
                  </a:graphicData>
                </a:graphic>
              </wp:inline>
            </w:drawing>
          </mc:Fallback>
        </mc:AlternateContent>
      </w:r>
    </w:p>
    <w:p w14:paraId="141FC58A" w14:textId="77777777" w:rsidR="00F46DF3" w:rsidRPr="00FD12A1" w:rsidRDefault="00F46DF3" w:rsidP="00F46DF3">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27BB7A8D" w14:textId="77777777" w:rsidR="00FD4EE1" w:rsidRDefault="00FD4EE1" w:rsidP="004D5FD6">
      <w:pPr>
        <w:rPr>
          <w:rFonts w:ascii="Baskerville Old Face" w:hAnsi="Baskerville Old Face" w:cs="Times New Roman"/>
          <w:b/>
          <w:bCs/>
          <w:kern w:val="0"/>
          <w:sz w:val="24"/>
          <w:szCs w:val="24"/>
          <w:lang w:val="en-GB"/>
          <w14:ligatures w14:val="none"/>
        </w:rPr>
      </w:pPr>
    </w:p>
    <w:p w14:paraId="00069A20" w14:textId="22D4DA37" w:rsidR="00842E98" w:rsidRPr="00F45137" w:rsidRDefault="008E340B" w:rsidP="002725A1">
      <w:pPr>
        <w:pStyle w:val="Heading2"/>
        <w:rPr>
          <w:lang w:val="en-GB"/>
        </w:rPr>
      </w:pPr>
      <w:bookmarkStart w:id="71" w:name="_Toc198205703"/>
      <w:r>
        <w:rPr>
          <w:lang w:val="en-GB"/>
        </w:rPr>
        <w:t xml:space="preserve">4.2: </w:t>
      </w:r>
      <w:r w:rsidR="00EA47E4" w:rsidRPr="00F45137">
        <w:rPr>
          <w:lang w:val="en-GB"/>
        </w:rPr>
        <w:t>TAX COMPLIANCE (FILING ANALYSIS) AND ENFORCEMENT</w:t>
      </w:r>
      <w:bookmarkEnd w:id="71"/>
    </w:p>
    <w:p w14:paraId="5F383650" w14:textId="77777777" w:rsidR="002725A1" w:rsidRDefault="002725A1" w:rsidP="0021042D">
      <w:pPr>
        <w:spacing w:line="360" w:lineRule="auto"/>
        <w:jc w:val="both"/>
        <w:rPr>
          <w:rFonts w:ascii="Baskerville Old Face" w:hAnsi="Baskerville Old Face" w:cs="Times New Roman"/>
          <w:kern w:val="0"/>
          <w:sz w:val="24"/>
          <w:szCs w:val="24"/>
          <w:lang w:val="en-GB"/>
          <w14:ligatures w14:val="none"/>
        </w:rPr>
      </w:pPr>
    </w:p>
    <w:p w14:paraId="17C48A0C" w14:textId="48480BCE" w:rsidR="0021042D" w:rsidRPr="0021042D" w:rsidRDefault="0021042D" w:rsidP="0021042D">
      <w:pPr>
        <w:spacing w:line="360" w:lineRule="auto"/>
        <w:jc w:val="both"/>
        <w:rPr>
          <w:rFonts w:ascii="Baskerville Old Face" w:hAnsi="Baskerville Old Face" w:cs="Times New Roman"/>
          <w:kern w:val="0"/>
          <w:sz w:val="24"/>
          <w:szCs w:val="24"/>
          <w:lang w:val="en-GB"/>
          <w14:ligatures w14:val="none"/>
        </w:rPr>
      </w:pPr>
      <w:r w:rsidRPr="0021042D">
        <w:rPr>
          <w:rFonts w:ascii="Baskerville Old Face" w:hAnsi="Baskerville Old Face" w:cs="Times New Roman"/>
          <w:kern w:val="0"/>
          <w:sz w:val="24"/>
          <w:szCs w:val="24"/>
          <w:lang w:val="en-GB"/>
          <w14:ligatures w14:val="none"/>
        </w:rPr>
        <w:t>Table 1</w:t>
      </w:r>
      <w:r w:rsidR="007A5F56">
        <w:rPr>
          <w:rFonts w:ascii="Baskerville Old Face" w:hAnsi="Baskerville Old Face" w:cs="Times New Roman"/>
          <w:kern w:val="0"/>
          <w:sz w:val="24"/>
          <w:szCs w:val="24"/>
          <w:lang w:val="en-GB"/>
          <w14:ligatures w14:val="none"/>
        </w:rPr>
        <w:t>3</w:t>
      </w:r>
      <w:r w:rsidRPr="0021042D">
        <w:rPr>
          <w:rFonts w:ascii="Baskerville Old Face" w:hAnsi="Baskerville Old Face" w:cs="Times New Roman"/>
          <w:kern w:val="0"/>
          <w:sz w:val="24"/>
          <w:szCs w:val="24"/>
          <w:lang w:val="en-GB"/>
          <w14:ligatures w14:val="none"/>
        </w:rPr>
        <w:t xml:space="preserve"> shows the average filing compliance rates by tax office for the years 2023 and 2022. Filing compliance rate refers to the proportion of taxpayers who file their tax returns on time among the total active taxpayers. In 2023, large taxpayers exhibited the highest level of compliance, with a rate of 79.3%, surpassing the previous year's rate of 69.9%. Large taxpayers also had the highest filing rates in the previous year. The second and third highest compliance rates in 2023 were observed among Makeni taxpayers (60.2%) and medium taxpayers (54.6%) respectively. Similarly, in 2022, the second and third highest compliance rates were recorded among taxpayers in the extractives sector (67.3%) and medium taxpayers (66.7%) respectively. Among the tax districts in Freetown, the Freetown East tax district had the highest compliance rates in 2023, exceeding the previous year's rate of 40.5%.</w:t>
      </w:r>
    </w:p>
    <w:p w14:paraId="51115CDF" w14:textId="0F4B6BEC" w:rsidR="0021042D" w:rsidRDefault="0021042D" w:rsidP="0021042D">
      <w:pPr>
        <w:spacing w:line="360" w:lineRule="auto"/>
        <w:jc w:val="both"/>
        <w:rPr>
          <w:rFonts w:ascii="Baskerville Old Face" w:hAnsi="Baskerville Old Face" w:cs="Times New Roman"/>
          <w:kern w:val="0"/>
          <w:sz w:val="24"/>
          <w:szCs w:val="24"/>
          <w:lang w:val="en-GB"/>
          <w14:ligatures w14:val="none"/>
        </w:rPr>
      </w:pPr>
      <w:r w:rsidRPr="0021042D">
        <w:rPr>
          <w:rFonts w:ascii="Baskerville Old Face" w:hAnsi="Baskerville Old Face" w:cs="Times New Roman"/>
          <w:kern w:val="0"/>
          <w:sz w:val="24"/>
          <w:szCs w:val="24"/>
          <w:lang w:val="en-GB"/>
          <w14:ligatures w14:val="none"/>
        </w:rPr>
        <w:t xml:space="preserve">Furthermore, among provincial tax districts, Makeni taxpayers demonstrated the highest compliance rate in 2023 and the second highest in 2022, achieving rates of 60.2% and 48.1% respectively. </w:t>
      </w:r>
      <w:r w:rsidRPr="0021042D">
        <w:rPr>
          <w:rFonts w:ascii="Baskerville Old Face" w:hAnsi="Baskerville Old Face" w:cs="Times New Roman"/>
          <w:kern w:val="0"/>
          <w:sz w:val="24"/>
          <w:szCs w:val="24"/>
          <w:lang w:val="en-GB"/>
          <w14:ligatures w14:val="none"/>
        </w:rPr>
        <w:lastRenderedPageBreak/>
        <w:t>However, Bo taxpayers displayed the highest filing compliance rate in 2022 at 49.9%, which increased to 52.5% in 2023. Remarkably, Kono showed a significant improvement in 2023, with a compliance rate of 35.2%, compared to only 5.0% in the preceding year. On average, compliance rates improved in 2023 compared to 2022, although there is still much work needed to enhance these rates.</w:t>
      </w:r>
    </w:p>
    <w:p w14:paraId="42232132" w14:textId="1E024E45" w:rsidR="002D46CF" w:rsidRPr="00F758AB" w:rsidRDefault="002D46CF" w:rsidP="0021042D">
      <w:pPr>
        <w:rPr>
          <w:rFonts w:ascii="Baskerville Old Face" w:hAnsi="Baskerville Old Face" w:cs="Times New Roman"/>
          <w:b/>
          <w:bCs/>
          <w:i/>
          <w:iCs/>
          <w:kern w:val="0"/>
          <w:sz w:val="24"/>
          <w:szCs w:val="24"/>
          <w:lang w:val="en-GB"/>
          <w14:ligatures w14:val="none"/>
        </w:rPr>
      </w:pPr>
      <w:bookmarkStart w:id="72" w:name="Table13"/>
      <w:r w:rsidRPr="00F758AB">
        <w:rPr>
          <w:rFonts w:ascii="Baskerville Old Face" w:hAnsi="Baskerville Old Face" w:cs="Times New Roman"/>
          <w:b/>
          <w:bCs/>
          <w:i/>
          <w:iCs/>
          <w:kern w:val="0"/>
          <w:sz w:val="24"/>
          <w:szCs w:val="24"/>
          <w:lang w:val="en-GB"/>
          <w14:ligatures w14:val="none"/>
        </w:rPr>
        <w:t xml:space="preserve">Table </w:t>
      </w:r>
      <w:r w:rsidR="00F477E1" w:rsidRPr="00F758AB">
        <w:rPr>
          <w:rFonts w:ascii="Baskerville Old Face" w:hAnsi="Baskerville Old Face" w:cs="Times New Roman"/>
          <w:b/>
          <w:bCs/>
          <w:i/>
          <w:iCs/>
          <w:kern w:val="0"/>
          <w:sz w:val="24"/>
          <w:szCs w:val="24"/>
          <w:lang w:val="en-GB"/>
          <w14:ligatures w14:val="none"/>
        </w:rPr>
        <w:t>1</w:t>
      </w:r>
      <w:r w:rsidR="007A5F56">
        <w:rPr>
          <w:rFonts w:ascii="Baskerville Old Face" w:hAnsi="Baskerville Old Face" w:cs="Times New Roman"/>
          <w:b/>
          <w:bCs/>
          <w:i/>
          <w:iCs/>
          <w:kern w:val="0"/>
          <w:sz w:val="24"/>
          <w:szCs w:val="24"/>
          <w:lang w:val="en-GB"/>
          <w14:ligatures w14:val="none"/>
        </w:rPr>
        <w:t>3</w:t>
      </w:r>
      <w:r w:rsidRPr="00F758AB">
        <w:rPr>
          <w:rFonts w:ascii="Baskerville Old Face" w:hAnsi="Baskerville Old Face" w:cs="Times New Roman"/>
          <w:b/>
          <w:bCs/>
          <w:i/>
          <w:iCs/>
          <w:kern w:val="0"/>
          <w:sz w:val="24"/>
          <w:szCs w:val="24"/>
          <w:lang w:val="en-GB"/>
          <w14:ligatures w14:val="none"/>
        </w:rPr>
        <w:t xml:space="preserve">: Average Compliance Rate by Tax Office in </w:t>
      </w:r>
      <w:r w:rsidR="001E4D65" w:rsidRPr="00F758AB">
        <w:rPr>
          <w:rFonts w:ascii="Baskerville Old Face" w:hAnsi="Baskerville Old Face" w:cs="Times New Roman"/>
          <w:b/>
          <w:bCs/>
          <w:i/>
          <w:iCs/>
          <w:kern w:val="0"/>
          <w:sz w:val="24"/>
          <w:szCs w:val="24"/>
          <w:lang w:val="en-GB"/>
          <w14:ligatures w14:val="none"/>
        </w:rPr>
        <w:t xml:space="preserve">2023 and </w:t>
      </w:r>
      <w:r w:rsidRPr="00F758AB">
        <w:rPr>
          <w:rFonts w:ascii="Baskerville Old Face" w:hAnsi="Baskerville Old Face" w:cs="Times New Roman"/>
          <w:b/>
          <w:bCs/>
          <w:i/>
          <w:iCs/>
          <w:kern w:val="0"/>
          <w:sz w:val="24"/>
          <w:szCs w:val="24"/>
          <w:lang w:val="en-GB"/>
          <w14:ligatures w14:val="none"/>
        </w:rPr>
        <w:t>2022</w:t>
      </w:r>
    </w:p>
    <w:tbl>
      <w:tblPr>
        <w:tblStyle w:val="GridTable4-Accent2"/>
        <w:tblW w:w="7825" w:type="dxa"/>
        <w:tblLook w:val="04A0" w:firstRow="1" w:lastRow="0" w:firstColumn="1" w:lastColumn="0" w:noHBand="0" w:noVBand="1"/>
      </w:tblPr>
      <w:tblGrid>
        <w:gridCol w:w="4135"/>
        <w:gridCol w:w="1980"/>
        <w:gridCol w:w="1710"/>
      </w:tblGrid>
      <w:tr w:rsidR="0021042D" w:rsidRPr="00F758AB" w14:paraId="2EC5C805" w14:textId="77777777" w:rsidTr="004C6D1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5" w:type="dxa"/>
            <w:vMerge w:val="restart"/>
            <w:noWrap/>
            <w:hideMark/>
          </w:tcPr>
          <w:bookmarkEnd w:id="72"/>
          <w:p w14:paraId="224A1C5E" w14:textId="77777777" w:rsidR="0021042D" w:rsidRPr="00F758AB" w:rsidRDefault="0021042D" w:rsidP="0021042D">
            <w:pPr>
              <w:rPr>
                <w:rFonts w:ascii="Baskerville Old Face" w:eastAsia="Times New Roman" w:hAnsi="Baskerville Old Face" w:cs="Times New Roman"/>
                <w:b w:val="0"/>
                <w:bCs w:val="0"/>
                <w:color w:val="auto"/>
                <w:kern w:val="0"/>
                <w14:ligatures w14:val="none"/>
              </w:rPr>
            </w:pPr>
            <w:r w:rsidRPr="00F758AB">
              <w:rPr>
                <w:rFonts w:ascii="Baskerville Old Face" w:eastAsia="Times New Roman" w:hAnsi="Baskerville Old Face" w:cs="Times New Roman"/>
                <w:color w:val="auto"/>
                <w:kern w:val="0"/>
                <w14:ligatures w14:val="none"/>
              </w:rPr>
              <w:t>Tax Office</w:t>
            </w:r>
          </w:p>
          <w:p w14:paraId="5C85BED1" w14:textId="102F01FE" w:rsidR="0021042D" w:rsidRPr="00F758AB" w:rsidRDefault="0021042D" w:rsidP="0021042D">
            <w:pPr>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 </w:t>
            </w:r>
          </w:p>
        </w:tc>
        <w:tc>
          <w:tcPr>
            <w:tcW w:w="3690" w:type="dxa"/>
            <w:gridSpan w:val="2"/>
            <w:noWrap/>
            <w:hideMark/>
          </w:tcPr>
          <w:p w14:paraId="11F63E6E" w14:textId="77777777" w:rsidR="0021042D" w:rsidRPr="00F758AB" w:rsidRDefault="0021042D" w:rsidP="0021042D">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Calibri"/>
                <w:color w:val="000000"/>
                <w:kern w:val="0"/>
                <w14:ligatures w14:val="none"/>
              </w:rPr>
            </w:pPr>
            <w:r w:rsidRPr="00F758AB">
              <w:rPr>
                <w:rFonts w:ascii="Baskerville Old Face" w:eastAsia="Times New Roman" w:hAnsi="Baskerville Old Face" w:cs="Calibri"/>
                <w:color w:val="000000"/>
                <w:kern w:val="0"/>
                <w14:ligatures w14:val="none"/>
              </w:rPr>
              <w:t>Compliance Rate (%)</w:t>
            </w:r>
          </w:p>
        </w:tc>
      </w:tr>
      <w:tr w:rsidR="0021042D" w:rsidRPr="00F758AB" w14:paraId="2D910285" w14:textId="77777777" w:rsidTr="004C6D1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135" w:type="dxa"/>
            <w:vMerge/>
            <w:noWrap/>
            <w:hideMark/>
          </w:tcPr>
          <w:p w14:paraId="74973B49" w14:textId="5CB83806" w:rsidR="0021042D" w:rsidRPr="00F758AB" w:rsidRDefault="0021042D" w:rsidP="0021042D">
            <w:pPr>
              <w:rPr>
                <w:rFonts w:ascii="Baskerville Old Face" w:eastAsia="Times New Roman" w:hAnsi="Baskerville Old Face" w:cs="Times New Roman"/>
                <w:kern w:val="0"/>
                <w14:ligatures w14:val="none"/>
              </w:rPr>
            </w:pPr>
          </w:p>
        </w:tc>
        <w:tc>
          <w:tcPr>
            <w:tcW w:w="1980" w:type="dxa"/>
            <w:noWrap/>
            <w:hideMark/>
          </w:tcPr>
          <w:p w14:paraId="68CA46B2"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kern w:val="0"/>
                <w14:ligatures w14:val="none"/>
              </w:rPr>
            </w:pPr>
            <w:r w:rsidRPr="00F758AB">
              <w:rPr>
                <w:rFonts w:ascii="Baskerville Old Face" w:eastAsia="Times New Roman" w:hAnsi="Baskerville Old Face" w:cs="Times New Roman"/>
                <w:b/>
                <w:bCs/>
                <w:kern w:val="0"/>
                <w14:ligatures w14:val="none"/>
              </w:rPr>
              <w:t>2023</w:t>
            </w:r>
          </w:p>
        </w:tc>
        <w:tc>
          <w:tcPr>
            <w:tcW w:w="1710" w:type="dxa"/>
            <w:noWrap/>
            <w:hideMark/>
          </w:tcPr>
          <w:p w14:paraId="3306F926"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14:ligatures w14:val="none"/>
              </w:rPr>
            </w:pPr>
            <w:r w:rsidRPr="00F758AB">
              <w:rPr>
                <w:rFonts w:ascii="Baskerville Old Face" w:eastAsia="Times New Roman" w:hAnsi="Baskerville Old Face" w:cs="Times New Roman"/>
                <w:b/>
                <w:bCs/>
                <w:color w:val="000000"/>
                <w:kern w:val="0"/>
                <w14:ligatures w14:val="none"/>
              </w:rPr>
              <w:t>2022</w:t>
            </w:r>
          </w:p>
        </w:tc>
      </w:tr>
      <w:tr w:rsidR="0021042D" w:rsidRPr="00F758AB" w14:paraId="2FCD40A2"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F1A6862"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Large Taxpayers </w:t>
            </w:r>
          </w:p>
        </w:tc>
        <w:tc>
          <w:tcPr>
            <w:tcW w:w="1980" w:type="dxa"/>
            <w:noWrap/>
            <w:hideMark/>
          </w:tcPr>
          <w:p w14:paraId="232336B1"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79.27%</w:t>
            </w:r>
          </w:p>
        </w:tc>
        <w:tc>
          <w:tcPr>
            <w:tcW w:w="1710" w:type="dxa"/>
            <w:noWrap/>
            <w:hideMark/>
          </w:tcPr>
          <w:p w14:paraId="18F5FBE5"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69.90%</w:t>
            </w:r>
          </w:p>
        </w:tc>
      </w:tr>
      <w:tr w:rsidR="0021042D" w:rsidRPr="00F758AB" w14:paraId="043C94E3"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7035426B"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Makeni Taxpayers </w:t>
            </w:r>
          </w:p>
        </w:tc>
        <w:tc>
          <w:tcPr>
            <w:tcW w:w="1980" w:type="dxa"/>
            <w:noWrap/>
            <w:hideMark/>
          </w:tcPr>
          <w:p w14:paraId="4641EC38"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60.16%</w:t>
            </w:r>
          </w:p>
        </w:tc>
        <w:tc>
          <w:tcPr>
            <w:tcW w:w="1710" w:type="dxa"/>
            <w:noWrap/>
            <w:hideMark/>
          </w:tcPr>
          <w:p w14:paraId="6A10092B"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48.10%</w:t>
            </w:r>
          </w:p>
        </w:tc>
      </w:tr>
      <w:tr w:rsidR="0021042D" w:rsidRPr="00F758AB" w14:paraId="54B75BCE"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32868E9"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Medium Taxpayers </w:t>
            </w:r>
          </w:p>
        </w:tc>
        <w:tc>
          <w:tcPr>
            <w:tcW w:w="1980" w:type="dxa"/>
            <w:noWrap/>
            <w:hideMark/>
          </w:tcPr>
          <w:p w14:paraId="604D7F12"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54.58%</w:t>
            </w:r>
          </w:p>
        </w:tc>
        <w:tc>
          <w:tcPr>
            <w:tcW w:w="1710" w:type="dxa"/>
            <w:noWrap/>
            <w:hideMark/>
          </w:tcPr>
          <w:p w14:paraId="1810B9DF"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66.70%</w:t>
            </w:r>
          </w:p>
        </w:tc>
      </w:tr>
      <w:tr w:rsidR="0021042D" w:rsidRPr="00F758AB" w14:paraId="527424B5"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1949C5BB"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Bo Taxpayers Office</w:t>
            </w:r>
          </w:p>
        </w:tc>
        <w:tc>
          <w:tcPr>
            <w:tcW w:w="1980" w:type="dxa"/>
            <w:noWrap/>
            <w:hideMark/>
          </w:tcPr>
          <w:p w14:paraId="3E334CE2"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52.52%</w:t>
            </w:r>
          </w:p>
        </w:tc>
        <w:tc>
          <w:tcPr>
            <w:tcW w:w="1710" w:type="dxa"/>
            <w:noWrap/>
            <w:hideMark/>
          </w:tcPr>
          <w:p w14:paraId="51194B8C"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49.90%</w:t>
            </w:r>
          </w:p>
        </w:tc>
      </w:tr>
      <w:tr w:rsidR="0021042D" w:rsidRPr="00F758AB" w14:paraId="1D846199"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4CB10E57"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Extractive Industry </w:t>
            </w:r>
          </w:p>
        </w:tc>
        <w:tc>
          <w:tcPr>
            <w:tcW w:w="1980" w:type="dxa"/>
            <w:noWrap/>
            <w:hideMark/>
          </w:tcPr>
          <w:p w14:paraId="3F801099"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51.69%</w:t>
            </w:r>
          </w:p>
        </w:tc>
        <w:tc>
          <w:tcPr>
            <w:tcW w:w="1710" w:type="dxa"/>
            <w:noWrap/>
            <w:hideMark/>
          </w:tcPr>
          <w:p w14:paraId="2F099420"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67.30%</w:t>
            </w:r>
          </w:p>
        </w:tc>
      </w:tr>
      <w:tr w:rsidR="0021042D" w:rsidRPr="00F758AB" w14:paraId="5A44F41B"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7AA0F97A"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Kenema Taxpayers </w:t>
            </w:r>
          </w:p>
        </w:tc>
        <w:tc>
          <w:tcPr>
            <w:tcW w:w="1980" w:type="dxa"/>
            <w:noWrap/>
            <w:hideMark/>
          </w:tcPr>
          <w:p w14:paraId="0C8FC7CB"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49.32%</w:t>
            </w:r>
          </w:p>
        </w:tc>
        <w:tc>
          <w:tcPr>
            <w:tcW w:w="1710" w:type="dxa"/>
            <w:noWrap/>
            <w:hideMark/>
          </w:tcPr>
          <w:p w14:paraId="02F05DA3"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34.30%</w:t>
            </w:r>
          </w:p>
        </w:tc>
      </w:tr>
      <w:tr w:rsidR="0021042D" w:rsidRPr="00F758AB" w14:paraId="0B033BEE"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22558B00"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Freetown East</w:t>
            </w:r>
          </w:p>
        </w:tc>
        <w:tc>
          <w:tcPr>
            <w:tcW w:w="1980" w:type="dxa"/>
            <w:noWrap/>
            <w:hideMark/>
          </w:tcPr>
          <w:p w14:paraId="46C24BA7"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43.06%</w:t>
            </w:r>
          </w:p>
        </w:tc>
        <w:tc>
          <w:tcPr>
            <w:tcW w:w="1710" w:type="dxa"/>
            <w:noWrap/>
            <w:hideMark/>
          </w:tcPr>
          <w:p w14:paraId="26DD188A"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40.50%</w:t>
            </w:r>
          </w:p>
        </w:tc>
      </w:tr>
      <w:tr w:rsidR="0021042D" w:rsidRPr="00F758AB" w14:paraId="5A6B4A0E"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161ECC1E"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Freetown Central</w:t>
            </w:r>
          </w:p>
        </w:tc>
        <w:tc>
          <w:tcPr>
            <w:tcW w:w="1980" w:type="dxa"/>
            <w:noWrap/>
            <w:hideMark/>
          </w:tcPr>
          <w:p w14:paraId="36894648"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42.06%</w:t>
            </w:r>
          </w:p>
        </w:tc>
        <w:tc>
          <w:tcPr>
            <w:tcW w:w="1710" w:type="dxa"/>
            <w:noWrap/>
            <w:hideMark/>
          </w:tcPr>
          <w:p w14:paraId="4B5A1883"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48.70%</w:t>
            </w:r>
          </w:p>
        </w:tc>
      </w:tr>
      <w:tr w:rsidR="0021042D" w:rsidRPr="00F758AB" w14:paraId="5A089EF0" w14:textId="77777777" w:rsidTr="004C6D1C">
        <w:trPr>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6104ED93"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Freetown West</w:t>
            </w:r>
          </w:p>
        </w:tc>
        <w:tc>
          <w:tcPr>
            <w:tcW w:w="1980" w:type="dxa"/>
            <w:noWrap/>
            <w:hideMark/>
          </w:tcPr>
          <w:p w14:paraId="151B0F39"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41.01%</w:t>
            </w:r>
          </w:p>
        </w:tc>
        <w:tc>
          <w:tcPr>
            <w:tcW w:w="1710" w:type="dxa"/>
            <w:noWrap/>
            <w:hideMark/>
          </w:tcPr>
          <w:p w14:paraId="4A23C9FC"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56.60%</w:t>
            </w:r>
          </w:p>
        </w:tc>
      </w:tr>
      <w:tr w:rsidR="0021042D" w:rsidRPr="00F758AB" w14:paraId="2FB0038D" w14:textId="77777777" w:rsidTr="004C6D1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35" w:type="dxa"/>
            <w:noWrap/>
            <w:hideMark/>
          </w:tcPr>
          <w:p w14:paraId="17C64797"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Kono Taxpayers Office</w:t>
            </w:r>
          </w:p>
        </w:tc>
        <w:tc>
          <w:tcPr>
            <w:tcW w:w="1980" w:type="dxa"/>
            <w:noWrap/>
            <w:hideMark/>
          </w:tcPr>
          <w:p w14:paraId="2CB51CA3" w14:textId="77777777" w:rsidR="0021042D" w:rsidRPr="00F758AB" w:rsidRDefault="0021042D" w:rsidP="0021042D">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35.22%</w:t>
            </w:r>
          </w:p>
        </w:tc>
        <w:tc>
          <w:tcPr>
            <w:tcW w:w="1710" w:type="dxa"/>
            <w:noWrap/>
            <w:hideMark/>
          </w:tcPr>
          <w:p w14:paraId="3B185635" w14:textId="77777777" w:rsidR="0021042D" w:rsidRPr="00F758AB" w:rsidRDefault="0021042D" w:rsidP="0021042D">
            <w:pPr>
              <w:jc w:val="right"/>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5.00%</w:t>
            </w:r>
          </w:p>
        </w:tc>
      </w:tr>
      <w:tr w:rsidR="0021042D" w:rsidRPr="00F758AB" w14:paraId="673621FC" w14:textId="77777777" w:rsidTr="004C6D1C">
        <w:trPr>
          <w:trHeight w:val="324"/>
        </w:trPr>
        <w:tc>
          <w:tcPr>
            <w:cnfStyle w:val="001000000000" w:firstRow="0" w:lastRow="0" w:firstColumn="1" w:lastColumn="0" w:oddVBand="0" w:evenVBand="0" w:oddHBand="0" w:evenHBand="0" w:firstRowFirstColumn="0" w:firstRowLastColumn="0" w:lastRowFirstColumn="0" w:lastRowLastColumn="0"/>
            <w:tcW w:w="4135" w:type="dxa"/>
            <w:noWrap/>
            <w:hideMark/>
          </w:tcPr>
          <w:p w14:paraId="0E84F8F7" w14:textId="77777777" w:rsidR="0021042D" w:rsidRPr="00F758AB" w:rsidRDefault="0021042D" w:rsidP="0021042D">
            <w:pPr>
              <w:rPr>
                <w:rFonts w:ascii="Baskerville Old Face" w:eastAsia="Times New Roman" w:hAnsi="Baskerville Old Face" w:cs="Times New Roman"/>
                <w:b w:val="0"/>
                <w:bCs w:val="0"/>
                <w:kern w:val="0"/>
                <w14:ligatures w14:val="none"/>
              </w:rPr>
            </w:pPr>
            <w:r w:rsidRPr="00F758AB">
              <w:rPr>
                <w:rFonts w:ascii="Baskerville Old Face" w:eastAsia="Times New Roman" w:hAnsi="Baskerville Old Face" w:cs="Times New Roman"/>
                <w:b w:val="0"/>
                <w:bCs w:val="0"/>
                <w:kern w:val="0"/>
                <w14:ligatures w14:val="none"/>
              </w:rPr>
              <w:t xml:space="preserve">WAMA Individual </w:t>
            </w:r>
          </w:p>
        </w:tc>
        <w:tc>
          <w:tcPr>
            <w:tcW w:w="1980" w:type="dxa"/>
            <w:noWrap/>
            <w:hideMark/>
          </w:tcPr>
          <w:p w14:paraId="1E4FCCD0" w14:textId="77777777" w:rsidR="0021042D" w:rsidRPr="00F758AB" w:rsidRDefault="0021042D" w:rsidP="0021042D">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kern w:val="0"/>
                <w14:ligatures w14:val="none"/>
              </w:rPr>
            </w:pPr>
            <w:r w:rsidRPr="00F758AB">
              <w:rPr>
                <w:rFonts w:ascii="Baskerville Old Face" w:eastAsia="Times New Roman" w:hAnsi="Baskerville Old Face" w:cs="Times New Roman"/>
                <w:kern w:val="0"/>
                <w14:ligatures w14:val="none"/>
              </w:rPr>
              <w:t>23.77%</w:t>
            </w:r>
          </w:p>
        </w:tc>
        <w:tc>
          <w:tcPr>
            <w:tcW w:w="1710" w:type="dxa"/>
            <w:noWrap/>
            <w:hideMark/>
          </w:tcPr>
          <w:p w14:paraId="7670FA10" w14:textId="77777777" w:rsidR="0021042D" w:rsidRPr="00F758AB" w:rsidRDefault="0021042D" w:rsidP="0021042D">
            <w:pPr>
              <w:jc w:val="right"/>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14:ligatures w14:val="none"/>
              </w:rPr>
            </w:pPr>
            <w:r w:rsidRPr="00F758AB">
              <w:rPr>
                <w:rFonts w:ascii="Baskerville Old Face" w:eastAsia="Times New Roman" w:hAnsi="Baskerville Old Face" w:cs="Times New Roman"/>
                <w:color w:val="000000"/>
                <w:kern w:val="0"/>
                <w14:ligatures w14:val="none"/>
              </w:rPr>
              <w:t>22.20%</w:t>
            </w:r>
          </w:p>
        </w:tc>
      </w:tr>
    </w:tbl>
    <w:p w14:paraId="3D6CDEC7" w14:textId="5EF6CEB5" w:rsidR="00FD12A1" w:rsidRPr="00FD12A1" w:rsidRDefault="00FD12A1" w:rsidP="00FD12A1">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74ADCB22" w14:textId="1E13205C" w:rsidR="000551CA" w:rsidRDefault="00517ADA" w:rsidP="00517ADA">
      <w:pPr>
        <w:spacing w:line="360" w:lineRule="auto"/>
        <w:jc w:val="both"/>
        <w:rPr>
          <w:rFonts w:ascii="Baskerville Old Face" w:hAnsi="Baskerville Old Face" w:cs="Times New Roman"/>
          <w:kern w:val="0"/>
          <w:sz w:val="24"/>
          <w:szCs w:val="24"/>
          <w:lang w:val="en-GB"/>
          <w14:ligatures w14:val="none"/>
        </w:rPr>
      </w:pPr>
      <w:r w:rsidRPr="002D07CC">
        <w:rPr>
          <w:rFonts w:ascii="Baskerville Old Face" w:hAnsi="Baskerville Old Face" w:cs="Times New Roman"/>
          <w:kern w:val="0"/>
          <w:sz w:val="24"/>
          <w:szCs w:val="24"/>
          <w:lang w:val="en-GB"/>
          <w14:ligatures w14:val="none"/>
        </w:rPr>
        <w:t xml:space="preserve">Figure </w:t>
      </w:r>
      <w:r w:rsidR="00FA2C76">
        <w:rPr>
          <w:rFonts w:ascii="Baskerville Old Face" w:hAnsi="Baskerville Old Face" w:cs="Times New Roman"/>
          <w:kern w:val="0"/>
          <w:sz w:val="24"/>
          <w:szCs w:val="24"/>
          <w:lang w:val="en-GB"/>
          <w14:ligatures w14:val="none"/>
        </w:rPr>
        <w:t>9</w:t>
      </w:r>
      <w:r w:rsidRPr="007E7BF4">
        <w:rPr>
          <w:rFonts w:ascii="Baskerville Old Face" w:hAnsi="Baskerville Old Face" w:cs="Times New Roman"/>
          <w:kern w:val="0"/>
          <w:sz w:val="24"/>
          <w:szCs w:val="24"/>
          <w:lang w:val="en-GB"/>
          <w14:ligatures w14:val="none"/>
        </w:rPr>
        <w:t xml:space="preserve"> </w:t>
      </w:r>
      <w:r>
        <w:rPr>
          <w:rFonts w:ascii="Baskerville Old Face" w:hAnsi="Baskerville Old Face" w:cs="Times New Roman"/>
          <w:kern w:val="0"/>
          <w:sz w:val="24"/>
          <w:szCs w:val="24"/>
          <w:lang w:val="en-GB"/>
          <w14:ligatures w14:val="none"/>
        </w:rPr>
        <w:t>displays</w:t>
      </w:r>
      <w:r w:rsidRPr="007E7BF4">
        <w:rPr>
          <w:rFonts w:ascii="Baskerville Old Face" w:hAnsi="Baskerville Old Face" w:cs="Times New Roman"/>
          <w:kern w:val="0"/>
          <w:sz w:val="24"/>
          <w:szCs w:val="24"/>
          <w:lang w:val="en-GB"/>
          <w14:ligatures w14:val="none"/>
        </w:rPr>
        <w:t xml:space="preserve"> the average filing compliance rate across three </w:t>
      </w:r>
      <w:r w:rsidR="009B50AB">
        <w:rPr>
          <w:rFonts w:ascii="Baskerville Old Face" w:hAnsi="Baskerville Old Face" w:cs="Times New Roman"/>
          <w:kern w:val="0"/>
          <w:sz w:val="24"/>
          <w:szCs w:val="24"/>
          <w:lang w:val="en-GB"/>
          <w14:ligatures w14:val="none"/>
        </w:rPr>
        <w:t>major</w:t>
      </w:r>
      <w:r w:rsidRPr="007E7BF4">
        <w:rPr>
          <w:rFonts w:ascii="Baskerville Old Face" w:hAnsi="Baskerville Old Face" w:cs="Times New Roman"/>
          <w:kern w:val="0"/>
          <w:sz w:val="24"/>
          <w:szCs w:val="24"/>
          <w:lang w:val="en-GB"/>
          <w14:ligatures w14:val="none"/>
        </w:rPr>
        <w:t xml:space="preserve"> tax </w:t>
      </w:r>
      <w:r>
        <w:rPr>
          <w:rFonts w:ascii="Baskerville Old Face" w:hAnsi="Baskerville Old Face" w:cs="Times New Roman"/>
          <w:kern w:val="0"/>
          <w:sz w:val="24"/>
          <w:szCs w:val="24"/>
          <w:lang w:val="en-GB"/>
          <w14:ligatures w14:val="none"/>
        </w:rPr>
        <w:t>types</w:t>
      </w:r>
      <w:r w:rsidRPr="007E7BF4">
        <w:rPr>
          <w:rFonts w:ascii="Baskerville Old Face" w:hAnsi="Baskerville Old Face" w:cs="Times New Roman"/>
          <w:kern w:val="0"/>
          <w:sz w:val="24"/>
          <w:szCs w:val="24"/>
          <w:lang w:val="en-GB"/>
          <w14:ligatures w14:val="none"/>
        </w:rPr>
        <w:t xml:space="preserve">. In </w:t>
      </w:r>
      <w:r w:rsidR="000551CA">
        <w:rPr>
          <w:rFonts w:ascii="Baskerville Old Face" w:hAnsi="Baskerville Old Face" w:cs="Times New Roman"/>
          <w:kern w:val="0"/>
          <w:sz w:val="24"/>
          <w:szCs w:val="24"/>
          <w:lang w:val="en-GB"/>
          <w14:ligatures w14:val="none"/>
        </w:rPr>
        <w:t xml:space="preserve">both </w:t>
      </w:r>
      <w:r w:rsidRPr="007E7BF4">
        <w:rPr>
          <w:rFonts w:ascii="Baskerville Old Face" w:hAnsi="Baskerville Old Face" w:cs="Times New Roman"/>
          <w:kern w:val="0"/>
          <w:sz w:val="24"/>
          <w:szCs w:val="24"/>
          <w:lang w:val="en-GB"/>
          <w14:ligatures w14:val="none"/>
        </w:rPr>
        <w:t>2023</w:t>
      </w:r>
      <w:r w:rsidR="000551CA">
        <w:rPr>
          <w:rFonts w:ascii="Baskerville Old Face" w:hAnsi="Baskerville Old Face" w:cs="Times New Roman"/>
          <w:kern w:val="0"/>
          <w:sz w:val="24"/>
          <w:szCs w:val="24"/>
          <w:lang w:val="en-GB"/>
          <w14:ligatures w14:val="none"/>
        </w:rPr>
        <w:t xml:space="preserve"> and 2022</w:t>
      </w:r>
      <w:r w:rsidRPr="007E7BF4">
        <w:rPr>
          <w:rFonts w:ascii="Baskerville Old Face" w:hAnsi="Baskerville Old Face" w:cs="Times New Roman"/>
          <w:kern w:val="0"/>
          <w:sz w:val="24"/>
          <w:szCs w:val="24"/>
          <w:lang w:val="en-GB"/>
          <w14:ligatures w14:val="none"/>
        </w:rPr>
        <w:t xml:space="preserve">, </w:t>
      </w:r>
      <w:r w:rsidR="000551CA">
        <w:rPr>
          <w:rFonts w:ascii="Baskerville Old Face" w:hAnsi="Baskerville Old Face" w:cs="Times New Roman"/>
          <w:kern w:val="0"/>
          <w:sz w:val="24"/>
          <w:szCs w:val="24"/>
          <w:lang w:val="en-GB"/>
          <w14:ligatures w14:val="none"/>
        </w:rPr>
        <w:t xml:space="preserve">GST accounted for the highest filing rate. Conversely, withholding tax showed the lowest filing rates </w:t>
      </w:r>
      <w:r w:rsidR="00EA0ED9">
        <w:rPr>
          <w:rFonts w:ascii="Baskerville Old Face" w:hAnsi="Baskerville Old Face" w:cs="Times New Roman"/>
          <w:kern w:val="0"/>
          <w:sz w:val="24"/>
          <w:szCs w:val="24"/>
          <w:lang w:val="en-GB"/>
          <w14:ligatures w14:val="none"/>
        </w:rPr>
        <w:t xml:space="preserve">(35.8%) </w:t>
      </w:r>
      <w:r w:rsidR="000551CA">
        <w:rPr>
          <w:rFonts w:ascii="Baskerville Old Face" w:hAnsi="Baskerville Old Face" w:cs="Times New Roman"/>
          <w:kern w:val="0"/>
          <w:sz w:val="24"/>
          <w:szCs w:val="24"/>
          <w:lang w:val="en-GB"/>
          <w14:ligatures w14:val="none"/>
        </w:rPr>
        <w:t xml:space="preserve">among the three in 2023 but </w:t>
      </w:r>
      <w:r w:rsidR="004A480E">
        <w:rPr>
          <w:rFonts w:ascii="Baskerville Old Face" w:hAnsi="Baskerville Old Face" w:cs="Times New Roman"/>
          <w:kern w:val="0"/>
          <w:sz w:val="24"/>
          <w:szCs w:val="24"/>
          <w:lang w:val="en-GB"/>
          <w14:ligatures w14:val="none"/>
        </w:rPr>
        <w:t xml:space="preserve">had </w:t>
      </w:r>
      <w:r w:rsidR="000551CA">
        <w:rPr>
          <w:rFonts w:ascii="Baskerville Old Face" w:hAnsi="Baskerville Old Face" w:cs="Times New Roman"/>
          <w:kern w:val="0"/>
          <w:sz w:val="24"/>
          <w:szCs w:val="24"/>
          <w:lang w:val="en-GB"/>
          <w14:ligatures w14:val="none"/>
        </w:rPr>
        <w:t xml:space="preserve">the second highest filing rate </w:t>
      </w:r>
      <w:r w:rsidR="00EA0ED9">
        <w:rPr>
          <w:rFonts w:ascii="Baskerville Old Face" w:hAnsi="Baskerville Old Face" w:cs="Times New Roman"/>
          <w:kern w:val="0"/>
          <w:sz w:val="24"/>
          <w:szCs w:val="24"/>
          <w:lang w:val="en-GB"/>
          <w14:ligatures w14:val="none"/>
        </w:rPr>
        <w:t xml:space="preserve">(55.78) </w:t>
      </w:r>
      <w:r w:rsidR="000551CA">
        <w:rPr>
          <w:rFonts w:ascii="Baskerville Old Face" w:hAnsi="Baskerville Old Face" w:cs="Times New Roman"/>
          <w:kern w:val="0"/>
          <w:sz w:val="24"/>
          <w:szCs w:val="24"/>
          <w:lang w:val="en-GB"/>
          <w14:ligatures w14:val="none"/>
        </w:rPr>
        <w:t xml:space="preserve">in the previous year. </w:t>
      </w:r>
    </w:p>
    <w:p w14:paraId="18C9207B" w14:textId="77777777" w:rsidR="00D27E51" w:rsidRDefault="00D27E51" w:rsidP="004D5FD6">
      <w:pPr>
        <w:rPr>
          <w:rFonts w:ascii="Baskerville Old Face" w:hAnsi="Baskerville Old Face" w:cs="Times New Roman"/>
          <w:b/>
          <w:bCs/>
          <w:i/>
          <w:iCs/>
          <w:kern w:val="0"/>
          <w:sz w:val="24"/>
          <w:szCs w:val="24"/>
          <w:lang w:val="en-GB"/>
          <w14:ligatures w14:val="none"/>
        </w:rPr>
      </w:pPr>
      <w:bookmarkStart w:id="73" w:name="Figure9"/>
    </w:p>
    <w:p w14:paraId="662979E0" w14:textId="77777777" w:rsidR="00D27E51" w:rsidRDefault="00D27E51" w:rsidP="004D5FD6">
      <w:pPr>
        <w:rPr>
          <w:rFonts w:ascii="Baskerville Old Face" w:hAnsi="Baskerville Old Face" w:cs="Times New Roman"/>
          <w:b/>
          <w:bCs/>
          <w:i/>
          <w:iCs/>
          <w:kern w:val="0"/>
          <w:sz w:val="24"/>
          <w:szCs w:val="24"/>
          <w:lang w:val="en-GB"/>
          <w14:ligatures w14:val="none"/>
        </w:rPr>
      </w:pPr>
    </w:p>
    <w:p w14:paraId="7EE63F8A" w14:textId="77777777" w:rsidR="00D27E51" w:rsidRDefault="00D27E51" w:rsidP="004D5FD6">
      <w:pPr>
        <w:rPr>
          <w:rFonts w:ascii="Baskerville Old Face" w:hAnsi="Baskerville Old Face" w:cs="Times New Roman"/>
          <w:b/>
          <w:bCs/>
          <w:i/>
          <w:iCs/>
          <w:kern w:val="0"/>
          <w:sz w:val="24"/>
          <w:szCs w:val="24"/>
          <w:lang w:val="en-GB"/>
          <w14:ligatures w14:val="none"/>
        </w:rPr>
      </w:pPr>
    </w:p>
    <w:p w14:paraId="169CA02E" w14:textId="77777777" w:rsidR="00D27E51" w:rsidRDefault="00D27E51" w:rsidP="004D5FD6">
      <w:pPr>
        <w:rPr>
          <w:rFonts w:ascii="Baskerville Old Face" w:hAnsi="Baskerville Old Face" w:cs="Times New Roman"/>
          <w:b/>
          <w:bCs/>
          <w:i/>
          <w:iCs/>
          <w:kern w:val="0"/>
          <w:sz w:val="24"/>
          <w:szCs w:val="24"/>
          <w:lang w:val="en-GB"/>
          <w14:ligatures w14:val="none"/>
        </w:rPr>
      </w:pPr>
    </w:p>
    <w:p w14:paraId="20B00F03" w14:textId="77777777" w:rsidR="00D27E51" w:rsidRDefault="00D27E51" w:rsidP="004D5FD6">
      <w:pPr>
        <w:rPr>
          <w:rFonts w:ascii="Baskerville Old Face" w:hAnsi="Baskerville Old Face" w:cs="Times New Roman"/>
          <w:b/>
          <w:bCs/>
          <w:i/>
          <w:iCs/>
          <w:kern w:val="0"/>
          <w:sz w:val="24"/>
          <w:szCs w:val="24"/>
          <w:lang w:val="en-GB"/>
          <w14:ligatures w14:val="none"/>
        </w:rPr>
      </w:pPr>
    </w:p>
    <w:p w14:paraId="3AEA29AE" w14:textId="77777777" w:rsidR="00D27E51" w:rsidRDefault="00D27E51" w:rsidP="004D5FD6">
      <w:pPr>
        <w:rPr>
          <w:rFonts w:ascii="Baskerville Old Face" w:hAnsi="Baskerville Old Face" w:cs="Times New Roman"/>
          <w:b/>
          <w:bCs/>
          <w:i/>
          <w:iCs/>
          <w:kern w:val="0"/>
          <w:sz w:val="24"/>
          <w:szCs w:val="24"/>
          <w:lang w:val="en-GB"/>
          <w14:ligatures w14:val="none"/>
        </w:rPr>
      </w:pPr>
    </w:p>
    <w:p w14:paraId="7A65D889" w14:textId="77777777" w:rsidR="00D27E51" w:rsidRDefault="00D27E51" w:rsidP="004D5FD6">
      <w:pPr>
        <w:rPr>
          <w:rFonts w:ascii="Baskerville Old Face" w:hAnsi="Baskerville Old Face" w:cs="Times New Roman"/>
          <w:b/>
          <w:bCs/>
          <w:i/>
          <w:iCs/>
          <w:kern w:val="0"/>
          <w:sz w:val="24"/>
          <w:szCs w:val="24"/>
          <w:lang w:val="en-GB"/>
          <w14:ligatures w14:val="none"/>
        </w:rPr>
      </w:pPr>
    </w:p>
    <w:p w14:paraId="61E47045" w14:textId="77777777" w:rsidR="00D27E51" w:rsidRDefault="00D27E51" w:rsidP="004D5FD6">
      <w:pPr>
        <w:rPr>
          <w:rFonts w:ascii="Baskerville Old Face" w:hAnsi="Baskerville Old Face" w:cs="Times New Roman"/>
          <w:b/>
          <w:bCs/>
          <w:i/>
          <w:iCs/>
          <w:kern w:val="0"/>
          <w:sz w:val="24"/>
          <w:szCs w:val="24"/>
          <w:lang w:val="en-GB"/>
          <w14:ligatures w14:val="none"/>
        </w:rPr>
      </w:pPr>
    </w:p>
    <w:p w14:paraId="3FF55E28" w14:textId="3030F99B" w:rsidR="00F45137" w:rsidRPr="00F758AB" w:rsidRDefault="001E4D65" w:rsidP="004D5FD6">
      <w:pPr>
        <w:rPr>
          <w:rFonts w:ascii="Baskerville Old Face" w:hAnsi="Baskerville Old Face" w:cs="Times New Roman"/>
          <w:b/>
          <w:bCs/>
          <w:i/>
          <w:iCs/>
          <w:kern w:val="0"/>
          <w:sz w:val="24"/>
          <w:szCs w:val="24"/>
          <w:lang w:val="en-GB"/>
          <w14:ligatures w14:val="none"/>
        </w:rPr>
      </w:pPr>
      <w:r w:rsidRPr="00F758AB">
        <w:rPr>
          <w:rFonts w:ascii="Baskerville Old Face" w:hAnsi="Baskerville Old Face" w:cs="Times New Roman"/>
          <w:b/>
          <w:bCs/>
          <w:i/>
          <w:iCs/>
          <w:kern w:val="0"/>
          <w:sz w:val="24"/>
          <w:szCs w:val="24"/>
          <w:lang w:val="en-GB"/>
          <w14:ligatures w14:val="none"/>
        </w:rPr>
        <w:lastRenderedPageBreak/>
        <w:t xml:space="preserve">Figure </w:t>
      </w:r>
      <w:r w:rsidR="002E6968">
        <w:rPr>
          <w:rFonts w:ascii="Baskerville Old Face" w:hAnsi="Baskerville Old Face" w:cs="Times New Roman"/>
          <w:b/>
          <w:bCs/>
          <w:i/>
          <w:iCs/>
          <w:kern w:val="0"/>
          <w:sz w:val="24"/>
          <w:szCs w:val="24"/>
          <w:lang w:val="en-GB"/>
          <w14:ligatures w14:val="none"/>
        </w:rPr>
        <w:t>9</w:t>
      </w:r>
      <w:r w:rsidRPr="00F758AB">
        <w:rPr>
          <w:rFonts w:ascii="Baskerville Old Face" w:hAnsi="Baskerville Old Face" w:cs="Times New Roman"/>
          <w:b/>
          <w:bCs/>
          <w:i/>
          <w:iCs/>
          <w:kern w:val="0"/>
          <w:sz w:val="24"/>
          <w:szCs w:val="24"/>
          <w:lang w:val="en-GB"/>
          <w14:ligatures w14:val="none"/>
        </w:rPr>
        <w:t xml:space="preserve">: Average Compliance Rate by Tax Type in </w:t>
      </w:r>
      <w:r w:rsidR="006570AE" w:rsidRPr="00F758AB">
        <w:rPr>
          <w:rFonts w:ascii="Baskerville Old Face" w:hAnsi="Baskerville Old Face" w:cs="Times New Roman"/>
          <w:b/>
          <w:bCs/>
          <w:i/>
          <w:iCs/>
          <w:kern w:val="0"/>
          <w:sz w:val="24"/>
          <w:szCs w:val="24"/>
          <w:lang w:val="en-GB"/>
          <w14:ligatures w14:val="none"/>
        </w:rPr>
        <w:t xml:space="preserve">2023 and </w:t>
      </w:r>
      <w:r w:rsidRPr="00F758AB">
        <w:rPr>
          <w:rFonts w:ascii="Baskerville Old Face" w:hAnsi="Baskerville Old Face" w:cs="Times New Roman"/>
          <w:b/>
          <w:bCs/>
          <w:i/>
          <w:iCs/>
          <w:kern w:val="0"/>
          <w:sz w:val="24"/>
          <w:szCs w:val="24"/>
          <w:lang w:val="en-GB"/>
          <w14:ligatures w14:val="none"/>
        </w:rPr>
        <w:t>2022</w:t>
      </w:r>
    </w:p>
    <w:bookmarkEnd w:id="73"/>
    <w:p w14:paraId="2B45EBC1" w14:textId="0C16B365" w:rsidR="000551CA" w:rsidRPr="000551CA" w:rsidRDefault="000551CA" w:rsidP="004D5FD6">
      <w:pPr>
        <w:rPr>
          <w:rFonts w:ascii="Baskerville Old Face" w:hAnsi="Baskerville Old Face" w:cs="Times New Roman"/>
          <w:kern w:val="0"/>
          <w:sz w:val="24"/>
          <w:szCs w:val="24"/>
          <w:lang w:val="en-GB"/>
          <w14:ligatures w14:val="none"/>
        </w:rPr>
      </w:pPr>
      <w:r>
        <w:rPr>
          <w:noProof/>
        </w:rPr>
        <w:drawing>
          <wp:inline distT="0" distB="0" distL="0" distR="0" wp14:anchorId="5DECDF1D" wp14:editId="40D0EB89">
            <wp:extent cx="5994400" cy="2369820"/>
            <wp:effectExtent l="0" t="0" r="6350" b="11430"/>
            <wp:docPr id="2063415316" name="Chart 1">
              <a:extLst xmlns:a="http://schemas.openxmlformats.org/drawingml/2006/main">
                <a:ext uri="{FF2B5EF4-FFF2-40B4-BE49-F238E27FC236}">
                  <a16:creationId xmlns:a16="http://schemas.microsoft.com/office/drawing/2014/main" id="{0EC944C2-8665-4ED9-7069-7A01C2F532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683943" w14:textId="77777777" w:rsidR="00C8533F" w:rsidRPr="00FD12A1" w:rsidRDefault="00C8533F" w:rsidP="00C8533F">
      <w:pPr>
        <w:spacing w:line="360" w:lineRule="auto"/>
        <w:jc w:val="both"/>
        <w:rPr>
          <w:rFonts w:ascii="Times New Roman" w:hAnsi="Times New Roman" w:cs="Times New Roman"/>
          <w:i/>
          <w:iCs/>
          <w:kern w:val="0"/>
          <w:sz w:val="18"/>
          <w:szCs w:val="18"/>
          <w:lang w:val="en-GB"/>
          <w14:ligatures w14:val="none"/>
        </w:rPr>
      </w:pPr>
      <w:r w:rsidRPr="00FD12A1">
        <w:rPr>
          <w:rFonts w:ascii="Times New Roman" w:hAnsi="Times New Roman" w:cs="Times New Roman"/>
          <w:i/>
          <w:iCs/>
          <w:kern w:val="0"/>
          <w:sz w:val="18"/>
          <w:szCs w:val="18"/>
          <w:lang w:val="en-GB"/>
          <w14:ligatures w14:val="none"/>
        </w:rPr>
        <w:t>Source: ITAS</w:t>
      </w:r>
    </w:p>
    <w:p w14:paraId="798DF602" w14:textId="77777777" w:rsidR="00D27E51" w:rsidRDefault="00D27E51" w:rsidP="002725A1">
      <w:pPr>
        <w:pStyle w:val="Heading2"/>
      </w:pPr>
    </w:p>
    <w:p w14:paraId="3967DBBA" w14:textId="50BE2895" w:rsidR="0003123A" w:rsidRDefault="008E340B" w:rsidP="002725A1">
      <w:pPr>
        <w:pStyle w:val="Heading2"/>
      </w:pPr>
      <w:bookmarkStart w:id="74" w:name="_Toc198205704"/>
      <w:r>
        <w:t xml:space="preserve">4.3: </w:t>
      </w:r>
      <w:r w:rsidR="0003123A" w:rsidRPr="00E06D14">
        <w:t>DTD PLANNED AND COMPLETED TAX AUDIT</w:t>
      </w:r>
      <w:bookmarkEnd w:id="74"/>
    </w:p>
    <w:p w14:paraId="60654543" w14:textId="58E1E78F" w:rsidR="0003123A" w:rsidRPr="00F860D3" w:rsidRDefault="0003123A" w:rsidP="00D27E51">
      <w:pPr>
        <w:spacing w:before="360" w:line="360" w:lineRule="auto"/>
        <w:jc w:val="both"/>
        <w:rPr>
          <w:rFonts w:ascii="Baskerville Old Face" w:hAnsi="Baskerville Old Face" w:cs="Times New Roman"/>
          <w:sz w:val="24"/>
          <w:szCs w:val="24"/>
        </w:rPr>
      </w:pPr>
      <w:proofErr w:type="gramStart"/>
      <w:r w:rsidRPr="00F860D3">
        <w:rPr>
          <w:rFonts w:ascii="Baskerville Old Face" w:hAnsi="Baskerville Old Face" w:cs="Times New Roman"/>
          <w:sz w:val="24"/>
          <w:szCs w:val="24"/>
        </w:rPr>
        <w:t>The DTD</w:t>
      </w:r>
      <w:proofErr w:type="gramEnd"/>
      <w:r w:rsidRPr="00F860D3">
        <w:rPr>
          <w:rFonts w:ascii="Baskerville Old Face" w:hAnsi="Baskerville Old Face" w:cs="Times New Roman"/>
          <w:sz w:val="24"/>
          <w:szCs w:val="24"/>
        </w:rPr>
        <w:t xml:space="preserve"> conducts three categories of tax audits, targeting large taxpayers, medium taxpayers, and entities in the extractive industry. These audits are conducted through field audits, desk audits, or a combination of both </w:t>
      </w:r>
      <w:r w:rsidR="00136FFF">
        <w:rPr>
          <w:rFonts w:ascii="Baskerville Old Face" w:hAnsi="Baskerville Old Face" w:cs="Times New Roman"/>
          <w:sz w:val="24"/>
          <w:szCs w:val="24"/>
        </w:rPr>
        <w:t>approaches</w:t>
      </w:r>
      <w:r w:rsidRPr="00F860D3">
        <w:rPr>
          <w:rFonts w:ascii="Baskerville Old Face" w:hAnsi="Baskerville Old Face" w:cs="Times New Roman"/>
          <w:sz w:val="24"/>
          <w:szCs w:val="24"/>
        </w:rPr>
        <w:t>. The Design and Monitoring (D&amp;M) Unit within the DTD assumes the responsibility of risk profiling and formulating an audit plan, which delineates the selection of taxpayers subject to audit by respective units within the DTD.</w:t>
      </w:r>
    </w:p>
    <w:p w14:paraId="281EFB40" w14:textId="7CC4C906" w:rsidR="0003123A" w:rsidRDefault="0003123A" w:rsidP="0003123A">
      <w:pPr>
        <w:spacing w:line="360" w:lineRule="auto"/>
        <w:jc w:val="both"/>
        <w:rPr>
          <w:rFonts w:ascii="Baskerville Old Face" w:hAnsi="Baskerville Old Face" w:cs="Times New Roman"/>
          <w:sz w:val="24"/>
          <w:szCs w:val="24"/>
        </w:rPr>
      </w:pPr>
      <w:r w:rsidRPr="00F860D3">
        <w:rPr>
          <w:rFonts w:ascii="Baskerville Old Face" w:hAnsi="Baskerville Old Face" w:cs="Times New Roman"/>
          <w:sz w:val="24"/>
          <w:szCs w:val="24"/>
        </w:rPr>
        <w:t xml:space="preserve">The table provided </w:t>
      </w:r>
      <w:r w:rsidRPr="002D07CC">
        <w:rPr>
          <w:rFonts w:ascii="Baskerville Old Face" w:hAnsi="Baskerville Old Face" w:cs="Times New Roman"/>
          <w:sz w:val="24"/>
          <w:szCs w:val="24"/>
        </w:rPr>
        <w:t xml:space="preserve">(Table </w:t>
      </w:r>
      <w:r w:rsidR="002D07CC">
        <w:rPr>
          <w:rFonts w:ascii="Baskerville Old Face" w:hAnsi="Baskerville Old Face" w:cs="Times New Roman"/>
          <w:sz w:val="24"/>
          <w:szCs w:val="24"/>
        </w:rPr>
        <w:t>1</w:t>
      </w:r>
      <w:r w:rsidR="007A5F56">
        <w:rPr>
          <w:rFonts w:ascii="Baskerville Old Face" w:hAnsi="Baskerville Old Face" w:cs="Times New Roman"/>
          <w:sz w:val="24"/>
          <w:szCs w:val="24"/>
        </w:rPr>
        <w:t>4</w:t>
      </w:r>
      <w:r w:rsidRPr="00F860D3">
        <w:rPr>
          <w:rFonts w:ascii="Baskerville Old Face" w:hAnsi="Baskerville Old Face" w:cs="Times New Roman"/>
          <w:sz w:val="24"/>
          <w:szCs w:val="24"/>
        </w:rPr>
        <w:t xml:space="preserve">) outlines the number </w:t>
      </w:r>
      <w:r>
        <w:rPr>
          <w:rFonts w:ascii="Baskerville Old Face" w:hAnsi="Baskerville Old Face" w:cs="Times New Roman"/>
          <w:sz w:val="24"/>
          <w:szCs w:val="24"/>
        </w:rPr>
        <w:t xml:space="preserve">of </w:t>
      </w:r>
      <w:r w:rsidRPr="00F860D3">
        <w:rPr>
          <w:rFonts w:ascii="Baskerville Old Face" w:hAnsi="Baskerville Old Face" w:cs="Times New Roman"/>
          <w:sz w:val="24"/>
          <w:szCs w:val="24"/>
        </w:rPr>
        <w:t>planned DTD audits for the fiscal year 2023. A total of 577 audits were scheduled, comprising 507 field audits and 70 desk audits or issue-specific audits, the determination of which rested with the Senior Director of the DTD. Notably, the MTO was tasked with auditing the largest number of taxpayers, amounting to 352 entities. The actual number of audits completed in 2022 amounted to 330, reflecting a 74.</w:t>
      </w:r>
      <w:r w:rsidR="002D07CC">
        <w:rPr>
          <w:rFonts w:ascii="Baskerville Old Face" w:hAnsi="Baskerville Old Face" w:cs="Times New Roman"/>
          <w:sz w:val="24"/>
          <w:szCs w:val="24"/>
        </w:rPr>
        <w:t>9</w:t>
      </w:r>
      <w:r w:rsidRPr="00F860D3">
        <w:rPr>
          <w:rFonts w:ascii="Baskerville Old Face" w:hAnsi="Baskerville Old Face" w:cs="Times New Roman"/>
          <w:sz w:val="24"/>
          <w:szCs w:val="24"/>
        </w:rPr>
        <w:t>% variance from the planned audits for 2023.</w:t>
      </w:r>
    </w:p>
    <w:p w14:paraId="32CD2837" w14:textId="77777777" w:rsidR="00D27E51" w:rsidRDefault="00D27E51" w:rsidP="0003123A">
      <w:pPr>
        <w:spacing w:line="360" w:lineRule="auto"/>
        <w:jc w:val="both"/>
        <w:rPr>
          <w:rFonts w:ascii="Baskerville Old Face" w:hAnsi="Baskerville Old Face" w:cs="Times New Roman"/>
          <w:sz w:val="24"/>
          <w:szCs w:val="24"/>
        </w:rPr>
      </w:pPr>
    </w:p>
    <w:p w14:paraId="43BC99E5" w14:textId="77777777" w:rsidR="00D27E51" w:rsidRDefault="00D27E51" w:rsidP="0003123A">
      <w:pPr>
        <w:spacing w:line="360" w:lineRule="auto"/>
        <w:jc w:val="both"/>
        <w:rPr>
          <w:rFonts w:ascii="Baskerville Old Face" w:hAnsi="Baskerville Old Face" w:cs="Times New Roman"/>
          <w:sz w:val="24"/>
          <w:szCs w:val="24"/>
        </w:rPr>
      </w:pPr>
    </w:p>
    <w:p w14:paraId="12683450" w14:textId="77777777" w:rsidR="00D27E51" w:rsidRDefault="00D27E51" w:rsidP="0003123A">
      <w:pPr>
        <w:spacing w:line="360" w:lineRule="auto"/>
        <w:jc w:val="both"/>
        <w:rPr>
          <w:rFonts w:ascii="Baskerville Old Face" w:hAnsi="Baskerville Old Face" w:cs="Times New Roman"/>
          <w:sz w:val="24"/>
          <w:szCs w:val="24"/>
        </w:rPr>
      </w:pPr>
    </w:p>
    <w:p w14:paraId="2E249EFA" w14:textId="77777777" w:rsidR="00D27E51" w:rsidRDefault="00D27E51" w:rsidP="0003123A">
      <w:pPr>
        <w:spacing w:line="360" w:lineRule="auto"/>
        <w:jc w:val="both"/>
        <w:rPr>
          <w:rFonts w:ascii="Baskerville Old Face" w:hAnsi="Baskerville Old Face" w:cs="Times New Roman"/>
          <w:sz w:val="24"/>
          <w:szCs w:val="24"/>
        </w:rPr>
      </w:pPr>
    </w:p>
    <w:p w14:paraId="68BF8522" w14:textId="57133B9E" w:rsidR="0003123A" w:rsidRPr="009326B6" w:rsidRDefault="0003123A" w:rsidP="0003123A">
      <w:pPr>
        <w:spacing w:line="240" w:lineRule="auto"/>
        <w:jc w:val="both"/>
        <w:rPr>
          <w:rFonts w:ascii="Baskerville Old Face" w:hAnsi="Baskerville Old Face" w:cs="Times New Roman"/>
          <w:b/>
          <w:bCs/>
          <w:i/>
          <w:iCs/>
          <w:sz w:val="24"/>
          <w:szCs w:val="24"/>
        </w:rPr>
      </w:pPr>
      <w:bookmarkStart w:id="75" w:name="Table14"/>
      <w:r w:rsidRPr="002D07CC">
        <w:rPr>
          <w:rFonts w:ascii="Baskerville Old Face" w:hAnsi="Baskerville Old Face" w:cs="Times New Roman"/>
          <w:b/>
          <w:bCs/>
          <w:i/>
          <w:iCs/>
          <w:sz w:val="24"/>
          <w:szCs w:val="24"/>
        </w:rPr>
        <w:lastRenderedPageBreak/>
        <w:t xml:space="preserve">Table </w:t>
      </w:r>
      <w:r w:rsidR="002D07CC" w:rsidRPr="002D07CC">
        <w:rPr>
          <w:rFonts w:ascii="Baskerville Old Face" w:hAnsi="Baskerville Old Face" w:cs="Times New Roman"/>
          <w:b/>
          <w:bCs/>
          <w:i/>
          <w:iCs/>
          <w:sz w:val="24"/>
          <w:szCs w:val="24"/>
        </w:rPr>
        <w:t>1</w:t>
      </w:r>
      <w:r w:rsidR="007A5F56">
        <w:rPr>
          <w:rFonts w:ascii="Baskerville Old Face" w:hAnsi="Baskerville Old Face" w:cs="Times New Roman"/>
          <w:b/>
          <w:bCs/>
          <w:i/>
          <w:iCs/>
          <w:sz w:val="24"/>
          <w:szCs w:val="24"/>
        </w:rPr>
        <w:t>4</w:t>
      </w:r>
      <w:r w:rsidRPr="009326B6">
        <w:rPr>
          <w:rFonts w:ascii="Baskerville Old Face" w:hAnsi="Baskerville Old Face" w:cs="Times New Roman"/>
          <w:b/>
          <w:bCs/>
          <w:i/>
          <w:iCs/>
          <w:sz w:val="24"/>
          <w:szCs w:val="24"/>
        </w:rPr>
        <w:t xml:space="preserve">: </w:t>
      </w:r>
      <w:r w:rsidR="00136FFF">
        <w:rPr>
          <w:rFonts w:ascii="Baskerville Old Face" w:hAnsi="Baskerville Old Face" w:cs="Times New Roman"/>
          <w:b/>
          <w:bCs/>
          <w:i/>
          <w:iCs/>
          <w:sz w:val="24"/>
          <w:szCs w:val="24"/>
        </w:rPr>
        <w:t xml:space="preserve">DTD </w:t>
      </w:r>
      <w:r w:rsidRPr="009326B6">
        <w:rPr>
          <w:rFonts w:ascii="Baskerville Old Face" w:hAnsi="Baskerville Old Face" w:cs="Times New Roman"/>
          <w:b/>
          <w:bCs/>
          <w:i/>
          <w:iCs/>
          <w:sz w:val="24"/>
          <w:szCs w:val="24"/>
        </w:rPr>
        <w:t>Planned Tax Audit 2023</w:t>
      </w:r>
    </w:p>
    <w:tbl>
      <w:tblPr>
        <w:tblStyle w:val="GridTable4-Accent2"/>
        <w:tblW w:w="9445" w:type="dxa"/>
        <w:tblLook w:val="04A0" w:firstRow="1" w:lastRow="0" w:firstColumn="1" w:lastColumn="0" w:noHBand="0" w:noVBand="1"/>
      </w:tblPr>
      <w:tblGrid>
        <w:gridCol w:w="4876"/>
        <w:gridCol w:w="1149"/>
        <w:gridCol w:w="1166"/>
        <w:gridCol w:w="1106"/>
        <w:gridCol w:w="1148"/>
      </w:tblGrid>
      <w:tr w:rsidR="0003123A" w:rsidRPr="009326B6" w14:paraId="3B0DC5BD" w14:textId="77777777" w:rsidTr="00A6675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76" w:type="dxa"/>
            <w:noWrap/>
            <w:hideMark/>
          </w:tcPr>
          <w:bookmarkEnd w:id="75"/>
          <w:p w14:paraId="166355ED" w14:textId="77777777" w:rsidR="0003123A" w:rsidRPr="009326B6" w:rsidRDefault="0003123A" w:rsidP="00D94D02">
            <w:pPr>
              <w:rPr>
                <w:rFonts w:ascii="Baskerville Old Face" w:hAnsi="Baskerville Old Face" w:cs="Times New Roman"/>
                <w:sz w:val="24"/>
                <w:szCs w:val="24"/>
              </w:rPr>
            </w:pPr>
            <w:r w:rsidRPr="009326B6">
              <w:rPr>
                <w:rFonts w:ascii="Baskerville Old Face" w:hAnsi="Baskerville Old Face" w:cs="Times New Roman"/>
                <w:sz w:val="24"/>
                <w:szCs w:val="24"/>
              </w:rPr>
              <w:t>AUDIT</w:t>
            </w:r>
          </w:p>
        </w:tc>
        <w:tc>
          <w:tcPr>
            <w:tcW w:w="1149" w:type="dxa"/>
            <w:noWrap/>
            <w:hideMark/>
          </w:tcPr>
          <w:p w14:paraId="7BE42023"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LTO</w:t>
            </w:r>
          </w:p>
        </w:tc>
        <w:tc>
          <w:tcPr>
            <w:tcW w:w="1166" w:type="dxa"/>
            <w:noWrap/>
            <w:hideMark/>
          </w:tcPr>
          <w:p w14:paraId="79B1E402"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MTO</w:t>
            </w:r>
          </w:p>
        </w:tc>
        <w:tc>
          <w:tcPr>
            <w:tcW w:w="1106" w:type="dxa"/>
            <w:noWrap/>
            <w:hideMark/>
          </w:tcPr>
          <w:p w14:paraId="38852653"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EIRU</w:t>
            </w:r>
          </w:p>
        </w:tc>
        <w:tc>
          <w:tcPr>
            <w:tcW w:w="1148" w:type="dxa"/>
            <w:noWrap/>
            <w:hideMark/>
          </w:tcPr>
          <w:p w14:paraId="671C12E5" w14:textId="77777777" w:rsidR="0003123A" w:rsidRPr="009326B6" w:rsidRDefault="0003123A" w:rsidP="00D94D02">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TOTAL</w:t>
            </w:r>
          </w:p>
        </w:tc>
      </w:tr>
      <w:tr w:rsidR="0003123A" w:rsidRPr="009326B6" w14:paraId="377B9879" w14:textId="77777777" w:rsidTr="00A667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76" w:type="dxa"/>
            <w:noWrap/>
            <w:hideMark/>
          </w:tcPr>
          <w:p w14:paraId="1A67C8BE" w14:textId="77777777" w:rsidR="0003123A" w:rsidRPr="00E4183B" w:rsidRDefault="0003123A" w:rsidP="00D94D02">
            <w:pPr>
              <w:rPr>
                <w:rFonts w:ascii="Baskerville Old Face" w:hAnsi="Baskerville Old Face" w:cs="Times New Roman"/>
                <w:b w:val="0"/>
                <w:bCs w:val="0"/>
                <w:sz w:val="24"/>
                <w:szCs w:val="24"/>
              </w:rPr>
            </w:pPr>
            <w:r w:rsidRPr="00E4183B">
              <w:rPr>
                <w:rFonts w:ascii="Baskerville Old Face" w:hAnsi="Baskerville Old Face" w:cs="Times New Roman"/>
                <w:b w:val="0"/>
                <w:bCs w:val="0"/>
                <w:sz w:val="24"/>
                <w:szCs w:val="24"/>
              </w:rPr>
              <w:t xml:space="preserve">Number of field audits to be completed </w:t>
            </w:r>
          </w:p>
        </w:tc>
        <w:tc>
          <w:tcPr>
            <w:tcW w:w="1149" w:type="dxa"/>
            <w:noWrap/>
            <w:hideMark/>
          </w:tcPr>
          <w:p w14:paraId="1A8CD5C7"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136</w:t>
            </w:r>
          </w:p>
        </w:tc>
        <w:tc>
          <w:tcPr>
            <w:tcW w:w="1166" w:type="dxa"/>
            <w:noWrap/>
            <w:hideMark/>
          </w:tcPr>
          <w:p w14:paraId="27F1E1FA"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322</w:t>
            </w:r>
          </w:p>
        </w:tc>
        <w:tc>
          <w:tcPr>
            <w:tcW w:w="1106" w:type="dxa"/>
            <w:noWrap/>
            <w:hideMark/>
          </w:tcPr>
          <w:p w14:paraId="0576ED85"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49</w:t>
            </w:r>
          </w:p>
        </w:tc>
        <w:tc>
          <w:tcPr>
            <w:tcW w:w="1148" w:type="dxa"/>
            <w:noWrap/>
            <w:hideMark/>
          </w:tcPr>
          <w:p w14:paraId="3E82B58C"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9326B6">
              <w:rPr>
                <w:rFonts w:ascii="Baskerville Old Face" w:hAnsi="Baskerville Old Face" w:cs="Times New Roman"/>
                <w:b/>
                <w:bCs/>
                <w:sz w:val="24"/>
                <w:szCs w:val="24"/>
              </w:rPr>
              <w:t>507</w:t>
            </w:r>
          </w:p>
        </w:tc>
      </w:tr>
      <w:tr w:rsidR="0003123A" w:rsidRPr="009326B6" w14:paraId="3484DC84" w14:textId="77777777" w:rsidTr="00A6675A">
        <w:trPr>
          <w:trHeight w:val="312"/>
        </w:trPr>
        <w:tc>
          <w:tcPr>
            <w:cnfStyle w:val="001000000000" w:firstRow="0" w:lastRow="0" w:firstColumn="1" w:lastColumn="0" w:oddVBand="0" w:evenVBand="0" w:oddHBand="0" w:evenHBand="0" w:firstRowFirstColumn="0" w:firstRowLastColumn="0" w:lastRowFirstColumn="0" w:lastRowLastColumn="0"/>
            <w:tcW w:w="4876" w:type="dxa"/>
            <w:noWrap/>
            <w:hideMark/>
          </w:tcPr>
          <w:p w14:paraId="1B9520EB" w14:textId="77777777" w:rsidR="0003123A" w:rsidRPr="00EF5CEC" w:rsidRDefault="0003123A" w:rsidP="00D94D02">
            <w:pPr>
              <w:rPr>
                <w:rFonts w:ascii="Baskerville Old Face" w:hAnsi="Baskerville Old Face" w:cs="Times New Roman"/>
                <w:b w:val="0"/>
                <w:bCs w:val="0"/>
                <w:sz w:val="24"/>
                <w:szCs w:val="24"/>
              </w:rPr>
            </w:pPr>
            <w:r>
              <w:rPr>
                <w:rFonts w:ascii="Baskerville Old Face" w:hAnsi="Baskerville Old Face" w:cs="Times New Roman"/>
                <w:b w:val="0"/>
                <w:bCs w:val="0"/>
                <w:sz w:val="24"/>
                <w:szCs w:val="24"/>
              </w:rPr>
              <w:t>Desk audit/</w:t>
            </w:r>
            <w:r w:rsidRPr="00EF5CEC">
              <w:rPr>
                <w:rFonts w:ascii="Baskerville Old Face" w:hAnsi="Baskerville Old Face" w:cs="Times New Roman"/>
                <w:b w:val="0"/>
                <w:bCs w:val="0"/>
                <w:sz w:val="24"/>
                <w:szCs w:val="24"/>
              </w:rPr>
              <w:t>Issue audit/specific audit (To be approved by the Snr. Commissioner of DTD)</w:t>
            </w:r>
          </w:p>
        </w:tc>
        <w:tc>
          <w:tcPr>
            <w:tcW w:w="1149" w:type="dxa"/>
            <w:noWrap/>
            <w:hideMark/>
          </w:tcPr>
          <w:p w14:paraId="431C8B5F"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30</w:t>
            </w:r>
          </w:p>
        </w:tc>
        <w:tc>
          <w:tcPr>
            <w:tcW w:w="1166" w:type="dxa"/>
            <w:noWrap/>
            <w:hideMark/>
          </w:tcPr>
          <w:p w14:paraId="391B9799"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30</w:t>
            </w:r>
          </w:p>
        </w:tc>
        <w:tc>
          <w:tcPr>
            <w:tcW w:w="1106" w:type="dxa"/>
            <w:noWrap/>
            <w:hideMark/>
          </w:tcPr>
          <w:p w14:paraId="7293AB7C"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9326B6">
              <w:rPr>
                <w:rFonts w:ascii="Baskerville Old Face" w:hAnsi="Baskerville Old Face" w:cs="Times New Roman"/>
                <w:sz w:val="24"/>
                <w:szCs w:val="24"/>
              </w:rPr>
              <w:t>10</w:t>
            </w:r>
          </w:p>
        </w:tc>
        <w:tc>
          <w:tcPr>
            <w:tcW w:w="1148" w:type="dxa"/>
            <w:noWrap/>
            <w:hideMark/>
          </w:tcPr>
          <w:p w14:paraId="2626AB42" w14:textId="77777777" w:rsidR="0003123A" w:rsidRPr="009326B6"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r w:rsidRPr="009326B6">
              <w:rPr>
                <w:rFonts w:ascii="Baskerville Old Face" w:hAnsi="Baskerville Old Face" w:cs="Times New Roman"/>
                <w:b/>
                <w:bCs/>
                <w:sz w:val="24"/>
                <w:szCs w:val="24"/>
              </w:rPr>
              <w:t>70</w:t>
            </w:r>
          </w:p>
        </w:tc>
      </w:tr>
      <w:tr w:rsidR="0003123A" w:rsidRPr="009326B6" w14:paraId="18786831" w14:textId="77777777" w:rsidTr="00A667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76" w:type="dxa"/>
            <w:noWrap/>
            <w:hideMark/>
          </w:tcPr>
          <w:p w14:paraId="680C901D" w14:textId="77777777" w:rsidR="0003123A" w:rsidRPr="00EF5CEC" w:rsidRDefault="0003123A" w:rsidP="00D94D02">
            <w:pPr>
              <w:rPr>
                <w:rFonts w:ascii="Baskerville Old Face" w:hAnsi="Baskerville Old Face" w:cs="Times New Roman"/>
                <w:b w:val="0"/>
                <w:bCs w:val="0"/>
                <w:sz w:val="24"/>
                <w:szCs w:val="24"/>
              </w:rPr>
            </w:pPr>
            <w:r w:rsidRPr="00EF5CEC">
              <w:rPr>
                <w:rFonts w:ascii="Baskerville Old Face" w:hAnsi="Baskerville Old Face" w:cs="Times New Roman"/>
                <w:b w:val="0"/>
                <w:bCs w:val="0"/>
                <w:sz w:val="24"/>
                <w:szCs w:val="24"/>
              </w:rPr>
              <w:t>Total audit to be completed in 2023</w:t>
            </w:r>
          </w:p>
        </w:tc>
        <w:tc>
          <w:tcPr>
            <w:tcW w:w="1149" w:type="dxa"/>
            <w:noWrap/>
            <w:hideMark/>
          </w:tcPr>
          <w:p w14:paraId="45019269" w14:textId="77777777" w:rsidR="0003123A" w:rsidRPr="00A22F4C"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A22F4C">
              <w:rPr>
                <w:rFonts w:ascii="Baskerville Old Face" w:hAnsi="Baskerville Old Face" w:cs="Times New Roman"/>
                <w:b/>
                <w:bCs/>
                <w:sz w:val="24"/>
                <w:szCs w:val="24"/>
              </w:rPr>
              <w:t>166</w:t>
            </w:r>
          </w:p>
        </w:tc>
        <w:tc>
          <w:tcPr>
            <w:tcW w:w="1166" w:type="dxa"/>
            <w:noWrap/>
            <w:hideMark/>
          </w:tcPr>
          <w:p w14:paraId="685A92DE" w14:textId="77777777" w:rsidR="0003123A" w:rsidRPr="00A22F4C"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A22F4C">
              <w:rPr>
                <w:rFonts w:ascii="Baskerville Old Face" w:hAnsi="Baskerville Old Face" w:cs="Times New Roman"/>
                <w:b/>
                <w:bCs/>
                <w:sz w:val="24"/>
                <w:szCs w:val="24"/>
              </w:rPr>
              <w:t>352</w:t>
            </w:r>
          </w:p>
        </w:tc>
        <w:tc>
          <w:tcPr>
            <w:tcW w:w="1106" w:type="dxa"/>
            <w:noWrap/>
            <w:hideMark/>
          </w:tcPr>
          <w:p w14:paraId="75C14ED9" w14:textId="77777777" w:rsidR="0003123A" w:rsidRPr="00A22F4C"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A22F4C">
              <w:rPr>
                <w:rFonts w:ascii="Baskerville Old Face" w:hAnsi="Baskerville Old Face" w:cs="Times New Roman"/>
                <w:b/>
                <w:bCs/>
                <w:sz w:val="24"/>
                <w:szCs w:val="24"/>
              </w:rPr>
              <w:t>59</w:t>
            </w:r>
          </w:p>
        </w:tc>
        <w:tc>
          <w:tcPr>
            <w:tcW w:w="1148" w:type="dxa"/>
            <w:noWrap/>
            <w:hideMark/>
          </w:tcPr>
          <w:p w14:paraId="13FAD2DF" w14:textId="77777777" w:rsidR="0003123A" w:rsidRPr="009326B6" w:rsidRDefault="0003123A" w:rsidP="00D94D02">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9326B6">
              <w:rPr>
                <w:rFonts w:ascii="Baskerville Old Face" w:hAnsi="Baskerville Old Face" w:cs="Times New Roman"/>
                <w:b/>
                <w:bCs/>
                <w:sz w:val="24"/>
                <w:szCs w:val="24"/>
              </w:rPr>
              <w:t>577</w:t>
            </w:r>
          </w:p>
        </w:tc>
      </w:tr>
      <w:tr w:rsidR="0003123A" w:rsidRPr="009326B6" w14:paraId="5D18CBFC" w14:textId="77777777" w:rsidTr="00A6675A">
        <w:trPr>
          <w:trHeight w:val="324"/>
        </w:trPr>
        <w:tc>
          <w:tcPr>
            <w:cnfStyle w:val="001000000000" w:firstRow="0" w:lastRow="0" w:firstColumn="1" w:lastColumn="0" w:oddVBand="0" w:evenVBand="0" w:oddHBand="0" w:evenHBand="0" w:firstRowFirstColumn="0" w:firstRowLastColumn="0" w:lastRowFirstColumn="0" w:lastRowLastColumn="0"/>
            <w:tcW w:w="4876" w:type="dxa"/>
            <w:noWrap/>
            <w:hideMark/>
          </w:tcPr>
          <w:p w14:paraId="5E41D599" w14:textId="77777777" w:rsidR="0003123A" w:rsidRPr="00EF5CEC" w:rsidRDefault="0003123A" w:rsidP="00D94D02">
            <w:pPr>
              <w:rPr>
                <w:rFonts w:ascii="Baskerville Old Face" w:hAnsi="Baskerville Old Face" w:cs="Times New Roman"/>
                <w:b w:val="0"/>
                <w:bCs w:val="0"/>
                <w:sz w:val="24"/>
                <w:szCs w:val="24"/>
              </w:rPr>
            </w:pPr>
            <w:r w:rsidRPr="00EF5CEC">
              <w:rPr>
                <w:rFonts w:ascii="Baskerville Old Face" w:hAnsi="Baskerville Old Face" w:cs="Times New Roman"/>
                <w:b w:val="0"/>
                <w:bCs w:val="0"/>
                <w:sz w:val="24"/>
                <w:szCs w:val="24"/>
              </w:rPr>
              <w:t>Total field audit completed in 2022</w:t>
            </w:r>
          </w:p>
        </w:tc>
        <w:tc>
          <w:tcPr>
            <w:tcW w:w="1149" w:type="dxa"/>
            <w:noWrap/>
            <w:hideMark/>
          </w:tcPr>
          <w:p w14:paraId="1EAC3875"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1D6D9D">
              <w:rPr>
                <w:rFonts w:ascii="Baskerville Old Face" w:hAnsi="Baskerville Old Face" w:cs="Times New Roman"/>
                <w:sz w:val="24"/>
                <w:szCs w:val="24"/>
              </w:rPr>
              <w:t>150</w:t>
            </w:r>
          </w:p>
        </w:tc>
        <w:tc>
          <w:tcPr>
            <w:tcW w:w="1166" w:type="dxa"/>
            <w:noWrap/>
            <w:hideMark/>
          </w:tcPr>
          <w:p w14:paraId="4FFEAD3B"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1D6D9D">
              <w:rPr>
                <w:rFonts w:ascii="Baskerville Old Face" w:hAnsi="Baskerville Old Face" w:cs="Times New Roman"/>
                <w:sz w:val="24"/>
                <w:szCs w:val="24"/>
              </w:rPr>
              <w:t>150</w:t>
            </w:r>
          </w:p>
        </w:tc>
        <w:tc>
          <w:tcPr>
            <w:tcW w:w="1106" w:type="dxa"/>
            <w:noWrap/>
            <w:hideMark/>
          </w:tcPr>
          <w:p w14:paraId="78488A45"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1D6D9D">
              <w:rPr>
                <w:rFonts w:ascii="Baskerville Old Face" w:hAnsi="Baskerville Old Face" w:cs="Times New Roman"/>
                <w:sz w:val="24"/>
                <w:szCs w:val="24"/>
              </w:rPr>
              <w:t>30</w:t>
            </w:r>
          </w:p>
        </w:tc>
        <w:tc>
          <w:tcPr>
            <w:tcW w:w="1148" w:type="dxa"/>
            <w:noWrap/>
            <w:hideMark/>
          </w:tcPr>
          <w:p w14:paraId="11ED711B" w14:textId="77777777" w:rsidR="0003123A" w:rsidRPr="001D6D9D" w:rsidRDefault="0003123A" w:rsidP="00D94D0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sz w:val="24"/>
                <w:szCs w:val="24"/>
              </w:rPr>
            </w:pPr>
            <w:r w:rsidRPr="001D6D9D">
              <w:rPr>
                <w:rFonts w:ascii="Baskerville Old Face" w:hAnsi="Baskerville Old Face" w:cs="Times New Roman"/>
                <w:b/>
                <w:bCs/>
                <w:sz w:val="24"/>
                <w:szCs w:val="24"/>
              </w:rPr>
              <w:t>330</w:t>
            </w:r>
          </w:p>
        </w:tc>
      </w:tr>
    </w:tbl>
    <w:p w14:paraId="1B565EB6" w14:textId="77777777" w:rsidR="0003123A" w:rsidRPr="00BD27B1" w:rsidRDefault="0003123A" w:rsidP="0003123A">
      <w:pPr>
        <w:rPr>
          <w:rFonts w:ascii="Baskerville Old Face" w:hAnsi="Baskerville Old Face" w:cs="Times New Roman"/>
          <w:i/>
          <w:iCs/>
          <w:sz w:val="20"/>
          <w:szCs w:val="20"/>
        </w:rPr>
      </w:pPr>
      <w:r w:rsidRPr="00BD27B1">
        <w:rPr>
          <w:rFonts w:ascii="Baskerville Old Face" w:hAnsi="Baskerville Old Face" w:cs="Times New Roman"/>
          <w:i/>
          <w:iCs/>
          <w:sz w:val="20"/>
          <w:szCs w:val="20"/>
        </w:rPr>
        <w:t>Source: DTD</w:t>
      </w:r>
    </w:p>
    <w:p w14:paraId="4DED8C88" w14:textId="77777777" w:rsidR="002025CE" w:rsidRDefault="002025CE" w:rsidP="008C5C22">
      <w:pPr>
        <w:pStyle w:val="Heading3"/>
      </w:pPr>
      <w:bookmarkStart w:id="76" w:name="_Hlk159703467"/>
    </w:p>
    <w:p w14:paraId="5B7C2FA0" w14:textId="1BB01A4C" w:rsidR="0003123A" w:rsidRPr="00931A25" w:rsidRDefault="0003123A" w:rsidP="008C5C22">
      <w:pPr>
        <w:pStyle w:val="Heading3"/>
      </w:pPr>
      <w:bookmarkStart w:id="77" w:name="_Toc198205705"/>
      <w:r w:rsidRPr="00931A25">
        <w:t xml:space="preserve">LTO Completed Tax Audit </w:t>
      </w:r>
      <w:r w:rsidR="00C917BD" w:rsidRPr="00931A25">
        <w:t xml:space="preserve">and Liability </w:t>
      </w:r>
      <w:r w:rsidRPr="00931A25">
        <w:t>2023 and 2022</w:t>
      </w:r>
      <w:bookmarkEnd w:id="77"/>
    </w:p>
    <w:p w14:paraId="14149009" w14:textId="31EE65E9" w:rsidR="00682966" w:rsidRDefault="00076196" w:rsidP="00493455">
      <w:pPr>
        <w:spacing w:line="360" w:lineRule="auto"/>
        <w:jc w:val="both"/>
        <w:rPr>
          <w:rFonts w:ascii="Baskerville Old Face" w:hAnsi="Baskerville Old Face" w:cs="Times New Roman"/>
          <w:sz w:val="24"/>
          <w:szCs w:val="24"/>
        </w:rPr>
      </w:pPr>
      <w:bookmarkStart w:id="78" w:name="_Hlk159703795"/>
      <w:bookmarkEnd w:id="76"/>
      <w:r w:rsidRPr="002D07CC">
        <w:rPr>
          <w:rFonts w:ascii="Baskerville Old Face" w:hAnsi="Baskerville Old Face" w:cs="Times New Roman"/>
          <w:sz w:val="24"/>
          <w:szCs w:val="24"/>
        </w:rPr>
        <w:t xml:space="preserve">Table </w:t>
      </w:r>
      <w:r w:rsidR="002D07CC">
        <w:rPr>
          <w:rFonts w:ascii="Baskerville Old Face" w:hAnsi="Baskerville Old Face" w:cs="Times New Roman"/>
          <w:sz w:val="24"/>
          <w:szCs w:val="24"/>
        </w:rPr>
        <w:t>1</w:t>
      </w:r>
      <w:r w:rsidR="007A5F56">
        <w:rPr>
          <w:rFonts w:ascii="Baskerville Old Face" w:hAnsi="Baskerville Old Face" w:cs="Times New Roman"/>
          <w:sz w:val="24"/>
          <w:szCs w:val="24"/>
        </w:rPr>
        <w:t>5</w:t>
      </w:r>
      <w:r w:rsidRPr="00076196">
        <w:rPr>
          <w:rFonts w:ascii="Baskerville Old Face" w:hAnsi="Baskerville Old Face" w:cs="Times New Roman"/>
          <w:sz w:val="24"/>
          <w:szCs w:val="24"/>
        </w:rPr>
        <w:t xml:space="preserve"> illustrates the tax audit liabilities </w:t>
      </w:r>
      <w:proofErr w:type="spellStart"/>
      <w:r w:rsidRPr="00076196">
        <w:rPr>
          <w:rFonts w:ascii="Baskerville Old Face" w:hAnsi="Baskerville Old Face" w:cs="Times New Roman"/>
          <w:sz w:val="24"/>
          <w:szCs w:val="24"/>
        </w:rPr>
        <w:t>categori</w:t>
      </w:r>
      <w:r w:rsidR="00553A9C">
        <w:rPr>
          <w:rFonts w:ascii="Baskerville Old Face" w:hAnsi="Baskerville Old Face" w:cs="Times New Roman"/>
          <w:sz w:val="24"/>
          <w:szCs w:val="24"/>
        </w:rPr>
        <w:t>s</w:t>
      </w:r>
      <w:r w:rsidRPr="00076196">
        <w:rPr>
          <w:rFonts w:ascii="Baskerville Old Face" w:hAnsi="Baskerville Old Face" w:cs="Times New Roman"/>
          <w:sz w:val="24"/>
          <w:szCs w:val="24"/>
        </w:rPr>
        <w:t>ed</w:t>
      </w:r>
      <w:proofErr w:type="spellEnd"/>
      <w:r w:rsidRPr="00076196">
        <w:rPr>
          <w:rFonts w:ascii="Baskerville Old Face" w:hAnsi="Baskerville Old Face" w:cs="Times New Roman"/>
          <w:sz w:val="24"/>
          <w:szCs w:val="24"/>
        </w:rPr>
        <w:t xml:space="preserve"> by tax type, along with the number of audits conducted and taxpayers audited in 2023 and 2022. In 2023, a total of 96 audits were completed, involving 88 taxpayers, as opposed to 102 completed audits and 97 audited taxpayers in 2022. The number of completed audits in 2023 fell short of the targeted audits by 70 and show a decrease of 6 taxpayers audited compared to the previous year. The LTO Audit Unit identified a total combined tax liability of NLe 53.596 million for 2023, in contrast to NLe 28.523 million recorded in 2022. Notably, GST tax constituted the highest amount in 2023, followed by corporation tax, penalties, and withholding tax obligations.</w:t>
      </w:r>
    </w:p>
    <w:p w14:paraId="0622F24E" w14:textId="4EB529D2" w:rsidR="00076196" w:rsidRPr="00076196" w:rsidRDefault="00076196" w:rsidP="00076196">
      <w:pPr>
        <w:spacing w:line="240" w:lineRule="auto"/>
        <w:jc w:val="both"/>
        <w:rPr>
          <w:rFonts w:ascii="Baskerville Old Face" w:hAnsi="Baskerville Old Face" w:cs="Times New Roman"/>
          <w:b/>
          <w:bCs/>
          <w:i/>
          <w:iCs/>
          <w:sz w:val="24"/>
          <w:szCs w:val="24"/>
        </w:rPr>
      </w:pPr>
      <w:bookmarkStart w:id="79" w:name="Table15"/>
      <w:r w:rsidRPr="002D07CC">
        <w:rPr>
          <w:rFonts w:ascii="Baskerville Old Face" w:hAnsi="Baskerville Old Face" w:cs="Times New Roman"/>
          <w:b/>
          <w:bCs/>
          <w:i/>
          <w:iCs/>
          <w:sz w:val="24"/>
          <w:szCs w:val="24"/>
        </w:rPr>
        <w:t xml:space="preserve">Table </w:t>
      </w:r>
      <w:r w:rsidR="002D07CC">
        <w:rPr>
          <w:rFonts w:ascii="Baskerville Old Face" w:hAnsi="Baskerville Old Face" w:cs="Times New Roman"/>
          <w:b/>
          <w:bCs/>
          <w:i/>
          <w:iCs/>
          <w:sz w:val="24"/>
          <w:szCs w:val="24"/>
        </w:rPr>
        <w:t>1</w:t>
      </w:r>
      <w:r w:rsidR="007A5F56">
        <w:rPr>
          <w:rFonts w:ascii="Baskerville Old Face" w:hAnsi="Baskerville Old Face" w:cs="Times New Roman"/>
          <w:b/>
          <w:bCs/>
          <w:i/>
          <w:iCs/>
          <w:sz w:val="24"/>
          <w:szCs w:val="24"/>
        </w:rPr>
        <w:t>5</w:t>
      </w:r>
      <w:r w:rsidRPr="00BB1214">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 xml:space="preserve">LTO Tax </w:t>
      </w:r>
      <w:r w:rsidRPr="00BB1214">
        <w:rPr>
          <w:rFonts w:ascii="Baskerville Old Face" w:hAnsi="Baskerville Old Face" w:cs="Times New Roman"/>
          <w:b/>
          <w:bCs/>
          <w:i/>
          <w:iCs/>
          <w:sz w:val="24"/>
          <w:szCs w:val="24"/>
        </w:rPr>
        <w:t xml:space="preserve">Audit </w:t>
      </w:r>
      <w:r>
        <w:rPr>
          <w:rFonts w:ascii="Baskerville Old Face" w:hAnsi="Baskerville Old Face" w:cs="Times New Roman"/>
          <w:b/>
          <w:bCs/>
          <w:i/>
          <w:iCs/>
          <w:sz w:val="24"/>
          <w:szCs w:val="24"/>
        </w:rPr>
        <w:t>Liability</w:t>
      </w:r>
      <w:r w:rsidRPr="00BB1214">
        <w:rPr>
          <w:rFonts w:ascii="Baskerville Old Face" w:hAnsi="Baskerville Old Face" w:cs="Times New Roman"/>
          <w:b/>
          <w:bCs/>
          <w:i/>
          <w:iCs/>
          <w:sz w:val="24"/>
          <w:szCs w:val="24"/>
        </w:rPr>
        <w:t xml:space="preserve"> 202</w:t>
      </w:r>
      <w:r>
        <w:rPr>
          <w:rFonts w:ascii="Baskerville Old Face" w:hAnsi="Baskerville Old Face" w:cs="Times New Roman"/>
          <w:b/>
          <w:bCs/>
          <w:i/>
          <w:iCs/>
          <w:sz w:val="24"/>
          <w:szCs w:val="24"/>
        </w:rPr>
        <w:t>3</w:t>
      </w:r>
      <w:r w:rsidRPr="00BB1214">
        <w:rPr>
          <w:rFonts w:ascii="Baskerville Old Face" w:hAnsi="Baskerville Old Face" w:cs="Times New Roman"/>
          <w:b/>
          <w:bCs/>
          <w:i/>
          <w:iCs/>
          <w:sz w:val="24"/>
          <w:szCs w:val="24"/>
        </w:rPr>
        <w:t xml:space="preserve"> and 2022 in NLe</w:t>
      </w:r>
      <w:r>
        <w:rPr>
          <w:rFonts w:ascii="Baskerville Old Face" w:hAnsi="Baskerville Old Face" w:cs="Times New Roman"/>
          <w:b/>
          <w:bCs/>
          <w:i/>
          <w:iCs/>
          <w:sz w:val="24"/>
          <w:szCs w:val="24"/>
        </w:rPr>
        <w:t xml:space="preserve"> </w:t>
      </w:r>
    </w:p>
    <w:tbl>
      <w:tblPr>
        <w:tblStyle w:val="GridTable4-Accent1"/>
        <w:tblW w:w="0" w:type="auto"/>
        <w:tblLook w:val="04A0" w:firstRow="1" w:lastRow="0" w:firstColumn="1" w:lastColumn="0" w:noHBand="0" w:noVBand="1"/>
      </w:tblPr>
      <w:tblGrid>
        <w:gridCol w:w="5128"/>
        <w:gridCol w:w="2039"/>
        <w:gridCol w:w="2183"/>
      </w:tblGrid>
      <w:tr w:rsidR="001D6D9D" w:rsidRPr="00C81E56" w14:paraId="68DC267C" w14:textId="77777777" w:rsidTr="001D6D9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bookmarkEnd w:id="79"/>
          <w:p w14:paraId="08A7E1B0" w14:textId="77777777" w:rsidR="00682966" w:rsidRPr="00B65276" w:rsidRDefault="00682966">
            <w:pPr>
              <w:rPr>
                <w:rFonts w:ascii="Baskerville Old Face" w:hAnsi="Baskerville Old Face" w:cs="Times New Roman"/>
                <w:color w:val="auto"/>
              </w:rPr>
            </w:pPr>
            <w:r w:rsidRPr="00B65276">
              <w:rPr>
                <w:rFonts w:ascii="Baskerville Old Face" w:hAnsi="Baskerville Old Face" w:cs="Times New Roman"/>
                <w:color w:val="auto"/>
              </w:rPr>
              <w:t>LTO Audit Liability</w:t>
            </w:r>
          </w:p>
        </w:tc>
        <w:tc>
          <w:tcPr>
            <w:tcW w:w="2039" w:type="dxa"/>
            <w:noWrap/>
            <w:hideMark/>
          </w:tcPr>
          <w:p w14:paraId="2B89C94C" w14:textId="77777777" w:rsidR="00682966" w:rsidRPr="00B65276" w:rsidRDefault="00682966" w:rsidP="001D6D9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65276">
              <w:rPr>
                <w:rFonts w:ascii="Baskerville Old Face" w:hAnsi="Baskerville Old Face" w:cs="Times New Roman"/>
                <w:color w:val="auto"/>
              </w:rPr>
              <w:t>2023</w:t>
            </w:r>
          </w:p>
        </w:tc>
        <w:tc>
          <w:tcPr>
            <w:tcW w:w="2183" w:type="dxa"/>
            <w:noWrap/>
            <w:hideMark/>
          </w:tcPr>
          <w:p w14:paraId="5FFC3077" w14:textId="77777777" w:rsidR="00682966" w:rsidRPr="00C81E56" w:rsidRDefault="00682966" w:rsidP="001D6D9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color w:val="auto"/>
              </w:rPr>
              <w:t>2022</w:t>
            </w:r>
          </w:p>
        </w:tc>
      </w:tr>
      <w:tr w:rsidR="001D6D9D" w:rsidRPr="00C81E56" w14:paraId="77FD33EC"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60BD5A68" w14:textId="77777777" w:rsidR="001D6D9D" w:rsidRPr="00C81E56" w:rsidRDefault="001D6D9D" w:rsidP="001D6D9D">
            <w:pPr>
              <w:rPr>
                <w:rFonts w:ascii="Baskerville Old Face" w:hAnsi="Baskerville Old Face" w:cs="Times New Roman"/>
                <w:b w:val="0"/>
                <w:bCs w:val="0"/>
              </w:rPr>
            </w:pPr>
            <w:r w:rsidRPr="00C81E56">
              <w:rPr>
                <w:rFonts w:ascii="Baskerville Old Face" w:hAnsi="Baskerville Old Face" w:cs="Times New Roman"/>
                <w:b w:val="0"/>
                <w:bCs w:val="0"/>
              </w:rPr>
              <w:t>Corporation Tax</w:t>
            </w:r>
          </w:p>
        </w:tc>
        <w:tc>
          <w:tcPr>
            <w:tcW w:w="2039" w:type="dxa"/>
            <w:noWrap/>
            <w:hideMark/>
          </w:tcPr>
          <w:p w14:paraId="5B422F2E" w14:textId="77B4CCA0"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14,551,735</w:t>
            </w:r>
          </w:p>
        </w:tc>
        <w:tc>
          <w:tcPr>
            <w:tcW w:w="2183" w:type="dxa"/>
            <w:noWrap/>
            <w:hideMark/>
          </w:tcPr>
          <w:p w14:paraId="1518EB07" w14:textId="6E1B00E5"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(4,696,957)</w:t>
            </w:r>
          </w:p>
        </w:tc>
      </w:tr>
      <w:tr w:rsidR="001D6D9D" w:rsidRPr="00C81E56" w14:paraId="7026C69E"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47BDD068"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Personal Income Tax</w:t>
            </w:r>
          </w:p>
        </w:tc>
        <w:tc>
          <w:tcPr>
            <w:tcW w:w="2039" w:type="dxa"/>
            <w:noWrap/>
            <w:hideMark/>
          </w:tcPr>
          <w:p w14:paraId="57F1005E" w14:textId="6299AC0B"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545,438</w:t>
            </w:r>
          </w:p>
        </w:tc>
        <w:tc>
          <w:tcPr>
            <w:tcW w:w="2183" w:type="dxa"/>
            <w:noWrap/>
            <w:hideMark/>
          </w:tcPr>
          <w:p w14:paraId="53A80724" w14:textId="48CF73D6"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540,813</w:t>
            </w:r>
          </w:p>
        </w:tc>
      </w:tr>
      <w:tr w:rsidR="001D6D9D" w:rsidRPr="00C81E56" w14:paraId="3F048419"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1A9E93BC" w14:textId="58C59910" w:rsidR="001D6D9D" w:rsidRPr="00551C06" w:rsidRDefault="00C81E56" w:rsidP="001D6D9D">
            <w:pPr>
              <w:rPr>
                <w:rFonts w:ascii="Baskerville Old Face" w:hAnsi="Baskerville Old Face" w:cs="Times New Roman"/>
                <w:b w:val="0"/>
                <w:bCs w:val="0"/>
              </w:rPr>
            </w:pPr>
            <w:r w:rsidRPr="00551C06">
              <w:rPr>
                <w:rFonts w:ascii="Baskerville Old Face" w:hAnsi="Baskerville Old Face" w:cs="Times New Roman"/>
                <w:b w:val="0"/>
                <w:bCs w:val="0"/>
              </w:rPr>
              <w:t>Withholding Tax</w:t>
            </w:r>
          </w:p>
        </w:tc>
        <w:tc>
          <w:tcPr>
            <w:tcW w:w="2039" w:type="dxa"/>
            <w:noWrap/>
            <w:hideMark/>
          </w:tcPr>
          <w:p w14:paraId="50966258" w14:textId="4618E48D"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8,546,000</w:t>
            </w:r>
          </w:p>
        </w:tc>
        <w:tc>
          <w:tcPr>
            <w:tcW w:w="2183" w:type="dxa"/>
            <w:noWrap/>
            <w:hideMark/>
          </w:tcPr>
          <w:p w14:paraId="3447BC03" w14:textId="057A6228"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14,359,835</w:t>
            </w:r>
          </w:p>
        </w:tc>
      </w:tr>
      <w:tr w:rsidR="001D6D9D" w:rsidRPr="00C81E56" w14:paraId="1EB30A6D"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2B4C9816"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PAYE</w:t>
            </w:r>
          </w:p>
        </w:tc>
        <w:tc>
          <w:tcPr>
            <w:tcW w:w="2039" w:type="dxa"/>
            <w:noWrap/>
            <w:hideMark/>
          </w:tcPr>
          <w:p w14:paraId="34735823" w14:textId="7AAC71CE"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3,886,594</w:t>
            </w:r>
          </w:p>
        </w:tc>
        <w:tc>
          <w:tcPr>
            <w:tcW w:w="2183" w:type="dxa"/>
            <w:noWrap/>
            <w:hideMark/>
          </w:tcPr>
          <w:p w14:paraId="48090FE1" w14:textId="69A592F0"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11,318,037</w:t>
            </w:r>
          </w:p>
        </w:tc>
      </w:tr>
      <w:tr w:rsidR="001D6D9D" w:rsidRPr="00C81E56" w14:paraId="78D4364F"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55A3A959" w14:textId="7F329A46" w:rsidR="001D6D9D" w:rsidRPr="00551C06" w:rsidRDefault="00C81E56" w:rsidP="001D6D9D">
            <w:pPr>
              <w:rPr>
                <w:rFonts w:ascii="Baskerville Old Face" w:hAnsi="Baskerville Old Face" w:cs="Times New Roman"/>
                <w:b w:val="0"/>
                <w:bCs w:val="0"/>
              </w:rPr>
            </w:pPr>
            <w:r w:rsidRPr="00551C06">
              <w:rPr>
                <w:rFonts w:ascii="Baskerville Old Face" w:hAnsi="Baskerville Old Face" w:cs="Times New Roman"/>
                <w:b w:val="0"/>
                <w:bCs w:val="0"/>
              </w:rPr>
              <w:t>Payroll Tax</w:t>
            </w:r>
          </w:p>
        </w:tc>
        <w:tc>
          <w:tcPr>
            <w:tcW w:w="2039" w:type="dxa"/>
            <w:noWrap/>
            <w:hideMark/>
          </w:tcPr>
          <w:p w14:paraId="02A4AC8E" w14:textId="5A067CCA"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220,000</w:t>
            </w:r>
          </w:p>
        </w:tc>
        <w:tc>
          <w:tcPr>
            <w:tcW w:w="2183" w:type="dxa"/>
            <w:noWrap/>
            <w:hideMark/>
          </w:tcPr>
          <w:p w14:paraId="027C6250" w14:textId="5EF9C47D"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147,000</w:t>
            </w:r>
          </w:p>
        </w:tc>
      </w:tr>
      <w:tr w:rsidR="001D6D9D" w:rsidRPr="00C81E56" w14:paraId="1E283765"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00345BBA"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GST</w:t>
            </w:r>
          </w:p>
        </w:tc>
        <w:tc>
          <w:tcPr>
            <w:tcW w:w="2039" w:type="dxa"/>
            <w:noWrap/>
            <w:hideMark/>
          </w:tcPr>
          <w:p w14:paraId="73AF911C" w14:textId="59570F9A"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14,807,931</w:t>
            </w:r>
          </w:p>
        </w:tc>
        <w:tc>
          <w:tcPr>
            <w:tcW w:w="2183" w:type="dxa"/>
            <w:noWrap/>
            <w:hideMark/>
          </w:tcPr>
          <w:p w14:paraId="315ED543" w14:textId="6B0A1736"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4,821,269</w:t>
            </w:r>
          </w:p>
        </w:tc>
      </w:tr>
      <w:tr w:rsidR="001D6D9D" w:rsidRPr="00C81E56" w14:paraId="3C2F7F5C"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07E1DF2F"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Interest</w:t>
            </w:r>
          </w:p>
        </w:tc>
        <w:tc>
          <w:tcPr>
            <w:tcW w:w="2039" w:type="dxa"/>
            <w:noWrap/>
            <w:hideMark/>
          </w:tcPr>
          <w:p w14:paraId="7F3BB81B" w14:textId="3929BF6B"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373,504</w:t>
            </w:r>
          </w:p>
        </w:tc>
        <w:tc>
          <w:tcPr>
            <w:tcW w:w="2183" w:type="dxa"/>
            <w:noWrap/>
            <w:hideMark/>
          </w:tcPr>
          <w:p w14:paraId="3112E031" w14:textId="11A13754"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r>
      <w:tr w:rsidR="001D6D9D" w:rsidRPr="00C81E56" w14:paraId="7BF5EB8D"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0535B1CF"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Penalty</w:t>
            </w:r>
          </w:p>
        </w:tc>
        <w:tc>
          <w:tcPr>
            <w:tcW w:w="2039" w:type="dxa"/>
            <w:noWrap/>
            <w:hideMark/>
          </w:tcPr>
          <w:p w14:paraId="77F30D51" w14:textId="19E63BC5"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10,665,147</w:t>
            </w:r>
          </w:p>
        </w:tc>
        <w:tc>
          <w:tcPr>
            <w:tcW w:w="2183" w:type="dxa"/>
            <w:noWrap/>
            <w:hideMark/>
          </w:tcPr>
          <w:p w14:paraId="4252C254" w14:textId="112BCB4F"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5,637,812</w:t>
            </w:r>
          </w:p>
        </w:tc>
      </w:tr>
      <w:tr w:rsidR="001D6D9D" w:rsidRPr="00C81E56" w14:paraId="0CDD89AE"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245A74AA"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Tax Paid/Tax Credit</w:t>
            </w:r>
          </w:p>
        </w:tc>
        <w:tc>
          <w:tcPr>
            <w:tcW w:w="2039" w:type="dxa"/>
            <w:noWrap/>
            <w:hideMark/>
          </w:tcPr>
          <w:p w14:paraId="3D3A5BB9" w14:textId="5823625A"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c>
          <w:tcPr>
            <w:tcW w:w="2183" w:type="dxa"/>
            <w:noWrap/>
            <w:hideMark/>
          </w:tcPr>
          <w:p w14:paraId="02DDAA5E" w14:textId="6080E990"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(3,637,906)</w:t>
            </w:r>
          </w:p>
        </w:tc>
      </w:tr>
      <w:tr w:rsidR="001D6D9D" w:rsidRPr="00C81E56" w14:paraId="0CB357EA" w14:textId="77777777" w:rsidTr="001D6D9D">
        <w:trPr>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29F78E2A" w14:textId="77777777" w:rsidR="001D6D9D" w:rsidRPr="00551C06" w:rsidRDefault="001D6D9D" w:rsidP="001D6D9D">
            <w:pPr>
              <w:rPr>
                <w:rFonts w:ascii="Baskerville Old Face" w:hAnsi="Baskerville Old Face" w:cs="Times New Roman"/>
                <w:b w:val="0"/>
                <w:bCs w:val="0"/>
              </w:rPr>
            </w:pPr>
            <w:r w:rsidRPr="00551C06">
              <w:rPr>
                <w:rFonts w:ascii="Baskerville Old Face" w:hAnsi="Baskerville Old Face" w:cs="Times New Roman"/>
                <w:b w:val="0"/>
                <w:bCs w:val="0"/>
              </w:rPr>
              <w:t>Retained Earnings</w:t>
            </w:r>
          </w:p>
        </w:tc>
        <w:tc>
          <w:tcPr>
            <w:tcW w:w="2039" w:type="dxa"/>
            <w:noWrap/>
            <w:hideMark/>
          </w:tcPr>
          <w:p w14:paraId="1915A357" w14:textId="4C8D3578"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2183" w:type="dxa"/>
            <w:noWrap/>
            <w:hideMark/>
          </w:tcPr>
          <w:p w14:paraId="6E27ECC6" w14:textId="6ECED36B" w:rsidR="001D6D9D" w:rsidRPr="00C81E56" w:rsidRDefault="001D6D9D"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Calibri"/>
                <w:color w:val="000000"/>
              </w:rPr>
              <w:t>32,610</w:t>
            </w:r>
          </w:p>
        </w:tc>
      </w:tr>
      <w:tr w:rsidR="001D6D9D" w:rsidRPr="00C81E56" w14:paraId="1CDE5560" w14:textId="77777777" w:rsidTr="001D6D9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28" w:type="dxa"/>
            <w:noWrap/>
            <w:hideMark/>
          </w:tcPr>
          <w:p w14:paraId="57405E22" w14:textId="77777777" w:rsidR="001D6D9D" w:rsidRPr="00C81E56" w:rsidRDefault="001D6D9D" w:rsidP="001D6D9D">
            <w:pPr>
              <w:rPr>
                <w:rFonts w:ascii="Baskerville Old Face" w:hAnsi="Baskerville Old Face" w:cs="Times New Roman"/>
              </w:rPr>
            </w:pPr>
            <w:r w:rsidRPr="00C81E56">
              <w:rPr>
                <w:rFonts w:ascii="Baskerville Old Face" w:hAnsi="Baskerville Old Face" w:cs="Times New Roman"/>
              </w:rPr>
              <w:t xml:space="preserve">TOTAL </w:t>
            </w:r>
          </w:p>
        </w:tc>
        <w:tc>
          <w:tcPr>
            <w:tcW w:w="2039" w:type="dxa"/>
            <w:noWrap/>
            <w:hideMark/>
          </w:tcPr>
          <w:p w14:paraId="5B682C0C" w14:textId="5E56F1B0"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bookmarkStart w:id="80" w:name="_Hlk159934573"/>
            <w:r w:rsidRPr="00C81E56">
              <w:rPr>
                <w:rFonts w:ascii="Baskerville Old Face" w:hAnsi="Baskerville Old Face" w:cs="Calibri"/>
                <w:b/>
                <w:bCs/>
                <w:color w:val="000000"/>
              </w:rPr>
              <w:t>53,596,349</w:t>
            </w:r>
            <w:bookmarkEnd w:id="80"/>
          </w:p>
        </w:tc>
        <w:tc>
          <w:tcPr>
            <w:tcW w:w="2183" w:type="dxa"/>
            <w:noWrap/>
            <w:hideMark/>
          </w:tcPr>
          <w:p w14:paraId="466E9F34" w14:textId="5C193193" w:rsidR="001D6D9D" w:rsidRPr="00C81E56" w:rsidRDefault="001D6D9D"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81E56">
              <w:rPr>
                <w:rFonts w:ascii="Baskerville Old Face" w:hAnsi="Baskerville Old Face" w:cs="Calibri"/>
                <w:b/>
                <w:bCs/>
                <w:color w:val="000000"/>
              </w:rPr>
              <w:t>28,522,513</w:t>
            </w:r>
          </w:p>
        </w:tc>
      </w:tr>
      <w:tr w:rsidR="00682966" w:rsidRPr="00C81E56" w14:paraId="32951DF7" w14:textId="77777777" w:rsidTr="001D6D9D">
        <w:trPr>
          <w:trHeight w:val="276"/>
        </w:trPr>
        <w:tc>
          <w:tcPr>
            <w:cnfStyle w:val="001000000000" w:firstRow="0" w:lastRow="0" w:firstColumn="1" w:lastColumn="0" w:oddVBand="0" w:evenVBand="0" w:oddHBand="0" w:evenHBand="0" w:firstRowFirstColumn="0" w:firstRowLastColumn="0" w:lastRowFirstColumn="0" w:lastRowLastColumn="0"/>
            <w:tcW w:w="5128" w:type="dxa"/>
            <w:noWrap/>
            <w:hideMark/>
          </w:tcPr>
          <w:p w14:paraId="187E024B" w14:textId="77777777" w:rsidR="00682966" w:rsidRPr="00D61E20" w:rsidRDefault="00682966">
            <w:pPr>
              <w:rPr>
                <w:rFonts w:ascii="Baskerville Old Face" w:hAnsi="Baskerville Old Face" w:cs="Times New Roman"/>
                <w:b w:val="0"/>
                <w:bCs w:val="0"/>
              </w:rPr>
            </w:pPr>
            <w:r w:rsidRPr="00D61E20">
              <w:rPr>
                <w:rFonts w:ascii="Baskerville Old Face" w:hAnsi="Baskerville Old Face" w:cs="Times New Roman"/>
                <w:b w:val="0"/>
                <w:bCs w:val="0"/>
              </w:rPr>
              <w:t xml:space="preserve">No. of taxpayers </w:t>
            </w:r>
          </w:p>
        </w:tc>
        <w:tc>
          <w:tcPr>
            <w:tcW w:w="2039" w:type="dxa"/>
            <w:noWrap/>
            <w:hideMark/>
          </w:tcPr>
          <w:p w14:paraId="352AB67D" w14:textId="77777777" w:rsidR="00682966" w:rsidRPr="00C81E56" w:rsidRDefault="00682966"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88</w:t>
            </w:r>
          </w:p>
        </w:tc>
        <w:tc>
          <w:tcPr>
            <w:tcW w:w="2183" w:type="dxa"/>
            <w:noWrap/>
            <w:hideMark/>
          </w:tcPr>
          <w:p w14:paraId="42A79893" w14:textId="77777777" w:rsidR="00682966" w:rsidRPr="00C81E56" w:rsidRDefault="00682966" w:rsidP="001D6D9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97</w:t>
            </w:r>
          </w:p>
        </w:tc>
      </w:tr>
      <w:tr w:rsidR="001D6D9D" w:rsidRPr="00C81E56" w14:paraId="218ADC90" w14:textId="77777777" w:rsidTr="001D6D9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28" w:type="dxa"/>
            <w:noWrap/>
            <w:hideMark/>
          </w:tcPr>
          <w:p w14:paraId="1DAB490D" w14:textId="0E5B49ED" w:rsidR="00682966" w:rsidRPr="00C81E56" w:rsidRDefault="001D6D9D">
            <w:pPr>
              <w:rPr>
                <w:rFonts w:ascii="Baskerville Old Face" w:hAnsi="Baskerville Old Face" w:cs="Times New Roman"/>
                <w:b w:val="0"/>
                <w:bCs w:val="0"/>
              </w:rPr>
            </w:pPr>
            <w:r w:rsidRPr="00C81E56">
              <w:rPr>
                <w:rFonts w:ascii="Baskerville Old Face" w:hAnsi="Baskerville Old Face" w:cs="Times New Roman"/>
                <w:b w:val="0"/>
                <w:bCs w:val="0"/>
              </w:rPr>
              <w:t>No. of</w:t>
            </w:r>
            <w:r w:rsidR="00682966" w:rsidRPr="00C81E56">
              <w:rPr>
                <w:rFonts w:ascii="Baskerville Old Face" w:hAnsi="Baskerville Old Face" w:cs="Times New Roman"/>
                <w:b w:val="0"/>
                <w:bCs w:val="0"/>
              </w:rPr>
              <w:t xml:space="preserve"> completed audits </w:t>
            </w:r>
          </w:p>
        </w:tc>
        <w:tc>
          <w:tcPr>
            <w:tcW w:w="2039" w:type="dxa"/>
            <w:noWrap/>
            <w:hideMark/>
          </w:tcPr>
          <w:p w14:paraId="4F1E33AA" w14:textId="77777777" w:rsidR="00682966" w:rsidRPr="00C81E56" w:rsidRDefault="00682966"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96</w:t>
            </w:r>
          </w:p>
        </w:tc>
        <w:tc>
          <w:tcPr>
            <w:tcW w:w="2183" w:type="dxa"/>
            <w:noWrap/>
            <w:hideMark/>
          </w:tcPr>
          <w:p w14:paraId="54B0E696" w14:textId="77777777" w:rsidR="00682966" w:rsidRPr="00C81E56" w:rsidRDefault="00682966" w:rsidP="001D6D9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81E56">
              <w:rPr>
                <w:rFonts w:ascii="Baskerville Old Face" w:hAnsi="Baskerville Old Face" w:cs="Times New Roman"/>
              </w:rPr>
              <w:t>102</w:t>
            </w:r>
          </w:p>
        </w:tc>
      </w:tr>
    </w:tbl>
    <w:p w14:paraId="4C914197" w14:textId="5EF60E34" w:rsidR="00076196" w:rsidRPr="00BD27B1" w:rsidRDefault="00076196" w:rsidP="00076196">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LTO, </w:t>
      </w:r>
      <w:r w:rsidRPr="00BD27B1">
        <w:rPr>
          <w:rFonts w:ascii="Baskerville Old Face" w:hAnsi="Baskerville Old Face" w:cs="Times New Roman"/>
          <w:i/>
          <w:iCs/>
          <w:sz w:val="20"/>
          <w:szCs w:val="20"/>
        </w:rPr>
        <w:t>DTD</w:t>
      </w:r>
    </w:p>
    <w:p w14:paraId="463C0037" w14:textId="46C901BA" w:rsidR="0003123A" w:rsidRPr="000A75D2" w:rsidRDefault="00C31ED1" w:rsidP="008C5C22">
      <w:pPr>
        <w:pStyle w:val="Heading3"/>
      </w:pPr>
      <w:bookmarkStart w:id="81" w:name="_Toc198205706"/>
      <w:r>
        <w:t>S</w:t>
      </w:r>
      <w:r w:rsidR="0003123A" w:rsidRPr="000A75D2">
        <w:t xml:space="preserve">MTO Completed Tax Audit </w:t>
      </w:r>
      <w:r w:rsidR="00C917BD" w:rsidRPr="000A75D2">
        <w:t xml:space="preserve">and Liability </w:t>
      </w:r>
      <w:r w:rsidR="0003123A" w:rsidRPr="000A75D2">
        <w:t>2023 and 2022</w:t>
      </w:r>
      <w:bookmarkEnd w:id="81"/>
    </w:p>
    <w:bookmarkEnd w:id="78"/>
    <w:p w14:paraId="6ED5F42E" w14:textId="67781C8C" w:rsidR="00551C06" w:rsidRPr="00551C06" w:rsidRDefault="00B34CEE" w:rsidP="00B34CEE">
      <w:pPr>
        <w:spacing w:line="360" w:lineRule="auto"/>
        <w:jc w:val="both"/>
        <w:rPr>
          <w:rFonts w:ascii="Baskerville Old Face" w:hAnsi="Baskerville Old Face" w:cs="Times New Roman"/>
          <w:sz w:val="24"/>
          <w:szCs w:val="24"/>
        </w:rPr>
      </w:pPr>
      <w:r w:rsidRPr="008F3E3F">
        <w:rPr>
          <w:rFonts w:ascii="Baskerville Old Face" w:hAnsi="Baskerville Old Face" w:cs="Times New Roman"/>
          <w:sz w:val="24"/>
          <w:szCs w:val="24"/>
        </w:rPr>
        <w:t xml:space="preserve">Table </w:t>
      </w:r>
      <w:r w:rsidR="008F3E3F">
        <w:rPr>
          <w:rFonts w:ascii="Baskerville Old Face" w:hAnsi="Baskerville Old Face" w:cs="Times New Roman"/>
          <w:sz w:val="24"/>
          <w:szCs w:val="24"/>
        </w:rPr>
        <w:t>1</w:t>
      </w:r>
      <w:r w:rsidR="00B44837">
        <w:rPr>
          <w:rFonts w:ascii="Baskerville Old Face" w:hAnsi="Baskerville Old Face" w:cs="Times New Roman"/>
          <w:sz w:val="24"/>
          <w:szCs w:val="24"/>
        </w:rPr>
        <w:t>6</w:t>
      </w:r>
      <w:r w:rsidRPr="00B34CEE">
        <w:rPr>
          <w:rFonts w:ascii="Baskerville Old Face" w:hAnsi="Baskerville Old Face" w:cs="Times New Roman"/>
          <w:sz w:val="24"/>
          <w:szCs w:val="24"/>
        </w:rPr>
        <w:t xml:space="preserve"> displays the tax audit liability by tax category, alongside the number of audits conducted and taxpayers audited in 2023 and 2022. In 2023, there were a total of 124 completed audits </w:t>
      </w:r>
      <w:r w:rsidRPr="00B34CEE">
        <w:rPr>
          <w:rFonts w:ascii="Baskerville Old Face" w:hAnsi="Baskerville Old Face" w:cs="Times New Roman"/>
          <w:sz w:val="24"/>
          <w:szCs w:val="24"/>
        </w:rPr>
        <w:lastRenderedPageBreak/>
        <w:t xml:space="preserve">involving 111 taxpayers, whereas in 2022, there were 79 audits finalized, involving 75 taxpayers. The completed audits in 2023 fell short of the targeted audits by 228 and shows a decrease of 36 audited taxpayers compared to the preceding year. The SMTO Audit Unit identified a combined tax liability of NLe 10.062 million for 2023, compared to NLe 7.065 million in 2022. </w:t>
      </w:r>
      <w:r>
        <w:rPr>
          <w:rFonts w:ascii="Baskerville Old Face" w:hAnsi="Baskerville Old Face" w:cs="Times New Roman"/>
          <w:sz w:val="24"/>
          <w:szCs w:val="24"/>
        </w:rPr>
        <w:t>C</w:t>
      </w:r>
      <w:r w:rsidRPr="00B34CEE">
        <w:rPr>
          <w:rFonts w:ascii="Baskerville Old Face" w:hAnsi="Baskerville Old Face" w:cs="Times New Roman"/>
          <w:sz w:val="24"/>
          <w:szCs w:val="24"/>
        </w:rPr>
        <w:t>orporation tax accounted for the highest sum in 2023, followed by GST and withholding tax obligations.</w:t>
      </w:r>
    </w:p>
    <w:p w14:paraId="06E117D3" w14:textId="4BC96ED8" w:rsidR="0003123A" w:rsidRPr="00551C06" w:rsidRDefault="00551C06" w:rsidP="00DE6715">
      <w:pPr>
        <w:tabs>
          <w:tab w:val="left" w:pos="6555"/>
        </w:tabs>
        <w:spacing w:line="240" w:lineRule="auto"/>
        <w:jc w:val="both"/>
        <w:rPr>
          <w:rFonts w:ascii="Baskerville Old Face" w:hAnsi="Baskerville Old Face" w:cs="Times New Roman"/>
          <w:b/>
          <w:bCs/>
          <w:i/>
          <w:iCs/>
          <w:sz w:val="24"/>
          <w:szCs w:val="24"/>
        </w:rPr>
      </w:pPr>
      <w:bookmarkStart w:id="82" w:name="Table16"/>
      <w:r w:rsidRPr="008F3E3F">
        <w:rPr>
          <w:rFonts w:ascii="Baskerville Old Face" w:hAnsi="Baskerville Old Face" w:cs="Times New Roman"/>
          <w:b/>
          <w:bCs/>
          <w:i/>
          <w:iCs/>
          <w:sz w:val="24"/>
          <w:szCs w:val="24"/>
        </w:rPr>
        <w:t xml:space="preserve">Table </w:t>
      </w:r>
      <w:r w:rsidR="008F3E3F">
        <w:rPr>
          <w:rFonts w:ascii="Baskerville Old Face" w:hAnsi="Baskerville Old Face" w:cs="Times New Roman"/>
          <w:b/>
          <w:bCs/>
          <w:i/>
          <w:iCs/>
          <w:sz w:val="24"/>
          <w:szCs w:val="24"/>
        </w:rPr>
        <w:t>1</w:t>
      </w:r>
      <w:r w:rsidR="00B44837">
        <w:rPr>
          <w:rFonts w:ascii="Baskerville Old Face" w:hAnsi="Baskerville Old Face" w:cs="Times New Roman"/>
          <w:b/>
          <w:bCs/>
          <w:i/>
          <w:iCs/>
          <w:sz w:val="24"/>
          <w:szCs w:val="24"/>
        </w:rPr>
        <w:t>6</w:t>
      </w:r>
      <w:r w:rsidRPr="00BB1214">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 xml:space="preserve">SMTO Tax </w:t>
      </w:r>
      <w:r w:rsidRPr="00BB1214">
        <w:rPr>
          <w:rFonts w:ascii="Baskerville Old Face" w:hAnsi="Baskerville Old Face" w:cs="Times New Roman"/>
          <w:b/>
          <w:bCs/>
          <w:i/>
          <w:iCs/>
          <w:sz w:val="24"/>
          <w:szCs w:val="24"/>
        </w:rPr>
        <w:t xml:space="preserve">Audit </w:t>
      </w:r>
      <w:r>
        <w:rPr>
          <w:rFonts w:ascii="Baskerville Old Face" w:hAnsi="Baskerville Old Face" w:cs="Times New Roman"/>
          <w:b/>
          <w:bCs/>
          <w:i/>
          <w:iCs/>
          <w:sz w:val="24"/>
          <w:szCs w:val="24"/>
        </w:rPr>
        <w:t>Liability</w:t>
      </w:r>
      <w:r w:rsidRPr="00BB1214">
        <w:rPr>
          <w:rFonts w:ascii="Baskerville Old Face" w:hAnsi="Baskerville Old Face" w:cs="Times New Roman"/>
          <w:b/>
          <w:bCs/>
          <w:i/>
          <w:iCs/>
          <w:sz w:val="24"/>
          <w:szCs w:val="24"/>
        </w:rPr>
        <w:t xml:space="preserve"> 202</w:t>
      </w:r>
      <w:r>
        <w:rPr>
          <w:rFonts w:ascii="Baskerville Old Face" w:hAnsi="Baskerville Old Face" w:cs="Times New Roman"/>
          <w:b/>
          <w:bCs/>
          <w:i/>
          <w:iCs/>
          <w:sz w:val="24"/>
          <w:szCs w:val="24"/>
        </w:rPr>
        <w:t>3</w:t>
      </w:r>
      <w:r w:rsidRPr="00BB1214">
        <w:rPr>
          <w:rFonts w:ascii="Baskerville Old Face" w:hAnsi="Baskerville Old Face" w:cs="Times New Roman"/>
          <w:b/>
          <w:bCs/>
          <w:i/>
          <w:iCs/>
          <w:sz w:val="24"/>
          <w:szCs w:val="24"/>
        </w:rPr>
        <w:t xml:space="preserve"> and 2022 in NLe</w:t>
      </w:r>
      <w:r>
        <w:rPr>
          <w:rFonts w:ascii="Baskerville Old Face" w:hAnsi="Baskerville Old Face" w:cs="Times New Roman"/>
          <w:b/>
          <w:bCs/>
          <w:i/>
          <w:iCs/>
          <w:sz w:val="24"/>
          <w:szCs w:val="24"/>
        </w:rPr>
        <w:t xml:space="preserve"> </w:t>
      </w:r>
      <w:r w:rsidR="00DE6715">
        <w:rPr>
          <w:rFonts w:ascii="Baskerville Old Face" w:hAnsi="Baskerville Old Face" w:cs="Times New Roman"/>
          <w:b/>
          <w:bCs/>
          <w:i/>
          <w:iCs/>
          <w:sz w:val="24"/>
          <w:szCs w:val="24"/>
        </w:rPr>
        <w:tab/>
      </w:r>
    </w:p>
    <w:tbl>
      <w:tblPr>
        <w:tblStyle w:val="GridTable4-Accent63"/>
        <w:tblW w:w="0" w:type="auto"/>
        <w:tblLook w:val="04A0" w:firstRow="1" w:lastRow="0" w:firstColumn="1" w:lastColumn="0" w:noHBand="0" w:noVBand="1"/>
      </w:tblPr>
      <w:tblGrid>
        <w:gridCol w:w="5144"/>
        <w:gridCol w:w="2044"/>
        <w:gridCol w:w="2162"/>
      </w:tblGrid>
      <w:tr w:rsidR="00551C06" w:rsidRPr="00551C06" w14:paraId="778EE845" w14:textId="77777777" w:rsidTr="001E5DC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4" w:type="dxa"/>
            <w:noWrap/>
            <w:hideMark/>
          </w:tcPr>
          <w:bookmarkEnd w:id="82"/>
          <w:p w14:paraId="688708DD" w14:textId="765C3BE5" w:rsidR="00551C06" w:rsidRPr="008F3E3F" w:rsidRDefault="00551C06">
            <w:pPr>
              <w:rPr>
                <w:rFonts w:ascii="Baskerville Old Face" w:hAnsi="Baskerville Old Face" w:cs="Times New Roman"/>
                <w:color w:val="auto"/>
                <w:sz w:val="24"/>
                <w:szCs w:val="24"/>
              </w:rPr>
            </w:pPr>
            <w:r w:rsidRPr="008F3E3F">
              <w:rPr>
                <w:rFonts w:ascii="Baskerville Old Face" w:hAnsi="Baskerville Old Face" w:cs="Times New Roman"/>
                <w:color w:val="auto"/>
                <w:sz w:val="24"/>
                <w:szCs w:val="24"/>
              </w:rPr>
              <w:t>Tax Type</w:t>
            </w:r>
          </w:p>
        </w:tc>
        <w:tc>
          <w:tcPr>
            <w:tcW w:w="2044" w:type="dxa"/>
            <w:noWrap/>
            <w:hideMark/>
          </w:tcPr>
          <w:p w14:paraId="1F6BF063" w14:textId="77777777" w:rsidR="00551C06" w:rsidRPr="008F3E3F" w:rsidRDefault="00551C06" w:rsidP="00B34CEE">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8F3E3F">
              <w:rPr>
                <w:rFonts w:ascii="Baskerville Old Face" w:hAnsi="Baskerville Old Face" w:cs="Times New Roman"/>
                <w:color w:val="auto"/>
                <w:sz w:val="24"/>
                <w:szCs w:val="24"/>
              </w:rPr>
              <w:t>2023</w:t>
            </w:r>
          </w:p>
        </w:tc>
        <w:tc>
          <w:tcPr>
            <w:tcW w:w="2162" w:type="dxa"/>
            <w:noWrap/>
            <w:hideMark/>
          </w:tcPr>
          <w:p w14:paraId="0AF1C13D" w14:textId="77777777" w:rsidR="00551C06" w:rsidRPr="00551C06" w:rsidRDefault="00551C06" w:rsidP="00B34CEE">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color w:val="auto"/>
                <w:sz w:val="24"/>
                <w:szCs w:val="24"/>
              </w:rPr>
              <w:t>2022</w:t>
            </w:r>
          </w:p>
        </w:tc>
      </w:tr>
      <w:tr w:rsidR="00551C06" w:rsidRPr="00551C06" w14:paraId="16F336C8"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4071983A" w14:textId="6B2A51F7" w:rsidR="00551C06" w:rsidRPr="00551C06" w:rsidRDefault="00551C06">
            <w:pPr>
              <w:rPr>
                <w:rFonts w:ascii="Baskerville Old Face" w:hAnsi="Baskerville Old Face" w:cs="Times New Roman"/>
                <w:b w:val="0"/>
                <w:bCs w:val="0"/>
                <w:sz w:val="24"/>
                <w:szCs w:val="24"/>
              </w:rPr>
            </w:pPr>
            <w:r w:rsidRPr="00551C06">
              <w:rPr>
                <w:rFonts w:ascii="Baskerville Old Face" w:hAnsi="Baskerville Old Face" w:cs="Times New Roman"/>
                <w:sz w:val="24"/>
                <w:szCs w:val="24"/>
              </w:rPr>
              <w:t xml:space="preserve"> </w:t>
            </w:r>
            <w:r w:rsidRPr="00551C06">
              <w:rPr>
                <w:rFonts w:ascii="Baskerville Old Face" w:hAnsi="Baskerville Old Face" w:cs="Times New Roman"/>
                <w:b w:val="0"/>
                <w:bCs w:val="0"/>
                <w:sz w:val="24"/>
                <w:szCs w:val="24"/>
              </w:rPr>
              <w:t xml:space="preserve">Corporation /Trades Tax </w:t>
            </w:r>
          </w:p>
        </w:tc>
        <w:tc>
          <w:tcPr>
            <w:tcW w:w="2044" w:type="dxa"/>
            <w:noWrap/>
            <w:hideMark/>
          </w:tcPr>
          <w:p w14:paraId="60E9B7F8" w14:textId="3F705E05"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3,778,565</w:t>
            </w:r>
          </w:p>
        </w:tc>
        <w:tc>
          <w:tcPr>
            <w:tcW w:w="2162" w:type="dxa"/>
            <w:noWrap/>
            <w:hideMark/>
          </w:tcPr>
          <w:p w14:paraId="01438934" w14:textId="585B797F"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2,502,730</w:t>
            </w:r>
          </w:p>
        </w:tc>
      </w:tr>
      <w:tr w:rsidR="00551C06" w:rsidRPr="00551C06" w14:paraId="6D7448AA"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0B89548D" w14:textId="4592E22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Withholding Tax </w:t>
            </w:r>
          </w:p>
        </w:tc>
        <w:tc>
          <w:tcPr>
            <w:tcW w:w="2044" w:type="dxa"/>
            <w:noWrap/>
            <w:hideMark/>
          </w:tcPr>
          <w:p w14:paraId="2E7D658D" w14:textId="64A99492"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1,772,060</w:t>
            </w:r>
          </w:p>
        </w:tc>
        <w:tc>
          <w:tcPr>
            <w:tcW w:w="2162" w:type="dxa"/>
            <w:noWrap/>
            <w:hideMark/>
          </w:tcPr>
          <w:p w14:paraId="1BAD9686" w14:textId="48D3ACC0"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1,588,507</w:t>
            </w:r>
          </w:p>
        </w:tc>
      </w:tr>
      <w:tr w:rsidR="00551C06" w:rsidRPr="00551C06" w14:paraId="72AB1128"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211489DF" w14:textId="7777777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PAYE </w:t>
            </w:r>
          </w:p>
        </w:tc>
        <w:tc>
          <w:tcPr>
            <w:tcW w:w="2044" w:type="dxa"/>
            <w:noWrap/>
            <w:hideMark/>
          </w:tcPr>
          <w:p w14:paraId="2BFA05A8" w14:textId="702F7455"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479,044</w:t>
            </w:r>
          </w:p>
        </w:tc>
        <w:tc>
          <w:tcPr>
            <w:tcW w:w="2162" w:type="dxa"/>
            <w:noWrap/>
            <w:hideMark/>
          </w:tcPr>
          <w:p w14:paraId="31B7C91C" w14:textId="6F8BB24E"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449,597</w:t>
            </w:r>
          </w:p>
        </w:tc>
      </w:tr>
      <w:tr w:rsidR="00551C06" w:rsidRPr="00551C06" w14:paraId="08F715E4"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27BE3181" w14:textId="4CA9747B"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Payroll </w:t>
            </w:r>
          </w:p>
        </w:tc>
        <w:tc>
          <w:tcPr>
            <w:tcW w:w="2044" w:type="dxa"/>
            <w:noWrap/>
            <w:hideMark/>
          </w:tcPr>
          <w:p w14:paraId="467DF303" w14:textId="1F2A764C"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465,000</w:t>
            </w:r>
          </w:p>
        </w:tc>
        <w:tc>
          <w:tcPr>
            <w:tcW w:w="2162" w:type="dxa"/>
            <w:noWrap/>
            <w:hideMark/>
          </w:tcPr>
          <w:p w14:paraId="68E08910" w14:textId="64C59B19"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133,351</w:t>
            </w:r>
          </w:p>
        </w:tc>
      </w:tr>
      <w:tr w:rsidR="00551C06" w:rsidRPr="00551C06" w14:paraId="59BFCAE8"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0A0F6E99" w14:textId="7777777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GST </w:t>
            </w:r>
          </w:p>
        </w:tc>
        <w:tc>
          <w:tcPr>
            <w:tcW w:w="2044" w:type="dxa"/>
            <w:noWrap/>
            <w:hideMark/>
          </w:tcPr>
          <w:p w14:paraId="0D12A1DA" w14:textId="10EF5CCB"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2,145,316</w:t>
            </w:r>
          </w:p>
        </w:tc>
        <w:tc>
          <w:tcPr>
            <w:tcW w:w="2162" w:type="dxa"/>
            <w:noWrap/>
            <w:hideMark/>
          </w:tcPr>
          <w:p w14:paraId="1ED7D980" w14:textId="0970E1A6"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978,599</w:t>
            </w:r>
          </w:p>
        </w:tc>
      </w:tr>
      <w:tr w:rsidR="00551C06" w:rsidRPr="00551C06" w14:paraId="37D70EF4"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2DD80418" w14:textId="53D34129"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 Penalty</w:t>
            </w:r>
          </w:p>
        </w:tc>
        <w:tc>
          <w:tcPr>
            <w:tcW w:w="2044" w:type="dxa"/>
            <w:noWrap/>
            <w:hideMark/>
          </w:tcPr>
          <w:p w14:paraId="5321D014" w14:textId="2824D411"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1,421,524</w:t>
            </w:r>
          </w:p>
        </w:tc>
        <w:tc>
          <w:tcPr>
            <w:tcW w:w="2162" w:type="dxa"/>
            <w:noWrap/>
            <w:hideMark/>
          </w:tcPr>
          <w:p w14:paraId="5338746B" w14:textId="1691B729"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1,412,636</w:t>
            </w:r>
          </w:p>
        </w:tc>
      </w:tr>
      <w:tr w:rsidR="00551C06" w:rsidRPr="00551C06" w14:paraId="55708DDF" w14:textId="77777777" w:rsidTr="001E5DC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50657790" w14:textId="77777777" w:rsidR="00551C06" w:rsidRPr="00551C06" w:rsidRDefault="00551C06">
            <w:pPr>
              <w:rPr>
                <w:rFonts w:ascii="Baskerville Old Face" w:hAnsi="Baskerville Old Face" w:cs="Times New Roman"/>
                <w:sz w:val="24"/>
                <w:szCs w:val="24"/>
              </w:rPr>
            </w:pPr>
            <w:r w:rsidRPr="00551C06">
              <w:rPr>
                <w:rFonts w:ascii="Baskerville Old Face" w:hAnsi="Baskerville Old Face" w:cs="Times New Roman"/>
                <w:sz w:val="24"/>
                <w:szCs w:val="24"/>
              </w:rPr>
              <w:t xml:space="preserve">TOTAL </w:t>
            </w:r>
          </w:p>
        </w:tc>
        <w:tc>
          <w:tcPr>
            <w:tcW w:w="2044" w:type="dxa"/>
            <w:noWrap/>
            <w:hideMark/>
          </w:tcPr>
          <w:p w14:paraId="5FA8AFBE" w14:textId="11F49BC8"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551C06">
              <w:rPr>
                <w:rFonts w:ascii="Baskerville Old Face" w:hAnsi="Baskerville Old Face" w:cs="Times New Roman"/>
                <w:b/>
                <w:bCs/>
                <w:sz w:val="24"/>
                <w:szCs w:val="24"/>
              </w:rPr>
              <w:t>10,061,509</w:t>
            </w:r>
          </w:p>
        </w:tc>
        <w:tc>
          <w:tcPr>
            <w:tcW w:w="2162" w:type="dxa"/>
            <w:noWrap/>
            <w:hideMark/>
          </w:tcPr>
          <w:p w14:paraId="656B0375" w14:textId="2648F9FD"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sz w:val="24"/>
                <w:szCs w:val="24"/>
              </w:rPr>
            </w:pPr>
            <w:r w:rsidRPr="00551C06">
              <w:rPr>
                <w:rFonts w:ascii="Baskerville Old Face" w:hAnsi="Baskerville Old Face" w:cs="Times New Roman"/>
                <w:b/>
                <w:bCs/>
                <w:sz w:val="24"/>
                <w:szCs w:val="24"/>
              </w:rPr>
              <w:t>7,065,420</w:t>
            </w:r>
          </w:p>
        </w:tc>
      </w:tr>
      <w:tr w:rsidR="00551C06" w:rsidRPr="00551C06" w14:paraId="51204AA5" w14:textId="77777777" w:rsidTr="001E5DC0">
        <w:trPr>
          <w:trHeight w:val="276"/>
        </w:trPr>
        <w:tc>
          <w:tcPr>
            <w:cnfStyle w:val="001000000000" w:firstRow="0" w:lastRow="0" w:firstColumn="1" w:lastColumn="0" w:oddVBand="0" w:evenVBand="0" w:oddHBand="0" w:evenHBand="0" w:firstRowFirstColumn="0" w:firstRowLastColumn="0" w:lastRowFirstColumn="0" w:lastRowLastColumn="0"/>
            <w:tcW w:w="5144" w:type="dxa"/>
            <w:noWrap/>
            <w:hideMark/>
          </w:tcPr>
          <w:p w14:paraId="59FF9334" w14:textId="77777777" w:rsidR="00551C06" w:rsidRPr="00067FE5" w:rsidRDefault="00551C06">
            <w:pPr>
              <w:rPr>
                <w:rFonts w:ascii="Baskerville Old Face" w:hAnsi="Baskerville Old Face" w:cs="Times New Roman"/>
                <w:b w:val="0"/>
                <w:bCs w:val="0"/>
                <w:sz w:val="24"/>
                <w:szCs w:val="24"/>
              </w:rPr>
            </w:pPr>
            <w:r w:rsidRPr="00067FE5">
              <w:rPr>
                <w:rFonts w:ascii="Baskerville Old Face" w:hAnsi="Baskerville Old Face" w:cs="Times New Roman"/>
                <w:b w:val="0"/>
                <w:bCs w:val="0"/>
                <w:sz w:val="24"/>
                <w:szCs w:val="24"/>
              </w:rPr>
              <w:t xml:space="preserve">No. of taxpayers </w:t>
            </w:r>
          </w:p>
        </w:tc>
        <w:tc>
          <w:tcPr>
            <w:tcW w:w="2044" w:type="dxa"/>
            <w:noWrap/>
            <w:hideMark/>
          </w:tcPr>
          <w:p w14:paraId="3CBF2103" w14:textId="77777777"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111</w:t>
            </w:r>
          </w:p>
        </w:tc>
        <w:tc>
          <w:tcPr>
            <w:tcW w:w="2162" w:type="dxa"/>
            <w:noWrap/>
            <w:hideMark/>
          </w:tcPr>
          <w:p w14:paraId="0B6231E1" w14:textId="77777777" w:rsidR="00551C06" w:rsidRPr="00551C06" w:rsidRDefault="00551C06" w:rsidP="00B34CEE">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75</w:t>
            </w:r>
          </w:p>
        </w:tc>
      </w:tr>
      <w:tr w:rsidR="00551C06" w:rsidRPr="00551C06" w14:paraId="7B2F495F" w14:textId="77777777" w:rsidTr="001E5DC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44" w:type="dxa"/>
            <w:noWrap/>
            <w:hideMark/>
          </w:tcPr>
          <w:p w14:paraId="5EDC87D6" w14:textId="77777777" w:rsidR="00551C06" w:rsidRPr="00551C06" w:rsidRDefault="00551C06">
            <w:pPr>
              <w:rPr>
                <w:rFonts w:ascii="Baskerville Old Face" w:hAnsi="Baskerville Old Face" w:cs="Times New Roman"/>
                <w:b w:val="0"/>
                <w:bCs w:val="0"/>
                <w:sz w:val="24"/>
                <w:szCs w:val="24"/>
              </w:rPr>
            </w:pPr>
            <w:r w:rsidRPr="00551C06">
              <w:rPr>
                <w:rFonts w:ascii="Baskerville Old Face" w:hAnsi="Baskerville Old Face" w:cs="Times New Roman"/>
                <w:b w:val="0"/>
                <w:bCs w:val="0"/>
                <w:sz w:val="24"/>
                <w:szCs w:val="24"/>
              </w:rPr>
              <w:t xml:space="preserve">Total completed audits </w:t>
            </w:r>
          </w:p>
        </w:tc>
        <w:tc>
          <w:tcPr>
            <w:tcW w:w="2044" w:type="dxa"/>
            <w:noWrap/>
            <w:hideMark/>
          </w:tcPr>
          <w:p w14:paraId="4D540C29" w14:textId="77777777"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124</w:t>
            </w:r>
          </w:p>
        </w:tc>
        <w:tc>
          <w:tcPr>
            <w:tcW w:w="2162" w:type="dxa"/>
            <w:noWrap/>
            <w:hideMark/>
          </w:tcPr>
          <w:p w14:paraId="2C635E8E" w14:textId="77777777" w:rsidR="00551C06" w:rsidRPr="00551C06" w:rsidRDefault="00551C06" w:rsidP="00B34CEE">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sz w:val="24"/>
                <w:szCs w:val="24"/>
              </w:rPr>
            </w:pPr>
            <w:r w:rsidRPr="00551C06">
              <w:rPr>
                <w:rFonts w:ascii="Baskerville Old Face" w:hAnsi="Baskerville Old Face" w:cs="Times New Roman"/>
                <w:sz w:val="24"/>
                <w:szCs w:val="24"/>
              </w:rPr>
              <w:t>79</w:t>
            </w:r>
          </w:p>
        </w:tc>
      </w:tr>
    </w:tbl>
    <w:p w14:paraId="4701893D" w14:textId="4B406208" w:rsidR="001E5DC0" w:rsidRPr="00BD27B1" w:rsidRDefault="001E5DC0" w:rsidP="001E5DC0">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SMTO, </w:t>
      </w:r>
      <w:r w:rsidRPr="00BD27B1">
        <w:rPr>
          <w:rFonts w:ascii="Baskerville Old Face" w:hAnsi="Baskerville Old Face" w:cs="Times New Roman"/>
          <w:i/>
          <w:iCs/>
          <w:sz w:val="20"/>
          <w:szCs w:val="20"/>
        </w:rPr>
        <w:t>DTD</w:t>
      </w:r>
    </w:p>
    <w:p w14:paraId="045BA4F7" w14:textId="07119AB9" w:rsidR="0003123A" w:rsidRDefault="0003123A" w:rsidP="008C5C22">
      <w:pPr>
        <w:pStyle w:val="Heading3"/>
      </w:pPr>
      <w:bookmarkStart w:id="83" w:name="_Toc198205707"/>
      <w:r w:rsidRPr="00384ACD">
        <w:t xml:space="preserve">EIRU </w:t>
      </w:r>
      <w:r w:rsidR="00C917BD" w:rsidRPr="00C917BD">
        <w:t xml:space="preserve">Completed Tax Audit and Liability </w:t>
      </w:r>
      <w:r w:rsidRPr="00384ACD">
        <w:t>2023 and 2022</w:t>
      </w:r>
      <w:bookmarkEnd w:id="83"/>
    </w:p>
    <w:p w14:paraId="4AD44AC2" w14:textId="73149B45" w:rsidR="0003123A" w:rsidRDefault="0003123A" w:rsidP="0003123A">
      <w:pPr>
        <w:spacing w:line="360" w:lineRule="auto"/>
        <w:jc w:val="both"/>
        <w:rPr>
          <w:rFonts w:ascii="Baskerville Old Face" w:hAnsi="Baskerville Old Face" w:cs="Times New Roman"/>
          <w:sz w:val="24"/>
          <w:szCs w:val="24"/>
        </w:rPr>
      </w:pPr>
      <w:r w:rsidRPr="00B81AFC">
        <w:rPr>
          <w:rFonts w:ascii="Baskerville Old Face" w:hAnsi="Baskerville Old Face" w:cs="Times New Roman"/>
          <w:sz w:val="24"/>
          <w:szCs w:val="24"/>
        </w:rPr>
        <w:t xml:space="preserve">In 2023, the EIRU concluded a total of 9 tax audits, falling short of the targeted number by 50 </w:t>
      </w:r>
      <w:proofErr w:type="gramStart"/>
      <w:r w:rsidRPr="00B81AFC">
        <w:rPr>
          <w:rFonts w:ascii="Baskerville Old Face" w:hAnsi="Baskerville Old Face" w:cs="Times New Roman"/>
          <w:sz w:val="24"/>
          <w:szCs w:val="24"/>
        </w:rPr>
        <w:t>and also</w:t>
      </w:r>
      <w:proofErr w:type="gramEnd"/>
      <w:r w:rsidRPr="00B81AFC">
        <w:rPr>
          <w:rFonts w:ascii="Baskerville Old Face" w:hAnsi="Baskerville Old Face" w:cs="Times New Roman"/>
          <w:sz w:val="24"/>
          <w:szCs w:val="24"/>
        </w:rPr>
        <w:t xml:space="preserve"> exhibiting a decrease of 2 audits compared to the previous year's total </w:t>
      </w:r>
      <w:proofErr w:type="gramStart"/>
      <w:r w:rsidRPr="00B81AFC">
        <w:rPr>
          <w:rFonts w:ascii="Baskerville Old Face" w:hAnsi="Baskerville Old Face" w:cs="Times New Roman"/>
          <w:sz w:val="24"/>
          <w:szCs w:val="24"/>
        </w:rPr>
        <w:t>completed audits</w:t>
      </w:r>
      <w:proofErr w:type="gramEnd"/>
      <w:r w:rsidR="009A250E">
        <w:rPr>
          <w:rFonts w:ascii="Baskerville Old Face" w:hAnsi="Baskerville Old Face" w:cs="Times New Roman"/>
          <w:sz w:val="24"/>
          <w:szCs w:val="24"/>
        </w:rPr>
        <w:t xml:space="preserve"> Table 1</w:t>
      </w:r>
      <w:r w:rsidR="003E26F6">
        <w:rPr>
          <w:rFonts w:ascii="Baskerville Old Face" w:hAnsi="Baskerville Old Face" w:cs="Times New Roman"/>
          <w:sz w:val="24"/>
          <w:szCs w:val="24"/>
        </w:rPr>
        <w:t>7</w:t>
      </w:r>
      <w:r w:rsidR="009A250E">
        <w:rPr>
          <w:rFonts w:ascii="Baskerville Old Face" w:hAnsi="Baskerville Old Face" w:cs="Times New Roman"/>
          <w:sz w:val="24"/>
          <w:szCs w:val="24"/>
        </w:rPr>
        <w:t>)</w:t>
      </w:r>
      <w:r w:rsidRPr="00B81AFC">
        <w:rPr>
          <w:rFonts w:ascii="Baskerville Old Face" w:hAnsi="Baskerville Old Face" w:cs="Times New Roman"/>
          <w:sz w:val="24"/>
          <w:szCs w:val="24"/>
        </w:rPr>
        <w:t>. Among the audits conducted in 2023, the EIRU identified a combined tax liability amounting to NLe 2,596</w:t>
      </w:r>
      <w:r>
        <w:rPr>
          <w:rFonts w:ascii="Baskerville Old Face" w:hAnsi="Baskerville Old Face" w:cs="Times New Roman"/>
          <w:sz w:val="24"/>
          <w:szCs w:val="24"/>
        </w:rPr>
        <w:t xml:space="preserve"> million</w:t>
      </w:r>
      <w:r w:rsidRPr="00B81AFC">
        <w:rPr>
          <w:rFonts w:ascii="Baskerville Old Face" w:hAnsi="Baskerville Old Face" w:cs="Times New Roman"/>
          <w:sz w:val="24"/>
          <w:szCs w:val="24"/>
        </w:rPr>
        <w:t xml:space="preserve"> and USD 69,962 within the mining sector, in contrast to NLe 2,904 </w:t>
      </w:r>
      <w:r>
        <w:rPr>
          <w:rFonts w:ascii="Baskerville Old Face" w:hAnsi="Baskerville Old Face" w:cs="Times New Roman"/>
          <w:sz w:val="24"/>
          <w:szCs w:val="24"/>
        </w:rPr>
        <w:t xml:space="preserve">million </w:t>
      </w:r>
      <w:r w:rsidRPr="00B81AFC">
        <w:rPr>
          <w:rFonts w:ascii="Baskerville Old Face" w:hAnsi="Baskerville Old Face" w:cs="Times New Roman"/>
          <w:sz w:val="24"/>
          <w:szCs w:val="24"/>
        </w:rPr>
        <w:t>and USD 1,464 recorded in 2022. Notably, tax liabilities stemming from PAYE obligations accounted for the highest liability, both in local currency and in USD, for both the years 2023 and 2022, followed by withholding tax obligations.</w:t>
      </w:r>
      <w:r>
        <w:rPr>
          <w:rFonts w:ascii="Baskerville Old Face" w:hAnsi="Baskerville Old Face" w:cs="Times New Roman"/>
          <w:sz w:val="24"/>
          <w:szCs w:val="24"/>
        </w:rPr>
        <w:t xml:space="preserve">  </w:t>
      </w:r>
    </w:p>
    <w:p w14:paraId="620F3E38" w14:textId="77777777" w:rsidR="00A6675A" w:rsidRDefault="00A6675A" w:rsidP="0003123A">
      <w:pPr>
        <w:spacing w:line="360" w:lineRule="auto"/>
        <w:jc w:val="both"/>
        <w:rPr>
          <w:rFonts w:ascii="Baskerville Old Face" w:hAnsi="Baskerville Old Face" w:cs="Times New Roman"/>
          <w:sz w:val="24"/>
          <w:szCs w:val="24"/>
        </w:rPr>
      </w:pPr>
    </w:p>
    <w:p w14:paraId="18D867CA" w14:textId="77777777" w:rsidR="00A6675A" w:rsidRDefault="00A6675A" w:rsidP="0003123A">
      <w:pPr>
        <w:spacing w:line="360" w:lineRule="auto"/>
        <w:jc w:val="both"/>
        <w:rPr>
          <w:rFonts w:ascii="Baskerville Old Face" w:hAnsi="Baskerville Old Face" w:cs="Times New Roman"/>
          <w:sz w:val="24"/>
          <w:szCs w:val="24"/>
        </w:rPr>
      </w:pPr>
    </w:p>
    <w:p w14:paraId="6721D7FD" w14:textId="77777777" w:rsidR="00A6675A" w:rsidRDefault="00A6675A" w:rsidP="0003123A">
      <w:pPr>
        <w:spacing w:line="360" w:lineRule="auto"/>
        <w:jc w:val="both"/>
        <w:rPr>
          <w:rFonts w:ascii="Baskerville Old Face" w:hAnsi="Baskerville Old Face" w:cs="Times New Roman"/>
          <w:sz w:val="24"/>
          <w:szCs w:val="24"/>
        </w:rPr>
      </w:pPr>
    </w:p>
    <w:p w14:paraId="03D11CEB" w14:textId="77777777" w:rsidR="00A6675A" w:rsidRDefault="00A6675A" w:rsidP="0003123A">
      <w:pPr>
        <w:spacing w:line="360" w:lineRule="auto"/>
        <w:jc w:val="both"/>
        <w:rPr>
          <w:rFonts w:ascii="Baskerville Old Face" w:hAnsi="Baskerville Old Face" w:cs="Times New Roman"/>
          <w:sz w:val="24"/>
          <w:szCs w:val="24"/>
        </w:rPr>
      </w:pPr>
    </w:p>
    <w:p w14:paraId="3F057A46" w14:textId="77777777" w:rsidR="00A6675A" w:rsidRDefault="00A6675A" w:rsidP="0003123A">
      <w:pPr>
        <w:spacing w:line="360" w:lineRule="auto"/>
        <w:jc w:val="both"/>
        <w:rPr>
          <w:rFonts w:ascii="Baskerville Old Face" w:hAnsi="Baskerville Old Face" w:cs="Times New Roman"/>
          <w:sz w:val="24"/>
          <w:szCs w:val="24"/>
        </w:rPr>
      </w:pPr>
    </w:p>
    <w:p w14:paraId="40758C44" w14:textId="77777777" w:rsidR="003E26F6" w:rsidRDefault="003E26F6" w:rsidP="0003123A">
      <w:pPr>
        <w:spacing w:line="360" w:lineRule="auto"/>
        <w:jc w:val="both"/>
        <w:rPr>
          <w:rFonts w:ascii="Baskerville Old Face" w:hAnsi="Baskerville Old Face" w:cs="Times New Roman"/>
          <w:sz w:val="24"/>
          <w:szCs w:val="24"/>
        </w:rPr>
      </w:pPr>
    </w:p>
    <w:p w14:paraId="4D44C2B4" w14:textId="1E4C8B82" w:rsidR="0003123A" w:rsidRPr="00BB1214" w:rsidRDefault="00076196" w:rsidP="00076196">
      <w:pPr>
        <w:spacing w:line="240" w:lineRule="auto"/>
        <w:jc w:val="both"/>
        <w:rPr>
          <w:rFonts w:ascii="Baskerville Old Face" w:hAnsi="Baskerville Old Face" w:cs="Times New Roman"/>
          <w:b/>
          <w:bCs/>
          <w:i/>
          <w:iCs/>
          <w:sz w:val="24"/>
          <w:szCs w:val="24"/>
        </w:rPr>
      </w:pPr>
      <w:bookmarkStart w:id="84" w:name="Table17"/>
      <w:r w:rsidRPr="008F3E3F">
        <w:rPr>
          <w:rFonts w:ascii="Baskerville Old Face" w:hAnsi="Baskerville Old Face" w:cs="Times New Roman"/>
          <w:b/>
          <w:bCs/>
          <w:i/>
          <w:iCs/>
          <w:sz w:val="24"/>
          <w:szCs w:val="24"/>
        </w:rPr>
        <w:lastRenderedPageBreak/>
        <w:t xml:space="preserve">Table </w:t>
      </w:r>
      <w:r w:rsidR="008F3E3F" w:rsidRPr="008F3E3F">
        <w:rPr>
          <w:rFonts w:ascii="Baskerville Old Face" w:hAnsi="Baskerville Old Face" w:cs="Times New Roman"/>
          <w:b/>
          <w:bCs/>
          <w:i/>
          <w:iCs/>
          <w:sz w:val="24"/>
          <w:szCs w:val="24"/>
        </w:rPr>
        <w:t>1</w:t>
      </w:r>
      <w:r w:rsidR="003E26F6">
        <w:rPr>
          <w:rFonts w:ascii="Baskerville Old Face" w:hAnsi="Baskerville Old Face" w:cs="Times New Roman"/>
          <w:b/>
          <w:bCs/>
          <w:i/>
          <w:iCs/>
          <w:sz w:val="24"/>
          <w:szCs w:val="24"/>
        </w:rPr>
        <w:t>7</w:t>
      </w:r>
      <w:r w:rsidRPr="00BB1214">
        <w:rPr>
          <w:rFonts w:ascii="Baskerville Old Face" w:hAnsi="Baskerville Old Face" w:cs="Times New Roman"/>
          <w:b/>
          <w:bCs/>
          <w:i/>
          <w:iCs/>
          <w:sz w:val="24"/>
          <w:szCs w:val="24"/>
        </w:rPr>
        <w:t xml:space="preserve">: </w:t>
      </w:r>
      <w:r>
        <w:rPr>
          <w:rFonts w:ascii="Baskerville Old Face" w:hAnsi="Baskerville Old Face" w:cs="Times New Roman"/>
          <w:b/>
          <w:bCs/>
          <w:i/>
          <w:iCs/>
          <w:sz w:val="24"/>
          <w:szCs w:val="24"/>
        </w:rPr>
        <w:t xml:space="preserve">EIRU Tax </w:t>
      </w:r>
      <w:r w:rsidRPr="00BB1214">
        <w:rPr>
          <w:rFonts w:ascii="Baskerville Old Face" w:hAnsi="Baskerville Old Face" w:cs="Times New Roman"/>
          <w:b/>
          <w:bCs/>
          <w:i/>
          <w:iCs/>
          <w:sz w:val="24"/>
          <w:szCs w:val="24"/>
        </w:rPr>
        <w:t xml:space="preserve">Audit </w:t>
      </w:r>
      <w:r>
        <w:rPr>
          <w:rFonts w:ascii="Baskerville Old Face" w:hAnsi="Baskerville Old Face" w:cs="Times New Roman"/>
          <w:b/>
          <w:bCs/>
          <w:i/>
          <w:iCs/>
          <w:sz w:val="24"/>
          <w:szCs w:val="24"/>
        </w:rPr>
        <w:t>Liability</w:t>
      </w:r>
      <w:r w:rsidRPr="00BB1214">
        <w:rPr>
          <w:rFonts w:ascii="Baskerville Old Face" w:hAnsi="Baskerville Old Face" w:cs="Times New Roman"/>
          <w:b/>
          <w:bCs/>
          <w:i/>
          <w:iCs/>
          <w:sz w:val="24"/>
          <w:szCs w:val="24"/>
        </w:rPr>
        <w:t xml:space="preserve"> (202</w:t>
      </w:r>
      <w:r>
        <w:rPr>
          <w:rFonts w:ascii="Baskerville Old Face" w:hAnsi="Baskerville Old Face" w:cs="Times New Roman"/>
          <w:b/>
          <w:bCs/>
          <w:i/>
          <w:iCs/>
          <w:sz w:val="24"/>
          <w:szCs w:val="24"/>
        </w:rPr>
        <w:t>3</w:t>
      </w:r>
      <w:r w:rsidRPr="00BB1214">
        <w:rPr>
          <w:rFonts w:ascii="Baskerville Old Face" w:hAnsi="Baskerville Old Face" w:cs="Times New Roman"/>
          <w:b/>
          <w:bCs/>
          <w:i/>
          <w:iCs/>
          <w:sz w:val="24"/>
          <w:szCs w:val="24"/>
        </w:rPr>
        <w:t xml:space="preserve"> and 2022) in NLe</w:t>
      </w:r>
      <w:r>
        <w:rPr>
          <w:rFonts w:ascii="Baskerville Old Face" w:hAnsi="Baskerville Old Face" w:cs="Times New Roman"/>
          <w:b/>
          <w:bCs/>
          <w:i/>
          <w:iCs/>
          <w:sz w:val="24"/>
          <w:szCs w:val="24"/>
        </w:rPr>
        <w:t xml:space="preserve"> and USD</w:t>
      </w:r>
    </w:p>
    <w:tbl>
      <w:tblPr>
        <w:tblStyle w:val="GridTable5Dark-Accent3"/>
        <w:tblW w:w="9895" w:type="dxa"/>
        <w:tblLook w:val="04A0" w:firstRow="1" w:lastRow="0" w:firstColumn="1" w:lastColumn="0" w:noHBand="0" w:noVBand="1"/>
      </w:tblPr>
      <w:tblGrid>
        <w:gridCol w:w="1975"/>
        <w:gridCol w:w="1080"/>
        <w:gridCol w:w="1080"/>
        <w:gridCol w:w="1440"/>
        <w:gridCol w:w="1350"/>
        <w:gridCol w:w="1530"/>
        <w:gridCol w:w="1440"/>
      </w:tblGrid>
      <w:tr w:rsidR="0003123A" w:rsidRPr="00BB1214" w14:paraId="63B5EF7E" w14:textId="77777777" w:rsidTr="00D94D02">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vMerge w:val="restart"/>
            <w:noWrap/>
            <w:hideMark/>
          </w:tcPr>
          <w:bookmarkEnd w:id="84"/>
          <w:p w14:paraId="61EE3F24" w14:textId="77777777" w:rsidR="0003123A" w:rsidRPr="00ED055B" w:rsidRDefault="0003123A" w:rsidP="00D94D02">
            <w:pPr>
              <w:spacing w:line="360" w:lineRule="auto"/>
              <w:jc w:val="center"/>
              <w:rPr>
                <w:rFonts w:ascii="Baskerville Old Face" w:hAnsi="Baskerville Old Face" w:cs="Times New Roman"/>
                <w:color w:val="auto"/>
              </w:rPr>
            </w:pPr>
            <w:r w:rsidRPr="00ED055B">
              <w:rPr>
                <w:rFonts w:ascii="Baskerville Old Face" w:hAnsi="Baskerville Old Face" w:cs="Times New Roman"/>
                <w:color w:val="auto"/>
              </w:rPr>
              <w:t>Tax Type</w:t>
            </w:r>
          </w:p>
        </w:tc>
        <w:tc>
          <w:tcPr>
            <w:tcW w:w="2160" w:type="dxa"/>
            <w:gridSpan w:val="2"/>
            <w:noWrap/>
            <w:hideMark/>
          </w:tcPr>
          <w:p w14:paraId="0BF93A6C" w14:textId="77777777" w:rsidR="0003123A" w:rsidRPr="00BB1214" w:rsidRDefault="0003123A" w:rsidP="00D94D02">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B1214">
              <w:rPr>
                <w:rFonts w:ascii="Baskerville Old Face" w:hAnsi="Baskerville Old Face" w:cs="Times New Roman"/>
                <w:color w:val="auto"/>
                <w:lang w:val="en-GB"/>
              </w:rPr>
              <w:t>2023</w:t>
            </w:r>
          </w:p>
        </w:tc>
        <w:tc>
          <w:tcPr>
            <w:tcW w:w="2790" w:type="dxa"/>
            <w:gridSpan w:val="2"/>
            <w:noWrap/>
            <w:hideMark/>
          </w:tcPr>
          <w:p w14:paraId="7342FBC0" w14:textId="77777777" w:rsidR="0003123A" w:rsidRPr="00BB1214" w:rsidRDefault="0003123A" w:rsidP="00D94D02">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B1214">
              <w:rPr>
                <w:rFonts w:ascii="Baskerville Old Face" w:hAnsi="Baskerville Old Face" w:cs="Times New Roman"/>
                <w:color w:val="auto"/>
              </w:rPr>
              <w:t>2022</w:t>
            </w:r>
          </w:p>
        </w:tc>
        <w:tc>
          <w:tcPr>
            <w:tcW w:w="2970" w:type="dxa"/>
            <w:gridSpan w:val="2"/>
            <w:vMerge w:val="restart"/>
            <w:noWrap/>
            <w:hideMark/>
          </w:tcPr>
          <w:p w14:paraId="6BC0EFA1" w14:textId="77777777" w:rsidR="0003123A" w:rsidRPr="00BB1214" w:rsidRDefault="0003123A" w:rsidP="00D94D02">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BB1214">
              <w:rPr>
                <w:rFonts w:ascii="Baskerville Old Face" w:hAnsi="Baskerville Old Face" w:cs="Times New Roman"/>
                <w:color w:val="auto"/>
              </w:rPr>
              <w:t>Difference</w:t>
            </w:r>
          </w:p>
        </w:tc>
      </w:tr>
      <w:tr w:rsidR="0003123A" w:rsidRPr="00BB1214" w14:paraId="0F54C07B"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75" w:type="dxa"/>
            <w:vMerge/>
            <w:hideMark/>
          </w:tcPr>
          <w:p w14:paraId="55B1A64A" w14:textId="77777777" w:rsidR="0003123A" w:rsidRPr="00ED055B" w:rsidRDefault="0003123A" w:rsidP="00D94D02">
            <w:pPr>
              <w:spacing w:line="360" w:lineRule="auto"/>
              <w:jc w:val="both"/>
              <w:rPr>
                <w:rFonts w:ascii="Baskerville Old Face" w:hAnsi="Baskerville Old Face" w:cs="Times New Roman"/>
                <w:color w:val="auto"/>
              </w:rPr>
            </w:pPr>
          </w:p>
        </w:tc>
        <w:tc>
          <w:tcPr>
            <w:tcW w:w="2160" w:type="dxa"/>
            <w:gridSpan w:val="2"/>
            <w:noWrap/>
            <w:hideMark/>
          </w:tcPr>
          <w:p w14:paraId="1B4545D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Currency</w:t>
            </w:r>
          </w:p>
        </w:tc>
        <w:tc>
          <w:tcPr>
            <w:tcW w:w="2790" w:type="dxa"/>
            <w:gridSpan w:val="2"/>
            <w:noWrap/>
            <w:hideMark/>
          </w:tcPr>
          <w:p w14:paraId="4B95249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Currency</w:t>
            </w:r>
          </w:p>
        </w:tc>
        <w:tc>
          <w:tcPr>
            <w:tcW w:w="2970" w:type="dxa"/>
            <w:gridSpan w:val="2"/>
            <w:vMerge/>
            <w:hideMark/>
          </w:tcPr>
          <w:p w14:paraId="33A9ACB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p>
        </w:tc>
      </w:tr>
      <w:tr w:rsidR="0003123A" w:rsidRPr="00BB1214" w14:paraId="0913FC3C" w14:textId="77777777" w:rsidTr="00D94D02">
        <w:trPr>
          <w:trHeight w:val="300"/>
        </w:trPr>
        <w:tc>
          <w:tcPr>
            <w:cnfStyle w:val="001000000000" w:firstRow="0" w:lastRow="0" w:firstColumn="1" w:lastColumn="0" w:oddVBand="0" w:evenVBand="0" w:oddHBand="0" w:evenHBand="0" w:firstRowFirstColumn="0" w:firstRowLastColumn="0" w:lastRowFirstColumn="0" w:lastRowLastColumn="0"/>
            <w:tcW w:w="1975" w:type="dxa"/>
            <w:vMerge/>
            <w:hideMark/>
          </w:tcPr>
          <w:p w14:paraId="4168DECA" w14:textId="77777777" w:rsidR="0003123A" w:rsidRPr="00ED055B" w:rsidRDefault="0003123A" w:rsidP="00D94D02">
            <w:pPr>
              <w:spacing w:line="360" w:lineRule="auto"/>
              <w:jc w:val="both"/>
              <w:rPr>
                <w:rFonts w:ascii="Baskerville Old Face" w:hAnsi="Baskerville Old Face" w:cs="Times New Roman"/>
                <w:color w:val="auto"/>
              </w:rPr>
            </w:pPr>
          </w:p>
        </w:tc>
        <w:tc>
          <w:tcPr>
            <w:tcW w:w="1080" w:type="dxa"/>
            <w:noWrap/>
            <w:hideMark/>
          </w:tcPr>
          <w:p w14:paraId="6F37B662"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NLe</w:t>
            </w:r>
          </w:p>
        </w:tc>
        <w:tc>
          <w:tcPr>
            <w:tcW w:w="1080" w:type="dxa"/>
            <w:noWrap/>
            <w:hideMark/>
          </w:tcPr>
          <w:p w14:paraId="475CC6F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USD</w:t>
            </w:r>
          </w:p>
        </w:tc>
        <w:tc>
          <w:tcPr>
            <w:tcW w:w="1440" w:type="dxa"/>
            <w:noWrap/>
            <w:hideMark/>
          </w:tcPr>
          <w:p w14:paraId="4D4A954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NLe</w:t>
            </w:r>
          </w:p>
        </w:tc>
        <w:tc>
          <w:tcPr>
            <w:tcW w:w="1350" w:type="dxa"/>
            <w:noWrap/>
            <w:hideMark/>
          </w:tcPr>
          <w:p w14:paraId="414D959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USD</w:t>
            </w:r>
          </w:p>
        </w:tc>
        <w:tc>
          <w:tcPr>
            <w:tcW w:w="1530" w:type="dxa"/>
            <w:noWrap/>
            <w:hideMark/>
          </w:tcPr>
          <w:p w14:paraId="586FAE2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NLe</w:t>
            </w:r>
          </w:p>
        </w:tc>
        <w:tc>
          <w:tcPr>
            <w:tcW w:w="1440" w:type="dxa"/>
            <w:noWrap/>
            <w:hideMark/>
          </w:tcPr>
          <w:p w14:paraId="4F79A74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lang w:val="en-GB"/>
              </w:rPr>
              <w:t>USD</w:t>
            </w:r>
          </w:p>
        </w:tc>
      </w:tr>
      <w:tr w:rsidR="0003123A" w:rsidRPr="00BB1214" w14:paraId="3E0BB178"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EC0334E"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PAYE</w:t>
            </w:r>
          </w:p>
        </w:tc>
        <w:tc>
          <w:tcPr>
            <w:tcW w:w="1080" w:type="dxa"/>
            <w:noWrap/>
            <w:hideMark/>
          </w:tcPr>
          <w:p w14:paraId="0E7D294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1,247,476</w:t>
            </w:r>
          </w:p>
        </w:tc>
        <w:tc>
          <w:tcPr>
            <w:tcW w:w="1080" w:type="dxa"/>
            <w:noWrap/>
            <w:hideMark/>
          </w:tcPr>
          <w:p w14:paraId="72A65360"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49,088</w:t>
            </w:r>
          </w:p>
        </w:tc>
        <w:tc>
          <w:tcPr>
            <w:tcW w:w="1440" w:type="dxa"/>
            <w:noWrap/>
            <w:hideMark/>
          </w:tcPr>
          <w:p w14:paraId="71D972FF"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1,482,161</w:t>
            </w:r>
          </w:p>
        </w:tc>
        <w:tc>
          <w:tcPr>
            <w:tcW w:w="1350" w:type="dxa"/>
            <w:noWrap/>
            <w:hideMark/>
          </w:tcPr>
          <w:p w14:paraId="3E1D9AD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906,316</w:t>
            </w:r>
          </w:p>
        </w:tc>
        <w:tc>
          <w:tcPr>
            <w:tcW w:w="1530" w:type="dxa"/>
            <w:noWrap/>
            <w:hideMark/>
          </w:tcPr>
          <w:p w14:paraId="10CA3434"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234,685</w:t>
            </w:r>
            <w:r>
              <w:rPr>
                <w:rFonts w:ascii="Baskerville Old Face" w:hAnsi="Baskerville Old Face" w:cs="Times New Roman"/>
              </w:rPr>
              <w:t>)</w:t>
            </w:r>
          </w:p>
        </w:tc>
        <w:tc>
          <w:tcPr>
            <w:tcW w:w="1440" w:type="dxa"/>
            <w:noWrap/>
            <w:hideMark/>
          </w:tcPr>
          <w:p w14:paraId="3841594D"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857,228</w:t>
            </w:r>
            <w:r>
              <w:rPr>
                <w:rFonts w:ascii="Baskerville Old Face" w:hAnsi="Baskerville Old Face" w:cs="Times New Roman"/>
              </w:rPr>
              <w:t>)</w:t>
            </w:r>
          </w:p>
        </w:tc>
      </w:tr>
      <w:tr w:rsidR="0003123A" w:rsidRPr="00BB1214" w14:paraId="5DE80991"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1A421E8"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Payroll Tax</w:t>
            </w:r>
          </w:p>
        </w:tc>
        <w:tc>
          <w:tcPr>
            <w:tcW w:w="1080" w:type="dxa"/>
            <w:noWrap/>
            <w:hideMark/>
          </w:tcPr>
          <w:p w14:paraId="70B5AEE6"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295,000</w:t>
            </w:r>
          </w:p>
        </w:tc>
        <w:tc>
          <w:tcPr>
            <w:tcW w:w="1080" w:type="dxa"/>
            <w:noWrap/>
            <w:hideMark/>
          </w:tcPr>
          <w:p w14:paraId="0503A3C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2,500</w:t>
            </w:r>
          </w:p>
        </w:tc>
        <w:tc>
          <w:tcPr>
            <w:tcW w:w="1440" w:type="dxa"/>
            <w:noWrap/>
            <w:hideMark/>
          </w:tcPr>
          <w:p w14:paraId="77AF6E7F"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61,500</w:t>
            </w:r>
          </w:p>
        </w:tc>
        <w:tc>
          <w:tcPr>
            <w:tcW w:w="1350" w:type="dxa"/>
            <w:noWrap/>
            <w:hideMark/>
          </w:tcPr>
          <w:p w14:paraId="202EF07B"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29,304</w:t>
            </w:r>
          </w:p>
        </w:tc>
        <w:tc>
          <w:tcPr>
            <w:tcW w:w="1530" w:type="dxa"/>
            <w:noWrap/>
            <w:hideMark/>
          </w:tcPr>
          <w:p w14:paraId="43CC595A"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233,500</w:t>
            </w:r>
          </w:p>
        </w:tc>
        <w:tc>
          <w:tcPr>
            <w:tcW w:w="1440" w:type="dxa"/>
            <w:noWrap/>
            <w:hideMark/>
          </w:tcPr>
          <w:p w14:paraId="118CB42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26,804</w:t>
            </w:r>
            <w:r>
              <w:rPr>
                <w:rFonts w:ascii="Baskerville Old Face" w:hAnsi="Baskerville Old Face" w:cs="Times New Roman"/>
              </w:rPr>
              <w:t>)</w:t>
            </w:r>
          </w:p>
        </w:tc>
      </w:tr>
      <w:tr w:rsidR="0003123A" w:rsidRPr="00BB1214" w14:paraId="6807493E"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9C3F1DE"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Withholding Tax</w:t>
            </w:r>
          </w:p>
        </w:tc>
        <w:tc>
          <w:tcPr>
            <w:tcW w:w="1080" w:type="dxa"/>
            <w:noWrap/>
            <w:hideMark/>
          </w:tcPr>
          <w:p w14:paraId="5D22A49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714,500</w:t>
            </w:r>
          </w:p>
        </w:tc>
        <w:tc>
          <w:tcPr>
            <w:tcW w:w="1080" w:type="dxa"/>
            <w:noWrap/>
            <w:hideMark/>
          </w:tcPr>
          <w:p w14:paraId="151137FC"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12,014</w:t>
            </w:r>
          </w:p>
        </w:tc>
        <w:tc>
          <w:tcPr>
            <w:tcW w:w="1440" w:type="dxa"/>
            <w:noWrap/>
            <w:hideMark/>
          </w:tcPr>
          <w:p w14:paraId="509D6D14"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744,481</w:t>
            </w:r>
          </w:p>
        </w:tc>
        <w:tc>
          <w:tcPr>
            <w:tcW w:w="1350" w:type="dxa"/>
            <w:noWrap/>
            <w:hideMark/>
          </w:tcPr>
          <w:p w14:paraId="426E6A63"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315,517</w:t>
            </w:r>
          </w:p>
        </w:tc>
        <w:tc>
          <w:tcPr>
            <w:tcW w:w="1530" w:type="dxa"/>
            <w:noWrap/>
            <w:hideMark/>
          </w:tcPr>
          <w:p w14:paraId="20F434C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29,981</w:t>
            </w:r>
            <w:r>
              <w:rPr>
                <w:rFonts w:ascii="Baskerville Old Face" w:hAnsi="Baskerville Old Face" w:cs="Times New Roman"/>
              </w:rPr>
              <w:t>)</w:t>
            </w:r>
          </w:p>
        </w:tc>
        <w:tc>
          <w:tcPr>
            <w:tcW w:w="1440" w:type="dxa"/>
            <w:noWrap/>
            <w:hideMark/>
          </w:tcPr>
          <w:p w14:paraId="539A7855"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303,503</w:t>
            </w:r>
            <w:r>
              <w:rPr>
                <w:rFonts w:ascii="Baskerville Old Face" w:hAnsi="Baskerville Old Face" w:cs="Times New Roman"/>
              </w:rPr>
              <w:t>)</w:t>
            </w:r>
          </w:p>
        </w:tc>
      </w:tr>
      <w:tr w:rsidR="0003123A" w:rsidRPr="00BB1214" w14:paraId="68CE6D7B"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7A91ACBB"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Corporation Tax</w:t>
            </w:r>
          </w:p>
        </w:tc>
        <w:tc>
          <w:tcPr>
            <w:tcW w:w="1080" w:type="dxa"/>
            <w:noWrap/>
            <w:hideMark/>
          </w:tcPr>
          <w:p w14:paraId="419C80A3"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114,061</w:t>
            </w:r>
          </w:p>
        </w:tc>
        <w:tc>
          <w:tcPr>
            <w:tcW w:w="1080" w:type="dxa"/>
            <w:noWrap/>
            <w:hideMark/>
          </w:tcPr>
          <w:p w14:paraId="2BFFCD0D"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0F6A2B6A"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23,338</w:t>
            </w:r>
          </w:p>
        </w:tc>
        <w:tc>
          <w:tcPr>
            <w:tcW w:w="1350" w:type="dxa"/>
            <w:noWrap/>
            <w:hideMark/>
          </w:tcPr>
          <w:p w14:paraId="7710441E"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46121F18"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90,723</w:t>
            </w:r>
          </w:p>
        </w:tc>
        <w:tc>
          <w:tcPr>
            <w:tcW w:w="1440" w:type="dxa"/>
            <w:noWrap/>
            <w:hideMark/>
          </w:tcPr>
          <w:p w14:paraId="403FC0A6"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7216BA43"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524AE4F8" w14:textId="4E08DF4B"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Royalt</w:t>
            </w:r>
            <w:r w:rsidR="00551C06">
              <w:rPr>
                <w:rFonts w:ascii="Baskerville Old Face" w:hAnsi="Baskerville Old Face" w:cs="Times New Roman"/>
                <w:b w:val="0"/>
                <w:bCs w:val="0"/>
                <w:color w:val="auto"/>
              </w:rPr>
              <w:t>y</w:t>
            </w:r>
          </w:p>
        </w:tc>
        <w:tc>
          <w:tcPr>
            <w:tcW w:w="1080" w:type="dxa"/>
            <w:noWrap/>
            <w:hideMark/>
          </w:tcPr>
          <w:p w14:paraId="1E3EDD6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c>
          <w:tcPr>
            <w:tcW w:w="1080" w:type="dxa"/>
            <w:noWrap/>
            <w:hideMark/>
          </w:tcPr>
          <w:p w14:paraId="6CC0940E"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32FCBC8C"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350" w:type="dxa"/>
            <w:noWrap/>
            <w:hideMark/>
          </w:tcPr>
          <w:p w14:paraId="24DA0A39"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5BC6EB7F"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79454937"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58EA851B"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CF4A322"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Capital Gains Tax</w:t>
            </w:r>
          </w:p>
        </w:tc>
        <w:tc>
          <w:tcPr>
            <w:tcW w:w="1080" w:type="dxa"/>
            <w:noWrap/>
            <w:hideMark/>
          </w:tcPr>
          <w:p w14:paraId="002346DE"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1080" w:type="dxa"/>
            <w:noWrap/>
            <w:hideMark/>
          </w:tcPr>
          <w:p w14:paraId="64625B55"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2C56BDEC"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350" w:type="dxa"/>
            <w:noWrap/>
            <w:hideMark/>
          </w:tcPr>
          <w:p w14:paraId="16C0DA22"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7F7D043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7A16D4B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753682C5"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380151EC"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GST</w:t>
            </w:r>
          </w:p>
        </w:tc>
        <w:tc>
          <w:tcPr>
            <w:tcW w:w="1080" w:type="dxa"/>
            <w:noWrap/>
            <w:hideMark/>
          </w:tcPr>
          <w:p w14:paraId="25B0A0E7"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p>
        </w:tc>
        <w:tc>
          <w:tcPr>
            <w:tcW w:w="1080" w:type="dxa"/>
            <w:noWrap/>
            <w:hideMark/>
          </w:tcPr>
          <w:p w14:paraId="0419936A"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643906A6"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40,898</w:t>
            </w:r>
          </w:p>
        </w:tc>
        <w:tc>
          <w:tcPr>
            <w:tcW w:w="1350" w:type="dxa"/>
            <w:noWrap/>
            <w:hideMark/>
          </w:tcPr>
          <w:p w14:paraId="7AC0F088"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56D896A1"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40,898</w:t>
            </w:r>
            <w:r>
              <w:rPr>
                <w:rFonts w:ascii="Baskerville Old Face" w:hAnsi="Baskerville Old Face" w:cs="Times New Roman"/>
              </w:rPr>
              <w:t>)</w:t>
            </w:r>
          </w:p>
        </w:tc>
        <w:tc>
          <w:tcPr>
            <w:tcW w:w="1440" w:type="dxa"/>
            <w:noWrap/>
            <w:hideMark/>
          </w:tcPr>
          <w:p w14:paraId="4E1776D4"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0B8ABC57" w14:textId="77777777" w:rsidTr="00D94D02">
        <w:trPr>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4743C503" w14:textId="77777777"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Deemed Dividend</w:t>
            </w:r>
          </w:p>
        </w:tc>
        <w:tc>
          <w:tcPr>
            <w:tcW w:w="1080" w:type="dxa"/>
            <w:noWrap/>
            <w:hideMark/>
          </w:tcPr>
          <w:p w14:paraId="0DE9F14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1080" w:type="dxa"/>
            <w:noWrap/>
            <w:hideMark/>
          </w:tcPr>
          <w:p w14:paraId="62D963C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48D53A88"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350" w:type="dxa"/>
            <w:noWrap/>
            <w:hideMark/>
          </w:tcPr>
          <w:p w14:paraId="37335590"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530" w:type="dxa"/>
            <w:noWrap/>
            <w:hideMark/>
          </w:tcPr>
          <w:p w14:paraId="47664D3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c>
          <w:tcPr>
            <w:tcW w:w="1440" w:type="dxa"/>
            <w:noWrap/>
            <w:hideMark/>
          </w:tcPr>
          <w:p w14:paraId="3AACA034"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w:t>
            </w:r>
          </w:p>
        </w:tc>
      </w:tr>
      <w:tr w:rsidR="0003123A" w:rsidRPr="00BB1214" w14:paraId="194256B7" w14:textId="77777777" w:rsidTr="00D94D0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75" w:type="dxa"/>
            <w:noWrap/>
            <w:hideMark/>
          </w:tcPr>
          <w:p w14:paraId="64681A17" w14:textId="5085D212" w:rsidR="0003123A" w:rsidRPr="00ED055B" w:rsidRDefault="0003123A" w:rsidP="00D94D02">
            <w:pPr>
              <w:spacing w:line="360" w:lineRule="auto"/>
              <w:rPr>
                <w:rFonts w:ascii="Baskerville Old Face" w:hAnsi="Baskerville Old Face" w:cs="Times New Roman"/>
                <w:b w:val="0"/>
                <w:bCs w:val="0"/>
                <w:color w:val="auto"/>
              </w:rPr>
            </w:pPr>
            <w:r w:rsidRPr="00ED055B">
              <w:rPr>
                <w:rFonts w:ascii="Baskerville Old Face" w:hAnsi="Baskerville Old Face" w:cs="Times New Roman"/>
                <w:b w:val="0"/>
                <w:bCs w:val="0"/>
                <w:color w:val="auto"/>
              </w:rPr>
              <w:t>Penalt</w:t>
            </w:r>
            <w:r w:rsidR="00551C06">
              <w:rPr>
                <w:rFonts w:ascii="Baskerville Old Face" w:hAnsi="Baskerville Old Face" w:cs="Times New Roman"/>
                <w:b w:val="0"/>
                <w:bCs w:val="0"/>
                <w:color w:val="auto"/>
              </w:rPr>
              <w:t>y</w:t>
            </w:r>
          </w:p>
        </w:tc>
        <w:tc>
          <w:tcPr>
            <w:tcW w:w="1080" w:type="dxa"/>
            <w:noWrap/>
            <w:hideMark/>
          </w:tcPr>
          <w:p w14:paraId="08BDBEF3"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225,065</w:t>
            </w:r>
          </w:p>
        </w:tc>
        <w:tc>
          <w:tcPr>
            <w:tcW w:w="1080" w:type="dxa"/>
            <w:noWrap/>
            <w:hideMark/>
          </w:tcPr>
          <w:p w14:paraId="7253148A"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6,360</w:t>
            </w:r>
          </w:p>
        </w:tc>
        <w:tc>
          <w:tcPr>
            <w:tcW w:w="1440" w:type="dxa"/>
            <w:noWrap/>
            <w:hideMark/>
          </w:tcPr>
          <w:p w14:paraId="7847EF09"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551,423</w:t>
            </w:r>
          </w:p>
        </w:tc>
        <w:tc>
          <w:tcPr>
            <w:tcW w:w="1350" w:type="dxa"/>
            <w:noWrap/>
            <w:hideMark/>
          </w:tcPr>
          <w:p w14:paraId="7AAA24AD"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BB1214">
              <w:rPr>
                <w:rFonts w:ascii="Baskerville Old Face" w:hAnsi="Baskerville Old Face" w:cs="Times New Roman"/>
              </w:rPr>
              <w:t>212,559</w:t>
            </w:r>
          </w:p>
        </w:tc>
        <w:tc>
          <w:tcPr>
            <w:tcW w:w="1530" w:type="dxa"/>
            <w:noWrap/>
            <w:hideMark/>
          </w:tcPr>
          <w:p w14:paraId="6C4DFD27"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326,358</w:t>
            </w:r>
            <w:r>
              <w:rPr>
                <w:rFonts w:ascii="Baskerville Old Face" w:hAnsi="Baskerville Old Face" w:cs="Times New Roman"/>
              </w:rPr>
              <w:t>)</w:t>
            </w:r>
          </w:p>
        </w:tc>
        <w:tc>
          <w:tcPr>
            <w:tcW w:w="1440" w:type="dxa"/>
            <w:noWrap/>
            <w:hideMark/>
          </w:tcPr>
          <w:p w14:paraId="06F5A833" w14:textId="77777777" w:rsidR="0003123A" w:rsidRPr="00BB1214" w:rsidRDefault="0003123A" w:rsidP="00D94D02">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t>
            </w:r>
            <w:r w:rsidRPr="00BB1214">
              <w:rPr>
                <w:rFonts w:ascii="Baskerville Old Face" w:hAnsi="Baskerville Old Face" w:cs="Times New Roman"/>
              </w:rPr>
              <w:t>206,199</w:t>
            </w:r>
            <w:r>
              <w:rPr>
                <w:rFonts w:ascii="Baskerville Old Face" w:hAnsi="Baskerville Old Face" w:cs="Times New Roman"/>
              </w:rPr>
              <w:t>)</w:t>
            </w:r>
          </w:p>
        </w:tc>
      </w:tr>
      <w:tr w:rsidR="0003123A" w:rsidRPr="00BB1214" w14:paraId="04268DFF" w14:textId="77777777" w:rsidTr="00D94D02">
        <w:trPr>
          <w:trHeight w:val="288"/>
        </w:trPr>
        <w:tc>
          <w:tcPr>
            <w:cnfStyle w:val="001000000000" w:firstRow="0" w:lastRow="0" w:firstColumn="1" w:lastColumn="0" w:oddVBand="0" w:evenVBand="0" w:oddHBand="0" w:evenHBand="0" w:firstRowFirstColumn="0" w:firstRowLastColumn="0" w:lastRowFirstColumn="0" w:lastRowLastColumn="0"/>
            <w:tcW w:w="1975" w:type="dxa"/>
            <w:noWrap/>
            <w:hideMark/>
          </w:tcPr>
          <w:p w14:paraId="21056813" w14:textId="77777777" w:rsidR="0003123A" w:rsidRPr="00ED055B" w:rsidRDefault="0003123A" w:rsidP="00D94D02">
            <w:pPr>
              <w:spacing w:line="360" w:lineRule="auto"/>
              <w:rPr>
                <w:rFonts w:ascii="Baskerville Old Face" w:hAnsi="Baskerville Old Face" w:cs="Times New Roman"/>
                <w:color w:val="auto"/>
              </w:rPr>
            </w:pPr>
            <w:r w:rsidRPr="00ED055B">
              <w:rPr>
                <w:rFonts w:ascii="Baskerville Old Face" w:hAnsi="Baskerville Old Face" w:cs="Times New Roman"/>
                <w:color w:val="auto"/>
              </w:rPr>
              <w:t>TOTAL</w:t>
            </w:r>
          </w:p>
        </w:tc>
        <w:tc>
          <w:tcPr>
            <w:tcW w:w="1080" w:type="dxa"/>
            <w:noWrap/>
            <w:hideMark/>
          </w:tcPr>
          <w:p w14:paraId="6776603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2,596,102</w:t>
            </w:r>
          </w:p>
        </w:tc>
        <w:tc>
          <w:tcPr>
            <w:tcW w:w="1080" w:type="dxa"/>
            <w:noWrap/>
            <w:hideMark/>
          </w:tcPr>
          <w:p w14:paraId="43560A7A"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69,962</w:t>
            </w:r>
          </w:p>
        </w:tc>
        <w:tc>
          <w:tcPr>
            <w:tcW w:w="1440" w:type="dxa"/>
            <w:noWrap/>
            <w:hideMark/>
          </w:tcPr>
          <w:p w14:paraId="56DCC4C2"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2,903,800</w:t>
            </w:r>
          </w:p>
        </w:tc>
        <w:tc>
          <w:tcPr>
            <w:tcW w:w="1350" w:type="dxa"/>
            <w:noWrap/>
            <w:hideMark/>
          </w:tcPr>
          <w:p w14:paraId="6E752987"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BB1214">
              <w:rPr>
                <w:rFonts w:ascii="Baskerville Old Face" w:hAnsi="Baskerville Old Face" w:cs="Times New Roman"/>
                <w:b/>
                <w:bCs/>
              </w:rPr>
              <w:t>1,463,697</w:t>
            </w:r>
          </w:p>
        </w:tc>
        <w:tc>
          <w:tcPr>
            <w:tcW w:w="1530" w:type="dxa"/>
            <w:noWrap/>
            <w:hideMark/>
          </w:tcPr>
          <w:p w14:paraId="1FC72531"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Pr>
                <w:rFonts w:ascii="Baskerville Old Face" w:hAnsi="Baskerville Old Face" w:cs="Times New Roman"/>
                <w:b/>
                <w:bCs/>
              </w:rPr>
              <w:t>(</w:t>
            </w:r>
            <w:r w:rsidRPr="00BB1214">
              <w:rPr>
                <w:rFonts w:ascii="Baskerville Old Face" w:hAnsi="Baskerville Old Face" w:cs="Times New Roman"/>
                <w:b/>
                <w:bCs/>
              </w:rPr>
              <w:t>307,698</w:t>
            </w:r>
            <w:r>
              <w:rPr>
                <w:rFonts w:ascii="Baskerville Old Face" w:hAnsi="Baskerville Old Face" w:cs="Times New Roman"/>
                <w:b/>
                <w:bCs/>
              </w:rPr>
              <w:t>)</w:t>
            </w:r>
          </w:p>
        </w:tc>
        <w:tc>
          <w:tcPr>
            <w:tcW w:w="1440" w:type="dxa"/>
            <w:noWrap/>
            <w:hideMark/>
          </w:tcPr>
          <w:p w14:paraId="35EA9A19" w14:textId="77777777" w:rsidR="0003123A" w:rsidRPr="00BB1214" w:rsidRDefault="0003123A" w:rsidP="00D94D02">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Pr>
                <w:rFonts w:ascii="Baskerville Old Face" w:hAnsi="Baskerville Old Face" w:cs="Times New Roman"/>
                <w:b/>
                <w:bCs/>
              </w:rPr>
              <w:t>(</w:t>
            </w:r>
            <w:r w:rsidRPr="00BB1214">
              <w:rPr>
                <w:rFonts w:ascii="Baskerville Old Face" w:hAnsi="Baskerville Old Face" w:cs="Times New Roman"/>
                <w:b/>
                <w:bCs/>
              </w:rPr>
              <w:t>1,393,735</w:t>
            </w:r>
            <w:r>
              <w:rPr>
                <w:rFonts w:ascii="Baskerville Old Face" w:hAnsi="Baskerville Old Face" w:cs="Times New Roman"/>
                <w:b/>
                <w:bCs/>
              </w:rPr>
              <w:t>)</w:t>
            </w:r>
          </w:p>
        </w:tc>
      </w:tr>
    </w:tbl>
    <w:p w14:paraId="4C5AC1D7" w14:textId="29E75F8F" w:rsidR="00BC0266" w:rsidRPr="00BD27B1" w:rsidRDefault="00BC0266" w:rsidP="00BC0266">
      <w:pPr>
        <w:rPr>
          <w:rFonts w:ascii="Baskerville Old Face" w:hAnsi="Baskerville Old Face" w:cs="Times New Roman"/>
          <w:i/>
          <w:iCs/>
          <w:sz w:val="20"/>
          <w:szCs w:val="20"/>
        </w:rPr>
      </w:pPr>
      <w:r w:rsidRPr="00BD27B1">
        <w:rPr>
          <w:rFonts w:ascii="Baskerville Old Face" w:hAnsi="Baskerville Old Face" w:cs="Times New Roman"/>
          <w:i/>
          <w:iCs/>
          <w:sz w:val="20"/>
          <w:szCs w:val="20"/>
        </w:rPr>
        <w:t xml:space="preserve">Source: </w:t>
      </w:r>
      <w:r>
        <w:rPr>
          <w:rFonts w:ascii="Baskerville Old Face" w:hAnsi="Baskerville Old Face" w:cs="Times New Roman"/>
          <w:i/>
          <w:iCs/>
          <w:sz w:val="20"/>
          <w:szCs w:val="20"/>
        </w:rPr>
        <w:t xml:space="preserve">EIRU, </w:t>
      </w:r>
      <w:r w:rsidRPr="00BD27B1">
        <w:rPr>
          <w:rFonts w:ascii="Baskerville Old Face" w:hAnsi="Baskerville Old Face" w:cs="Times New Roman"/>
          <w:i/>
          <w:iCs/>
          <w:sz w:val="20"/>
          <w:szCs w:val="20"/>
        </w:rPr>
        <w:t>DTD</w:t>
      </w:r>
    </w:p>
    <w:p w14:paraId="49E3F122" w14:textId="77777777" w:rsidR="00A6675A" w:rsidRDefault="00A6675A" w:rsidP="002725A1">
      <w:pPr>
        <w:pStyle w:val="Heading2"/>
        <w:rPr>
          <w:rFonts w:eastAsia="Times New Roman"/>
        </w:rPr>
      </w:pPr>
    </w:p>
    <w:p w14:paraId="65D4F1ED" w14:textId="39415E1E" w:rsidR="00C50BBB" w:rsidRPr="0062044A" w:rsidRDefault="008E340B" w:rsidP="002725A1">
      <w:pPr>
        <w:pStyle w:val="Heading2"/>
        <w:rPr>
          <w:rFonts w:eastAsia="Times New Roman"/>
        </w:rPr>
      </w:pPr>
      <w:bookmarkStart w:id="85" w:name="_Toc198205708"/>
      <w:r>
        <w:rPr>
          <w:rFonts w:eastAsia="Times New Roman"/>
        </w:rPr>
        <w:t xml:space="preserve">4.4: </w:t>
      </w:r>
      <w:r w:rsidR="00C50BBB" w:rsidRPr="0062044A">
        <w:rPr>
          <w:rFonts w:eastAsia="Times New Roman"/>
        </w:rPr>
        <w:t>C</w:t>
      </w:r>
      <w:r w:rsidR="00C50BBB">
        <w:rPr>
          <w:rFonts w:eastAsia="Times New Roman"/>
        </w:rPr>
        <w:t>SD</w:t>
      </w:r>
      <w:r w:rsidR="00C50BBB" w:rsidRPr="0062044A">
        <w:rPr>
          <w:rFonts w:eastAsia="Times New Roman"/>
        </w:rPr>
        <w:t xml:space="preserve"> POST CLEARANCE AUDIT (PCA) ACTIVITIES IN 2023</w:t>
      </w:r>
      <w:bookmarkEnd w:id="85"/>
    </w:p>
    <w:p w14:paraId="27B25959" w14:textId="77777777" w:rsidR="002725A1" w:rsidRDefault="002725A1" w:rsidP="008D3D18">
      <w:pPr>
        <w:spacing w:line="360" w:lineRule="auto"/>
        <w:jc w:val="both"/>
        <w:rPr>
          <w:rFonts w:ascii="Baskerville Old Face" w:hAnsi="Baskerville Old Face" w:cs="Times New Roman"/>
          <w:sz w:val="24"/>
          <w:szCs w:val="24"/>
        </w:rPr>
      </w:pPr>
    </w:p>
    <w:p w14:paraId="4F6AC34D" w14:textId="029EF890" w:rsidR="008D3D18" w:rsidRPr="008D3D18" w:rsidRDefault="008D3D18" w:rsidP="008D3D18">
      <w:pPr>
        <w:spacing w:line="360" w:lineRule="auto"/>
        <w:jc w:val="both"/>
        <w:rPr>
          <w:rFonts w:ascii="Baskerville Old Face" w:hAnsi="Baskerville Old Face" w:cs="Times New Roman"/>
          <w:sz w:val="24"/>
          <w:szCs w:val="24"/>
        </w:rPr>
      </w:pPr>
      <w:r w:rsidRPr="008D3D18">
        <w:rPr>
          <w:rFonts w:ascii="Baskerville Old Face" w:hAnsi="Baskerville Old Face" w:cs="Times New Roman"/>
          <w:sz w:val="24"/>
          <w:szCs w:val="24"/>
        </w:rPr>
        <w:t xml:space="preserve">The primary function of the PCA is to perform audits, to verify the accuracy of import documentation, including Customs declarations, accounting records, and other pertinent commercial data maintained by individuals or entities involved in cross-border trade, either directly or indirectly. These activities are characteristic of modern Customs </w:t>
      </w:r>
      <w:proofErr w:type="gramStart"/>
      <w:r w:rsidRPr="008D3D18">
        <w:rPr>
          <w:rFonts w:ascii="Baskerville Old Face" w:hAnsi="Baskerville Old Face" w:cs="Times New Roman"/>
          <w:sz w:val="24"/>
          <w:szCs w:val="24"/>
        </w:rPr>
        <w:t>administrations</w:t>
      </w:r>
      <w:proofErr w:type="gramEnd"/>
      <w:r w:rsidRPr="008D3D18">
        <w:rPr>
          <w:rFonts w:ascii="Baskerville Old Face" w:hAnsi="Baskerville Old Face" w:cs="Times New Roman"/>
          <w:sz w:val="24"/>
          <w:szCs w:val="24"/>
        </w:rPr>
        <w:t xml:space="preserve"> and are designed to enhance Customs revenue collection and expedite processing times by </w:t>
      </w:r>
      <w:proofErr w:type="spellStart"/>
      <w:r w:rsidRPr="008D3D18">
        <w:rPr>
          <w:rFonts w:ascii="Baskerville Old Face" w:hAnsi="Baskerville Old Face" w:cs="Times New Roman"/>
          <w:sz w:val="24"/>
          <w:szCs w:val="24"/>
        </w:rPr>
        <w:t>minimi</w:t>
      </w:r>
      <w:r>
        <w:rPr>
          <w:rFonts w:ascii="Baskerville Old Face" w:hAnsi="Baskerville Old Face" w:cs="Times New Roman"/>
          <w:sz w:val="24"/>
          <w:szCs w:val="24"/>
        </w:rPr>
        <w:t>s</w:t>
      </w:r>
      <w:r w:rsidRPr="008D3D18">
        <w:rPr>
          <w:rFonts w:ascii="Baskerville Old Face" w:hAnsi="Baskerville Old Face" w:cs="Times New Roman"/>
          <w:sz w:val="24"/>
          <w:szCs w:val="24"/>
        </w:rPr>
        <w:t>ing</w:t>
      </w:r>
      <w:proofErr w:type="spellEnd"/>
      <w:r w:rsidRPr="008D3D18">
        <w:rPr>
          <w:rFonts w:ascii="Baskerville Old Face" w:hAnsi="Baskerville Old Face" w:cs="Times New Roman"/>
          <w:sz w:val="24"/>
          <w:szCs w:val="24"/>
        </w:rPr>
        <w:t xml:space="preserve"> intrusive inspections through a risk-based audit </w:t>
      </w:r>
      <w:r>
        <w:rPr>
          <w:rFonts w:ascii="Baskerville Old Face" w:hAnsi="Baskerville Old Face" w:cs="Times New Roman"/>
          <w:sz w:val="24"/>
          <w:szCs w:val="24"/>
        </w:rPr>
        <w:t>approach</w:t>
      </w:r>
      <w:r w:rsidRPr="008D3D18">
        <w:rPr>
          <w:rFonts w:ascii="Baskerville Old Face" w:hAnsi="Baskerville Old Face" w:cs="Times New Roman"/>
          <w:sz w:val="24"/>
          <w:szCs w:val="24"/>
        </w:rPr>
        <w:t>.</w:t>
      </w:r>
    </w:p>
    <w:p w14:paraId="3A02E091" w14:textId="25A92844" w:rsidR="008D3D18" w:rsidRPr="008D3D18" w:rsidRDefault="008D3D18" w:rsidP="008D3D18">
      <w:pPr>
        <w:spacing w:line="360" w:lineRule="auto"/>
        <w:jc w:val="both"/>
        <w:rPr>
          <w:rFonts w:ascii="Baskerville Old Face" w:hAnsi="Baskerville Old Face" w:cs="Times New Roman"/>
          <w:sz w:val="24"/>
          <w:szCs w:val="24"/>
        </w:rPr>
      </w:pPr>
      <w:r w:rsidRPr="008D3D18">
        <w:rPr>
          <w:rFonts w:ascii="Baskerville Old Face" w:hAnsi="Baskerville Old Face" w:cs="Times New Roman"/>
          <w:sz w:val="24"/>
          <w:szCs w:val="24"/>
        </w:rPr>
        <w:t>The PCA Unit works in collaboration with the</w:t>
      </w:r>
      <w:r>
        <w:rPr>
          <w:rFonts w:ascii="Baskerville Old Face" w:hAnsi="Baskerville Old Face" w:cs="Times New Roman"/>
          <w:sz w:val="24"/>
          <w:szCs w:val="24"/>
        </w:rPr>
        <w:t xml:space="preserve"> CSD Risk Management Unit (</w:t>
      </w:r>
      <w:r w:rsidRPr="008D3D18">
        <w:rPr>
          <w:rFonts w:ascii="Baskerville Old Face" w:hAnsi="Baskerville Old Face" w:cs="Times New Roman"/>
          <w:sz w:val="24"/>
          <w:szCs w:val="24"/>
        </w:rPr>
        <w:t>RMU</w:t>
      </w:r>
      <w:r>
        <w:rPr>
          <w:rFonts w:ascii="Baskerville Old Face" w:hAnsi="Baskerville Old Face" w:cs="Times New Roman"/>
          <w:sz w:val="24"/>
          <w:szCs w:val="24"/>
        </w:rPr>
        <w:t>)</w:t>
      </w:r>
      <w:r w:rsidRPr="008D3D18">
        <w:rPr>
          <w:rFonts w:ascii="Baskerville Old Face" w:hAnsi="Baskerville Old Face" w:cs="Times New Roman"/>
          <w:sz w:val="24"/>
          <w:szCs w:val="24"/>
        </w:rPr>
        <w:t xml:space="preserve"> to develop an annual Risk Register for profiling purposes and provides feedback to the Trade and Tariff Unit. Its activities encompass both desk and field audits, as well as joint examinations with the ASU and Risk Management Units.</w:t>
      </w:r>
    </w:p>
    <w:p w14:paraId="1BA53E9E" w14:textId="5AB33DFD" w:rsidR="00C50BBB" w:rsidRPr="008D3D18" w:rsidRDefault="008D3D18" w:rsidP="008D3D18">
      <w:pPr>
        <w:spacing w:line="360" w:lineRule="auto"/>
        <w:jc w:val="both"/>
        <w:rPr>
          <w:rFonts w:ascii="Baskerville Old Face" w:hAnsi="Baskerville Old Face" w:cs="Times New Roman"/>
          <w:sz w:val="24"/>
          <w:szCs w:val="24"/>
        </w:rPr>
      </w:pPr>
      <w:r w:rsidRPr="008D3D18">
        <w:rPr>
          <w:rFonts w:ascii="Baskerville Old Face" w:hAnsi="Baskerville Old Face" w:cs="Times New Roman"/>
          <w:sz w:val="24"/>
          <w:szCs w:val="24"/>
        </w:rPr>
        <w:t xml:space="preserve">Starting from 2018, the PCA's audit target was adjusted from 120 to 150 audits per year. During the reporting period, the PCA conducted and </w:t>
      </w:r>
      <w:r>
        <w:rPr>
          <w:rFonts w:ascii="Baskerville Old Face" w:hAnsi="Baskerville Old Face" w:cs="Times New Roman"/>
          <w:sz w:val="24"/>
          <w:szCs w:val="24"/>
        </w:rPr>
        <w:t xml:space="preserve">completed </w:t>
      </w:r>
      <w:r w:rsidRPr="008D3D18">
        <w:rPr>
          <w:rFonts w:ascii="Baskerville Old Face" w:hAnsi="Baskerville Old Face" w:cs="Times New Roman"/>
          <w:sz w:val="24"/>
          <w:szCs w:val="24"/>
        </w:rPr>
        <w:t>138 audits, resulting in the recovery of NLe3.836 million.</w:t>
      </w:r>
    </w:p>
    <w:p w14:paraId="1F332A86" w14:textId="6FC14768" w:rsidR="0003123A" w:rsidRPr="003F4F89" w:rsidRDefault="008E340B" w:rsidP="002725A1">
      <w:pPr>
        <w:pStyle w:val="Heading2"/>
      </w:pPr>
      <w:bookmarkStart w:id="86" w:name="_Toc198205709"/>
      <w:r>
        <w:lastRenderedPageBreak/>
        <w:t xml:space="preserve">4.5: </w:t>
      </w:r>
      <w:r w:rsidR="0003123A" w:rsidRPr="00E81DA5">
        <w:t xml:space="preserve">DTD ARREARS STATUS </w:t>
      </w:r>
      <w:r w:rsidR="0003123A" w:rsidRPr="003F4F89">
        <w:t xml:space="preserve">UPDATE </w:t>
      </w:r>
      <w:r w:rsidR="003F4F89" w:rsidRPr="003F4F89">
        <w:t>AND RECOVERY</w:t>
      </w:r>
      <w:bookmarkEnd w:id="86"/>
    </w:p>
    <w:p w14:paraId="3837AC75" w14:textId="77777777" w:rsidR="002725A1" w:rsidRDefault="002725A1" w:rsidP="0003123A">
      <w:pPr>
        <w:spacing w:line="360" w:lineRule="auto"/>
        <w:jc w:val="both"/>
        <w:rPr>
          <w:rFonts w:ascii="Baskerville Old Face" w:hAnsi="Baskerville Old Face" w:cs="Times New Roman"/>
          <w:sz w:val="24"/>
          <w:szCs w:val="24"/>
        </w:rPr>
      </w:pPr>
    </w:p>
    <w:p w14:paraId="08F32B94" w14:textId="7C536B93" w:rsidR="0003123A" w:rsidRPr="00171258" w:rsidRDefault="0003123A" w:rsidP="0003123A">
      <w:pPr>
        <w:spacing w:line="360" w:lineRule="auto"/>
        <w:jc w:val="both"/>
        <w:rPr>
          <w:rFonts w:ascii="Baskerville Old Face" w:hAnsi="Baskerville Old Face" w:cs="Times New Roman"/>
          <w:sz w:val="24"/>
          <w:szCs w:val="24"/>
        </w:rPr>
      </w:pPr>
      <w:r w:rsidRPr="00171258">
        <w:rPr>
          <w:rFonts w:ascii="Baskerville Old Face" w:hAnsi="Baskerville Old Face" w:cs="Times New Roman"/>
          <w:sz w:val="24"/>
          <w:szCs w:val="24"/>
        </w:rPr>
        <w:t xml:space="preserve">An overview of DTD arrears, categorized by tax type and office, is presented in </w:t>
      </w:r>
      <w:r w:rsidRPr="00C05927">
        <w:rPr>
          <w:rFonts w:ascii="Baskerville Old Face" w:hAnsi="Baskerville Old Face" w:cs="Times New Roman"/>
          <w:sz w:val="24"/>
          <w:szCs w:val="24"/>
        </w:rPr>
        <w:t xml:space="preserve">Table </w:t>
      </w:r>
      <w:r w:rsidR="00D73DBC">
        <w:rPr>
          <w:rFonts w:ascii="Baskerville Old Face" w:hAnsi="Baskerville Old Face" w:cs="Times New Roman"/>
          <w:sz w:val="24"/>
          <w:szCs w:val="24"/>
        </w:rPr>
        <w:t>1</w:t>
      </w:r>
      <w:r w:rsidR="003E26F6">
        <w:rPr>
          <w:rFonts w:ascii="Baskerville Old Face" w:hAnsi="Baskerville Old Face" w:cs="Times New Roman"/>
          <w:sz w:val="24"/>
          <w:szCs w:val="24"/>
        </w:rPr>
        <w:t>8</w:t>
      </w:r>
      <w:r w:rsidRPr="00171258">
        <w:rPr>
          <w:rFonts w:ascii="Baskerville Old Face" w:hAnsi="Baskerville Old Face" w:cs="Times New Roman"/>
          <w:sz w:val="24"/>
          <w:szCs w:val="24"/>
        </w:rPr>
        <w:t xml:space="preserve"> for the review period. The total sum of DTD arrears stood at NLe 5</w:t>
      </w:r>
      <w:r w:rsidR="00772570">
        <w:rPr>
          <w:rFonts w:ascii="Baskerville Old Face" w:hAnsi="Baskerville Old Face" w:cs="Times New Roman"/>
          <w:sz w:val="24"/>
          <w:szCs w:val="24"/>
        </w:rPr>
        <w:t>10</w:t>
      </w:r>
      <w:r w:rsidRPr="00171258">
        <w:rPr>
          <w:rFonts w:ascii="Baskerville Old Face" w:hAnsi="Baskerville Old Face" w:cs="Times New Roman"/>
          <w:sz w:val="24"/>
          <w:szCs w:val="24"/>
        </w:rPr>
        <w:t xml:space="preserve"> million, with arrears owed by State Owned Enterprises (SOEs) representing 9</w:t>
      </w:r>
      <w:r w:rsidR="008F3E3F">
        <w:rPr>
          <w:rFonts w:ascii="Baskerville Old Face" w:hAnsi="Baskerville Old Face" w:cs="Times New Roman"/>
          <w:sz w:val="24"/>
          <w:szCs w:val="24"/>
        </w:rPr>
        <w:t>4</w:t>
      </w:r>
      <w:r w:rsidRPr="00171258">
        <w:rPr>
          <w:rFonts w:ascii="Baskerville Old Face" w:hAnsi="Baskerville Old Face" w:cs="Times New Roman"/>
          <w:sz w:val="24"/>
          <w:szCs w:val="24"/>
        </w:rPr>
        <w:t>.</w:t>
      </w:r>
      <w:r w:rsidR="008F3E3F">
        <w:rPr>
          <w:rFonts w:ascii="Baskerville Old Face" w:hAnsi="Baskerville Old Face" w:cs="Times New Roman"/>
          <w:sz w:val="24"/>
          <w:szCs w:val="24"/>
        </w:rPr>
        <w:t>0</w:t>
      </w:r>
      <w:r w:rsidRPr="00171258">
        <w:rPr>
          <w:rFonts w:ascii="Baskerville Old Face" w:hAnsi="Baskerville Old Face" w:cs="Times New Roman"/>
          <w:sz w:val="24"/>
          <w:szCs w:val="24"/>
        </w:rPr>
        <w:t>% of the total reported arrears. This persistent trend mirrors that of the previous year, wherein SOEs accounted for 97.6% of total DTD arrears. Large taxpayers constituted the second-highest proportion of arrears, comprising 5.5% of the total liability share.</w:t>
      </w:r>
    </w:p>
    <w:p w14:paraId="4D317880" w14:textId="53209401" w:rsidR="0084492F" w:rsidRDefault="0003123A" w:rsidP="0003123A">
      <w:pPr>
        <w:spacing w:line="360" w:lineRule="auto"/>
        <w:jc w:val="both"/>
        <w:rPr>
          <w:rFonts w:ascii="Baskerville Old Face" w:hAnsi="Baskerville Old Face" w:cs="Times New Roman"/>
          <w:sz w:val="24"/>
          <w:szCs w:val="24"/>
        </w:rPr>
      </w:pPr>
      <w:r w:rsidRPr="00171258">
        <w:rPr>
          <w:rFonts w:ascii="Baskerville Old Face" w:hAnsi="Baskerville Old Face" w:cs="Times New Roman"/>
          <w:sz w:val="24"/>
          <w:szCs w:val="24"/>
        </w:rPr>
        <w:t xml:space="preserve">These statistics underscore the imperative for collaborative efforts between the National Revenue Authority (NRA) and state-owned enterprises to ensure the timely collection of revenue owed to the state. Furthermore, they highlight the necessity for the </w:t>
      </w:r>
      <w:r>
        <w:rPr>
          <w:rFonts w:ascii="Baskerville Old Face" w:hAnsi="Baskerville Old Face" w:cs="Times New Roman"/>
          <w:sz w:val="24"/>
          <w:szCs w:val="24"/>
        </w:rPr>
        <w:t>a</w:t>
      </w:r>
      <w:r w:rsidRPr="00171258">
        <w:rPr>
          <w:rFonts w:ascii="Baskerville Old Face" w:hAnsi="Baskerville Old Face" w:cs="Times New Roman"/>
          <w:sz w:val="24"/>
          <w:szCs w:val="24"/>
        </w:rPr>
        <w:t xml:space="preserve">udit </w:t>
      </w:r>
      <w:r>
        <w:rPr>
          <w:rFonts w:ascii="Baskerville Old Face" w:hAnsi="Baskerville Old Face" w:cs="Times New Roman"/>
          <w:sz w:val="24"/>
          <w:szCs w:val="24"/>
        </w:rPr>
        <w:t>u</w:t>
      </w:r>
      <w:r w:rsidRPr="00171258">
        <w:rPr>
          <w:rFonts w:ascii="Baskerville Old Face" w:hAnsi="Baskerville Old Face" w:cs="Times New Roman"/>
          <w:sz w:val="24"/>
          <w:szCs w:val="24"/>
        </w:rPr>
        <w:t>nit</w:t>
      </w:r>
      <w:r>
        <w:rPr>
          <w:rFonts w:ascii="Baskerville Old Face" w:hAnsi="Baskerville Old Face" w:cs="Times New Roman"/>
          <w:sz w:val="24"/>
          <w:szCs w:val="24"/>
        </w:rPr>
        <w:t>s</w:t>
      </w:r>
      <w:r w:rsidRPr="00171258">
        <w:rPr>
          <w:rFonts w:ascii="Baskerville Old Face" w:hAnsi="Baskerville Old Face" w:cs="Times New Roman"/>
          <w:sz w:val="24"/>
          <w:szCs w:val="24"/>
        </w:rPr>
        <w:t xml:space="preserve"> to fortify </w:t>
      </w:r>
      <w:proofErr w:type="gramStart"/>
      <w:r w:rsidRPr="00171258">
        <w:rPr>
          <w:rFonts w:ascii="Baskerville Old Face" w:hAnsi="Baskerville Old Face" w:cs="Times New Roman"/>
          <w:sz w:val="24"/>
          <w:szCs w:val="24"/>
        </w:rPr>
        <w:t>its</w:t>
      </w:r>
      <w:proofErr w:type="gramEnd"/>
      <w:r w:rsidRPr="00171258">
        <w:rPr>
          <w:rFonts w:ascii="Baskerville Old Face" w:hAnsi="Baskerville Old Face" w:cs="Times New Roman"/>
          <w:sz w:val="24"/>
          <w:szCs w:val="24"/>
        </w:rPr>
        <w:t xml:space="preserve"> audit capabilities and operations.</w:t>
      </w:r>
    </w:p>
    <w:p w14:paraId="5D0FC7CC" w14:textId="37F0A52B" w:rsidR="0003123A" w:rsidRPr="002275C8" w:rsidRDefault="0003123A" w:rsidP="0003123A">
      <w:pPr>
        <w:rPr>
          <w:rFonts w:ascii="Baskerville Old Face" w:hAnsi="Baskerville Old Face" w:cs="Times New Roman"/>
          <w:b/>
          <w:bCs/>
          <w:i/>
          <w:iCs/>
          <w:sz w:val="24"/>
          <w:szCs w:val="24"/>
        </w:rPr>
      </w:pPr>
      <w:bookmarkStart w:id="87" w:name="Table18"/>
      <w:r w:rsidRPr="00C05927">
        <w:rPr>
          <w:rFonts w:ascii="Baskerville Old Face" w:hAnsi="Baskerville Old Face" w:cs="Times New Roman"/>
          <w:b/>
          <w:bCs/>
          <w:i/>
          <w:iCs/>
          <w:sz w:val="24"/>
          <w:szCs w:val="24"/>
        </w:rPr>
        <w:t xml:space="preserve">Table </w:t>
      </w:r>
      <w:r w:rsidR="00D73DBC">
        <w:rPr>
          <w:rFonts w:ascii="Baskerville Old Face" w:hAnsi="Baskerville Old Face" w:cs="Times New Roman"/>
          <w:b/>
          <w:bCs/>
          <w:i/>
          <w:iCs/>
          <w:sz w:val="24"/>
          <w:szCs w:val="24"/>
        </w:rPr>
        <w:t>1</w:t>
      </w:r>
      <w:r w:rsidR="003E26F6">
        <w:rPr>
          <w:rFonts w:ascii="Baskerville Old Face" w:hAnsi="Baskerville Old Face" w:cs="Times New Roman"/>
          <w:b/>
          <w:bCs/>
          <w:i/>
          <w:iCs/>
          <w:sz w:val="24"/>
          <w:szCs w:val="24"/>
        </w:rPr>
        <w:t>8</w:t>
      </w:r>
      <w:r w:rsidRPr="002275C8">
        <w:rPr>
          <w:rFonts w:ascii="Baskerville Old Face" w:hAnsi="Baskerville Old Face" w:cs="Times New Roman"/>
          <w:b/>
          <w:bCs/>
          <w:i/>
          <w:iCs/>
          <w:sz w:val="24"/>
          <w:szCs w:val="24"/>
        </w:rPr>
        <w:t>: DTD Arrears by Tax Type and Office, 202</w:t>
      </w:r>
      <w:r>
        <w:rPr>
          <w:rFonts w:ascii="Baskerville Old Face" w:hAnsi="Baskerville Old Face" w:cs="Times New Roman"/>
          <w:b/>
          <w:bCs/>
          <w:i/>
          <w:iCs/>
          <w:sz w:val="24"/>
          <w:szCs w:val="24"/>
        </w:rPr>
        <w:t>3</w:t>
      </w:r>
    </w:p>
    <w:tbl>
      <w:tblPr>
        <w:tblStyle w:val="GridTable6Colorful-Accent5"/>
        <w:tblW w:w="0" w:type="auto"/>
        <w:tblLook w:val="04A0" w:firstRow="1" w:lastRow="0" w:firstColumn="1" w:lastColumn="0" w:noHBand="0" w:noVBand="1"/>
      </w:tblPr>
      <w:tblGrid>
        <w:gridCol w:w="3145"/>
        <w:gridCol w:w="3060"/>
        <w:gridCol w:w="1980"/>
      </w:tblGrid>
      <w:tr w:rsidR="0003123A" w:rsidRPr="002275C8" w14:paraId="399C8452" w14:textId="77777777" w:rsidTr="00D94D0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bookmarkEnd w:id="87"/>
          <w:p w14:paraId="4170B633" w14:textId="77777777" w:rsidR="0003123A" w:rsidRPr="002275C8" w:rsidRDefault="0003123A" w:rsidP="00D94D02">
            <w:pPr>
              <w:rPr>
                <w:rFonts w:ascii="Baskerville Old Face" w:hAnsi="Baskerville Old Face" w:cs="Times New Roman"/>
                <w:sz w:val="24"/>
                <w:szCs w:val="24"/>
              </w:rPr>
            </w:pPr>
            <w:r w:rsidRPr="00BC0266">
              <w:rPr>
                <w:rFonts w:ascii="Baskerville Old Face" w:hAnsi="Baskerville Old Face" w:cs="Times New Roman"/>
                <w:color w:val="auto"/>
                <w:sz w:val="24"/>
                <w:szCs w:val="24"/>
              </w:rPr>
              <w:t>Tax Type/Unit</w:t>
            </w:r>
          </w:p>
        </w:tc>
        <w:tc>
          <w:tcPr>
            <w:tcW w:w="3060" w:type="dxa"/>
            <w:noWrap/>
            <w:hideMark/>
          </w:tcPr>
          <w:p w14:paraId="1C0A9B3F" w14:textId="77777777" w:rsidR="0003123A" w:rsidRPr="002275C8" w:rsidRDefault="0003123A" w:rsidP="00D94D0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Amount (NLe)</w:t>
            </w:r>
          </w:p>
        </w:tc>
        <w:tc>
          <w:tcPr>
            <w:tcW w:w="1980" w:type="dxa"/>
            <w:noWrap/>
            <w:hideMark/>
          </w:tcPr>
          <w:p w14:paraId="5DF275C2" w14:textId="77777777" w:rsidR="0003123A" w:rsidRPr="002275C8" w:rsidRDefault="0003123A" w:rsidP="00D94D02">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lang w:val="en-GB"/>
              </w:rPr>
              <w:t>% Share of Total</w:t>
            </w:r>
          </w:p>
        </w:tc>
      </w:tr>
      <w:tr w:rsidR="0003123A" w:rsidRPr="002275C8" w14:paraId="76876B2E"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48D0665" w14:textId="77777777" w:rsidR="0003123A" w:rsidRPr="00BC0266" w:rsidRDefault="0003123A" w:rsidP="00D94D02">
            <w:pPr>
              <w:rPr>
                <w:rFonts w:ascii="Baskerville Old Face" w:hAnsi="Baskerville Old Face" w:cs="Times New Roman"/>
                <w:b w:val="0"/>
                <w:bCs w:val="0"/>
                <w:color w:val="auto"/>
                <w:sz w:val="24"/>
                <w:szCs w:val="24"/>
              </w:rPr>
            </w:pPr>
            <w:r w:rsidRPr="00BC0266">
              <w:rPr>
                <w:rFonts w:ascii="Baskerville Old Face" w:hAnsi="Baskerville Old Face" w:cs="Times New Roman"/>
                <w:b w:val="0"/>
                <w:bCs w:val="0"/>
                <w:color w:val="auto"/>
                <w:sz w:val="24"/>
                <w:szCs w:val="24"/>
              </w:rPr>
              <w:t>SOEs-LTO</w:t>
            </w:r>
          </w:p>
        </w:tc>
        <w:tc>
          <w:tcPr>
            <w:tcW w:w="3060" w:type="dxa"/>
            <w:noWrap/>
            <w:hideMark/>
          </w:tcPr>
          <w:p w14:paraId="713B2AE7" w14:textId="77777777" w:rsidR="0003123A" w:rsidRPr="00BC0266"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478,695,702.70</w:t>
            </w:r>
          </w:p>
        </w:tc>
        <w:tc>
          <w:tcPr>
            <w:tcW w:w="1980" w:type="dxa"/>
            <w:noWrap/>
            <w:hideMark/>
          </w:tcPr>
          <w:p w14:paraId="05E9D46F" w14:textId="77777777" w:rsidR="0003123A" w:rsidRPr="002275C8"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93.95%</w:t>
            </w:r>
          </w:p>
        </w:tc>
      </w:tr>
      <w:tr w:rsidR="0003123A" w:rsidRPr="002275C8" w14:paraId="10661B74" w14:textId="77777777" w:rsidTr="00D94D02">
        <w:trPr>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427C124"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Audit Liability-LTO</w:t>
            </w:r>
          </w:p>
        </w:tc>
        <w:tc>
          <w:tcPr>
            <w:tcW w:w="3060" w:type="dxa"/>
            <w:noWrap/>
            <w:hideMark/>
          </w:tcPr>
          <w:p w14:paraId="44295E9D" w14:textId="77777777" w:rsidR="0003123A" w:rsidRPr="00BC0266"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18,109,677.68</w:t>
            </w:r>
          </w:p>
        </w:tc>
        <w:tc>
          <w:tcPr>
            <w:tcW w:w="1980" w:type="dxa"/>
            <w:noWrap/>
            <w:hideMark/>
          </w:tcPr>
          <w:p w14:paraId="021F9364" w14:textId="77777777" w:rsidR="0003123A" w:rsidRPr="002275C8"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3.55%</w:t>
            </w:r>
          </w:p>
        </w:tc>
      </w:tr>
      <w:tr w:rsidR="0003123A" w:rsidRPr="002275C8" w14:paraId="00FEF431"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3837E67E"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Corporate Income Tax-LTO</w:t>
            </w:r>
          </w:p>
        </w:tc>
        <w:tc>
          <w:tcPr>
            <w:tcW w:w="3060" w:type="dxa"/>
            <w:noWrap/>
            <w:hideMark/>
          </w:tcPr>
          <w:p w14:paraId="539246D7" w14:textId="77777777" w:rsidR="0003123A" w:rsidRPr="00BC0266"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10,043,313.67</w:t>
            </w:r>
          </w:p>
        </w:tc>
        <w:tc>
          <w:tcPr>
            <w:tcW w:w="1980" w:type="dxa"/>
            <w:noWrap/>
            <w:hideMark/>
          </w:tcPr>
          <w:p w14:paraId="2DB4827E" w14:textId="77777777" w:rsidR="0003123A" w:rsidRPr="002275C8"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1.97%</w:t>
            </w:r>
          </w:p>
        </w:tc>
      </w:tr>
      <w:tr w:rsidR="0003123A" w:rsidRPr="002275C8" w14:paraId="4334CF3A" w14:textId="77777777" w:rsidTr="00D94D02">
        <w:trPr>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FEABC2A"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Audit Liability-MTO</w:t>
            </w:r>
          </w:p>
        </w:tc>
        <w:tc>
          <w:tcPr>
            <w:tcW w:w="3060" w:type="dxa"/>
            <w:noWrap/>
            <w:hideMark/>
          </w:tcPr>
          <w:p w14:paraId="7B417238" w14:textId="77777777" w:rsidR="0003123A" w:rsidRPr="00BC0266"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1,357,449.01</w:t>
            </w:r>
          </w:p>
        </w:tc>
        <w:tc>
          <w:tcPr>
            <w:tcW w:w="1980" w:type="dxa"/>
            <w:noWrap/>
            <w:hideMark/>
          </w:tcPr>
          <w:p w14:paraId="18C7C748" w14:textId="77777777" w:rsidR="0003123A" w:rsidRPr="002275C8"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0.27%</w:t>
            </w:r>
          </w:p>
        </w:tc>
      </w:tr>
      <w:tr w:rsidR="0003123A" w:rsidRPr="002275C8" w14:paraId="17AF516E" w14:textId="77777777" w:rsidTr="00D94D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45" w:type="dxa"/>
            <w:noWrap/>
            <w:hideMark/>
          </w:tcPr>
          <w:p w14:paraId="5BFEB524" w14:textId="77777777" w:rsidR="0003123A" w:rsidRPr="002275C8" w:rsidRDefault="0003123A" w:rsidP="00D94D02">
            <w:pPr>
              <w:rPr>
                <w:rFonts w:ascii="Baskerville Old Face" w:hAnsi="Baskerville Old Face" w:cs="Times New Roman"/>
                <w:b w:val="0"/>
                <w:bCs w:val="0"/>
                <w:color w:val="auto"/>
                <w:sz w:val="24"/>
                <w:szCs w:val="24"/>
              </w:rPr>
            </w:pPr>
            <w:r w:rsidRPr="002275C8">
              <w:rPr>
                <w:rFonts w:ascii="Baskerville Old Face" w:hAnsi="Baskerville Old Face" w:cs="Times New Roman"/>
                <w:b w:val="0"/>
                <w:bCs w:val="0"/>
                <w:color w:val="auto"/>
                <w:sz w:val="24"/>
                <w:szCs w:val="24"/>
              </w:rPr>
              <w:t>Corporate Income Tax-MTO</w:t>
            </w:r>
          </w:p>
        </w:tc>
        <w:tc>
          <w:tcPr>
            <w:tcW w:w="3060" w:type="dxa"/>
            <w:noWrap/>
            <w:hideMark/>
          </w:tcPr>
          <w:p w14:paraId="55781472" w14:textId="77777777" w:rsidR="0003123A" w:rsidRPr="00BC0266"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BC0266">
              <w:rPr>
                <w:rFonts w:ascii="Baskerville Old Face" w:hAnsi="Baskerville Old Face" w:cs="Times New Roman"/>
                <w:color w:val="auto"/>
                <w:sz w:val="24"/>
                <w:szCs w:val="24"/>
              </w:rPr>
              <w:t>1,334,338.91</w:t>
            </w:r>
          </w:p>
        </w:tc>
        <w:tc>
          <w:tcPr>
            <w:tcW w:w="1980" w:type="dxa"/>
            <w:noWrap/>
            <w:hideMark/>
          </w:tcPr>
          <w:p w14:paraId="7AB5489B" w14:textId="77777777" w:rsidR="0003123A" w:rsidRPr="002275C8" w:rsidRDefault="0003123A" w:rsidP="00D94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0.26%</w:t>
            </w:r>
          </w:p>
        </w:tc>
      </w:tr>
      <w:tr w:rsidR="0003123A" w:rsidRPr="002275C8" w14:paraId="7D12F0B7" w14:textId="77777777" w:rsidTr="00D94D02">
        <w:trPr>
          <w:trHeight w:val="300"/>
        </w:trPr>
        <w:tc>
          <w:tcPr>
            <w:cnfStyle w:val="001000000000" w:firstRow="0" w:lastRow="0" w:firstColumn="1" w:lastColumn="0" w:oddVBand="0" w:evenVBand="0" w:oddHBand="0" w:evenHBand="0" w:firstRowFirstColumn="0" w:firstRowLastColumn="0" w:lastRowFirstColumn="0" w:lastRowLastColumn="0"/>
            <w:tcW w:w="3145" w:type="dxa"/>
            <w:noWrap/>
            <w:hideMark/>
          </w:tcPr>
          <w:p w14:paraId="3BD3AAD3" w14:textId="77777777" w:rsidR="0003123A" w:rsidRPr="002275C8" w:rsidRDefault="0003123A" w:rsidP="00D94D02">
            <w:pPr>
              <w:rPr>
                <w:rFonts w:ascii="Baskerville Old Face" w:hAnsi="Baskerville Old Face" w:cs="Times New Roman"/>
                <w:color w:val="auto"/>
                <w:sz w:val="24"/>
                <w:szCs w:val="24"/>
              </w:rPr>
            </w:pPr>
            <w:r w:rsidRPr="002275C8">
              <w:rPr>
                <w:rFonts w:ascii="Baskerville Old Face" w:hAnsi="Baskerville Old Face" w:cs="Times New Roman"/>
                <w:color w:val="auto"/>
                <w:sz w:val="24"/>
                <w:szCs w:val="24"/>
              </w:rPr>
              <w:t> </w:t>
            </w:r>
            <w:r>
              <w:rPr>
                <w:rFonts w:ascii="Baskerville Old Face" w:hAnsi="Baskerville Old Face" w:cs="Times New Roman"/>
                <w:color w:val="auto"/>
                <w:sz w:val="24"/>
                <w:szCs w:val="24"/>
              </w:rPr>
              <w:t>TOTAL</w:t>
            </w:r>
          </w:p>
        </w:tc>
        <w:tc>
          <w:tcPr>
            <w:tcW w:w="3060" w:type="dxa"/>
            <w:noWrap/>
            <w:hideMark/>
          </w:tcPr>
          <w:p w14:paraId="424D2D87" w14:textId="77777777" w:rsidR="0003123A" w:rsidRPr="00BC0266"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sz w:val="24"/>
                <w:szCs w:val="24"/>
              </w:rPr>
            </w:pPr>
            <w:r w:rsidRPr="00BC0266">
              <w:rPr>
                <w:rFonts w:ascii="Baskerville Old Face" w:hAnsi="Baskerville Old Face" w:cs="Times New Roman"/>
                <w:b/>
                <w:bCs/>
                <w:color w:val="auto"/>
                <w:sz w:val="24"/>
                <w:szCs w:val="24"/>
              </w:rPr>
              <w:t>509,540,481.97</w:t>
            </w:r>
          </w:p>
        </w:tc>
        <w:tc>
          <w:tcPr>
            <w:tcW w:w="1980" w:type="dxa"/>
            <w:noWrap/>
            <w:hideMark/>
          </w:tcPr>
          <w:p w14:paraId="25D87BD2" w14:textId="77777777" w:rsidR="0003123A" w:rsidRPr="002275C8" w:rsidRDefault="0003123A" w:rsidP="00D94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4"/>
                <w:szCs w:val="24"/>
              </w:rPr>
            </w:pPr>
          </w:p>
        </w:tc>
      </w:tr>
    </w:tbl>
    <w:p w14:paraId="5AA99CFB" w14:textId="77777777" w:rsidR="0003123A" w:rsidRPr="00E06D14" w:rsidRDefault="0003123A" w:rsidP="0003123A">
      <w:pPr>
        <w:rPr>
          <w:rFonts w:ascii="Baskerville Old Face" w:hAnsi="Baskerville Old Face" w:cs="Times New Roman"/>
          <w:i/>
          <w:iCs/>
          <w:sz w:val="18"/>
          <w:szCs w:val="18"/>
        </w:rPr>
      </w:pPr>
      <w:r w:rsidRPr="00E06D14">
        <w:rPr>
          <w:rFonts w:ascii="Baskerville Old Face" w:hAnsi="Baskerville Old Face" w:cs="Times New Roman"/>
          <w:i/>
          <w:iCs/>
          <w:sz w:val="18"/>
          <w:szCs w:val="18"/>
        </w:rPr>
        <w:t>Source: DTD</w:t>
      </w:r>
    </w:p>
    <w:p w14:paraId="748645A4" w14:textId="2B41F85A" w:rsidR="00161D52" w:rsidRDefault="00161D52" w:rsidP="004D4619">
      <w:pPr>
        <w:spacing w:before="100" w:beforeAutospacing="1" w:after="0" w:line="360" w:lineRule="auto"/>
        <w:jc w:val="both"/>
        <w:rPr>
          <w:rFonts w:ascii="Baskerville Old Face" w:eastAsia="Times New Roman" w:hAnsi="Baskerville Old Face" w:cs="Times New Roman"/>
          <w:sz w:val="24"/>
          <w:szCs w:val="24"/>
        </w:rPr>
      </w:pPr>
      <w:r w:rsidRPr="00161D52">
        <w:rPr>
          <w:rFonts w:ascii="Baskerville Old Face" w:eastAsia="Times New Roman" w:hAnsi="Baskerville Old Face" w:cs="Times New Roman"/>
          <w:sz w:val="24"/>
          <w:szCs w:val="24"/>
        </w:rPr>
        <w:t xml:space="preserve">Table </w:t>
      </w:r>
      <w:r w:rsidR="003E26F6">
        <w:rPr>
          <w:rFonts w:ascii="Baskerville Old Face" w:eastAsia="Times New Roman" w:hAnsi="Baskerville Old Face" w:cs="Times New Roman"/>
          <w:sz w:val="24"/>
          <w:szCs w:val="24"/>
        </w:rPr>
        <w:t>19</w:t>
      </w:r>
      <w:r w:rsidRPr="00161D52">
        <w:rPr>
          <w:rFonts w:ascii="Baskerville Old Face" w:eastAsia="Times New Roman" w:hAnsi="Baskerville Old Face" w:cs="Times New Roman"/>
          <w:sz w:val="24"/>
          <w:szCs w:val="24"/>
        </w:rPr>
        <w:t xml:space="preserve"> </w:t>
      </w:r>
      <w:r>
        <w:rPr>
          <w:rFonts w:ascii="Baskerville Old Face" w:eastAsia="Times New Roman" w:hAnsi="Baskerville Old Face" w:cs="Times New Roman"/>
          <w:sz w:val="24"/>
          <w:szCs w:val="24"/>
        </w:rPr>
        <w:t>shows</w:t>
      </w:r>
      <w:r w:rsidRPr="00161D52">
        <w:rPr>
          <w:rFonts w:ascii="Baskerville Old Face" w:eastAsia="Times New Roman" w:hAnsi="Baskerville Old Face" w:cs="Times New Roman"/>
          <w:sz w:val="24"/>
          <w:szCs w:val="24"/>
        </w:rPr>
        <w:t xml:space="preserve"> the revenue recovered by the Enforcement Units of both MTO and LTO in 2023. In 2023, the MTO Enforcement Unit recovered NLe 3,520 billion, an increase from NLe 2,700 billion in 2022. Similarly, the LTO recovered NLe 12,081 billion in 2023, which was lower than the NLe 13,380 billion recovered in the previous year.</w:t>
      </w:r>
    </w:p>
    <w:p w14:paraId="36282F73"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1D05008E"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5998FD0A"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671AA170" w14:textId="77777777" w:rsidR="00A6675A" w:rsidRDefault="00A6675A" w:rsidP="004D4619">
      <w:pPr>
        <w:spacing w:before="100" w:beforeAutospacing="1" w:after="0" w:line="360" w:lineRule="auto"/>
        <w:jc w:val="both"/>
        <w:rPr>
          <w:rFonts w:ascii="Baskerville Old Face" w:eastAsia="Times New Roman" w:hAnsi="Baskerville Old Face" w:cs="Times New Roman"/>
          <w:sz w:val="24"/>
          <w:szCs w:val="24"/>
        </w:rPr>
      </w:pPr>
    </w:p>
    <w:p w14:paraId="2691117B" w14:textId="1DCF4698" w:rsidR="00C33D9B" w:rsidRPr="00C33D9B" w:rsidRDefault="00C33D9B" w:rsidP="004D4619">
      <w:pPr>
        <w:spacing w:before="100" w:beforeAutospacing="1" w:after="0" w:line="360" w:lineRule="auto"/>
        <w:jc w:val="both"/>
        <w:rPr>
          <w:rFonts w:ascii="Baskerville Old Face" w:eastAsia="Times New Roman" w:hAnsi="Baskerville Old Face" w:cs="Times New Roman"/>
          <w:b/>
          <w:bCs/>
          <w:i/>
          <w:iCs/>
          <w:sz w:val="24"/>
          <w:szCs w:val="24"/>
        </w:rPr>
      </w:pPr>
      <w:bookmarkStart w:id="88" w:name="Table19"/>
      <w:r w:rsidRPr="003F4F89">
        <w:rPr>
          <w:rFonts w:ascii="Baskerville Old Face" w:eastAsia="Times New Roman" w:hAnsi="Baskerville Old Face" w:cs="Times New Roman"/>
          <w:b/>
          <w:bCs/>
          <w:i/>
          <w:iCs/>
          <w:sz w:val="24"/>
          <w:szCs w:val="24"/>
        </w:rPr>
        <w:lastRenderedPageBreak/>
        <w:t xml:space="preserve">Table </w:t>
      </w:r>
      <w:r w:rsidR="003E26F6">
        <w:rPr>
          <w:rFonts w:ascii="Baskerville Old Face" w:eastAsia="Times New Roman" w:hAnsi="Baskerville Old Face" w:cs="Times New Roman"/>
          <w:b/>
          <w:bCs/>
          <w:i/>
          <w:iCs/>
          <w:sz w:val="24"/>
          <w:szCs w:val="24"/>
        </w:rPr>
        <w:t>19</w:t>
      </w:r>
      <w:proofErr w:type="gramStart"/>
      <w:r w:rsidRPr="00C33D9B">
        <w:rPr>
          <w:rFonts w:ascii="Baskerville Old Face" w:eastAsia="Times New Roman" w:hAnsi="Baskerville Old Face" w:cs="Times New Roman"/>
          <w:b/>
          <w:bCs/>
          <w:i/>
          <w:iCs/>
          <w:sz w:val="24"/>
          <w:szCs w:val="24"/>
        </w:rPr>
        <w:t xml:space="preserve">:  </w:t>
      </w:r>
      <w:r w:rsidR="00572579">
        <w:rPr>
          <w:rFonts w:ascii="Baskerville Old Face" w:eastAsia="Times New Roman" w:hAnsi="Baskerville Old Face" w:cs="Times New Roman"/>
          <w:b/>
          <w:bCs/>
          <w:i/>
          <w:iCs/>
          <w:sz w:val="24"/>
          <w:szCs w:val="24"/>
        </w:rPr>
        <w:t>DTD</w:t>
      </w:r>
      <w:proofErr w:type="gramEnd"/>
      <w:r w:rsidR="00572579">
        <w:rPr>
          <w:rFonts w:ascii="Baskerville Old Face" w:eastAsia="Times New Roman" w:hAnsi="Baskerville Old Face" w:cs="Times New Roman"/>
          <w:b/>
          <w:bCs/>
          <w:i/>
          <w:iCs/>
          <w:sz w:val="24"/>
          <w:szCs w:val="24"/>
        </w:rPr>
        <w:t xml:space="preserve"> </w:t>
      </w:r>
      <w:r w:rsidRPr="00C33D9B">
        <w:rPr>
          <w:rFonts w:ascii="Baskerville Old Face" w:eastAsia="Times New Roman" w:hAnsi="Baskerville Old Face" w:cs="Times New Roman"/>
          <w:b/>
          <w:bCs/>
          <w:i/>
          <w:iCs/>
          <w:sz w:val="24"/>
          <w:szCs w:val="24"/>
        </w:rPr>
        <w:t xml:space="preserve">Revenue Raised </w:t>
      </w:r>
      <w:r w:rsidR="00572579">
        <w:rPr>
          <w:rFonts w:ascii="Baskerville Old Face" w:eastAsia="Times New Roman" w:hAnsi="Baskerville Old Face" w:cs="Times New Roman"/>
          <w:b/>
          <w:bCs/>
          <w:i/>
          <w:iCs/>
          <w:sz w:val="24"/>
          <w:szCs w:val="24"/>
        </w:rPr>
        <w:t>from</w:t>
      </w:r>
      <w:r w:rsidRPr="00C33D9B">
        <w:rPr>
          <w:rFonts w:ascii="Baskerville Old Face" w:eastAsia="Times New Roman" w:hAnsi="Baskerville Old Face" w:cs="Times New Roman"/>
          <w:b/>
          <w:bCs/>
          <w:i/>
          <w:iCs/>
          <w:sz w:val="24"/>
          <w:szCs w:val="24"/>
        </w:rPr>
        <w:t xml:space="preserve"> Enforcement</w:t>
      </w:r>
      <w:r w:rsidR="00572579">
        <w:rPr>
          <w:rFonts w:ascii="Baskerville Old Face" w:eastAsia="Times New Roman" w:hAnsi="Baskerville Old Face" w:cs="Times New Roman"/>
          <w:b/>
          <w:bCs/>
          <w:i/>
          <w:iCs/>
          <w:sz w:val="24"/>
          <w:szCs w:val="24"/>
        </w:rPr>
        <w:t xml:space="preserve"> Activities</w:t>
      </w:r>
      <w:r w:rsidRPr="00C33D9B">
        <w:rPr>
          <w:rFonts w:ascii="Baskerville Old Face" w:eastAsia="Times New Roman" w:hAnsi="Baskerville Old Face" w:cs="Times New Roman"/>
          <w:b/>
          <w:bCs/>
          <w:i/>
          <w:iCs/>
          <w:sz w:val="24"/>
          <w:szCs w:val="24"/>
        </w:rPr>
        <w:t>, 202</w:t>
      </w:r>
      <w:r>
        <w:rPr>
          <w:rFonts w:ascii="Baskerville Old Face" w:eastAsia="Times New Roman" w:hAnsi="Baskerville Old Face" w:cs="Times New Roman"/>
          <w:b/>
          <w:bCs/>
          <w:i/>
          <w:iCs/>
          <w:sz w:val="24"/>
          <w:szCs w:val="24"/>
        </w:rPr>
        <w:t>3</w:t>
      </w:r>
    </w:p>
    <w:tbl>
      <w:tblPr>
        <w:tblStyle w:val="GridTable4-Accent3"/>
        <w:tblW w:w="0" w:type="auto"/>
        <w:tblLook w:val="04A0" w:firstRow="1" w:lastRow="0" w:firstColumn="1" w:lastColumn="0" w:noHBand="0" w:noVBand="1"/>
      </w:tblPr>
      <w:tblGrid>
        <w:gridCol w:w="2300"/>
        <w:gridCol w:w="1540"/>
        <w:gridCol w:w="2354"/>
      </w:tblGrid>
      <w:tr w:rsidR="0011188B" w:rsidRPr="0011188B" w14:paraId="7514CD78" w14:textId="77777777" w:rsidTr="0011188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00" w:type="dxa"/>
            <w:noWrap/>
            <w:hideMark/>
          </w:tcPr>
          <w:bookmarkEnd w:id="88"/>
          <w:p w14:paraId="58374F94" w14:textId="4DF351AB" w:rsidR="0011188B" w:rsidRPr="005B3744" w:rsidRDefault="0011188B" w:rsidP="0011188B">
            <w:pPr>
              <w:spacing w:before="100" w:beforeAutospacing="1" w:line="360" w:lineRule="auto"/>
              <w:jc w:val="center"/>
              <w:rPr>
                <w:rFonts w:ascii="Baskerville Old Face" w:eastAsia="Times New Roman" w:hAnsi="Baskerville Old Face" w:cs="Times New Roman"/>
                <w:color w:val="auto"/>
                <w:sz w:val="24"/>
                <w:szCs w:val="24"/>
              </w:rPr>
            </w:pPr>
            <w:r w:rsidRPr="005B3744">
              <w:rPr>
                <w:rFonts w:ascii="Baskerville Old Face" w:eastAsia="Times New Roman" w:hAnsi="Baskerville Old Face" w:cs="Times New Roman"/>
                <w:color w:val="auto"/>
                <w:sz w:val="24"/>
                <w:szCs w:val="24"/>
              </w:rPr>
              <w:t>TAX TYPES</w:t>
            </w:r>
          </w:p>
        </w:tc>
        <w:tc>
          <w:tcPr>
            <w:tcW w:w="1540" w:type="dxa"/>
            <w:noWrap/>
            <w:hideMark/>
          </w:tcPr>
          <w:p w14:paraId="5CF4CDDC" w14:textId="0A90E95D" w:rsidR="0011188B" w:rsidRPr="005B3744" w:rsidRDefault="0011188B" w:rsidP="0011188B">
            <w:pPr>
              <w:spacing w:before="100" w:beforeAutospacing="1"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auto"/>
                <w:sz w:val="24"/>
                <w:szCs w:val="24"/>
              </w:rPr>
            </w:pPr>
            <w:r w:rsidRPr="005B3744">
              <w:rPr>
                <w:rFonts w:ascii="Baskerville Old Face" w:eastAsia="Times New Roman" w:hAnsi="Baskerville Old Face" w:cs="Times New Roman"/>
                <w:color w:val="auto"/>
                <w:sz w:val="24"/>
                <w:szCs w:val="24"/>
              </w:rPr>
              <w:t>LTO</w:t>
            </w:r>
          </w:p>
        </w:tc>
        <w:tc>
          <w:tcPr>
            <w:tcW w:w="2354" w:type="dxa"/>
            <w:noWrap/>
            <w:hideMark/>
          </w:tcPr>
          <w:p w14:paraId="368A5CBF" w14:textId="0474BE87" w:rsidR="0011188B" w:rsidRPr="005B3744" w:rsidRDefault="0011188B" w:rsidP="0011188B">
            <w:pPr>
              <w:spacing w:before="100" w:beforeAutospacing="1"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auto"/>
                <w:sz w:val="24"/>
                <w:szCs w:val="24"/>
              </w:rPr>
            </w:pPr>
            <w:r w:rsidRPr="005B3744">
              <w:rPr>
                <w:rFonts w:ascii="Baskerville Old Face" w:eastAsia="Times New Roman" w:hAnsi="Baskerville Old Face" w:cs="Times New Roman"/>
                <w:color w:val="auto"/>
                <w:sz w:val="24"/>
                <w:szCs w:val="24"/>
              </w:rPr>
              <w:t>MTO</w:t>
            </w:r>
          </w:p>
        </w:tc>
      </w:tr>
      <w:tr w:rsidR="0011188B" w:rsidRPr="0011188B" w14:paraId="0BF982F9"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A1B7CBD" w14:textId="4B6BA336"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PIT</w:t>
            </w:r>
          </w:p>
        </w:tc>
        <w:tc>
          <w:tcPr>
            <w:tcW w:w="1540" w:type="dxa"/>
            <w:noWrap/>
            <w:hideMark/>
          </w:tcPr>
          <w:p w14:paraId="4B8D3A26" w14:textId="3C853B79"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4,832,47</w:t>
            </w:r>
            <w:r w:rsidR="00C33D9B">
              <w:rPr>
                <w:rFonts w:ascii="Baskerville Old Face" w:eastAsia="Times New Roman" w:hAnsi="Baskerville Old Face" w:cs="Times New Roman"/>
                <w:sz w:val="24"/>
                <w:szCs w:val="24"/>
              </w:rPr>
              <w:t>6</w:t>
            </w:r>
          </w:p>
        </w:tc>
        <w:tc>
          <w:tcPr>
            <w:tcW w:w="2354" w:type="dxa"/>
            <w:noWrap/>
            <w:hideMark/>
          </w:tcPr>
          <w:p w14:paraId="03FC9555" w14:textId="38AF7EA5"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p>
        </w:tc>
      </w:tr>
      <w:tr w:rsidR="0011188B" w:rsidRPr="0011188B" w14:paraId="38D0F004" w14:textId="77777777" w:rsidTr="0011188B">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E223A8F" w14:textId="1E2E4DF2"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CIT</w:t>
            </w:r>
          </w:p>
        </w:tc>
        <w:tc>
          <w:tcPr>
            <w:tcW w:w="1540" w:type="dxa"/>
            <w:noWrap/>
            <w:hideMark/>
          </w:tcPr>
          <w:p w14:paraId="022D7152" w14:textId="7747739B"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2,416,23</w:t>
            </w:r>
            <w:r w:rsidR="00C33D9B">
              <w:rPr>
                <w:rFonts w:ascii="Baskerville Old Face" w:eastAsia="Times New Roman" w:hAnsi="Baskerville Old Face" w:cs="Times New Roman"/>
                <w:sz w:val="24"/>
                <w:szCs w:val="24"/>
              </w:rPr>
              <w:t>8</w:t>
            </w:r>
          </w:p>
        </w:tc>
        <w:tc>
          <w:tcPr>
            <w:tcW w:w="2354" w:type="dxa"/>
            <w:noWrap/>
            <w:hideMark/>
          </w:tcPr>
          <w:p w14:paraId="24610386" w14:textId="1778025C"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p>
        </w:tc>
      </w:tr>
      <w:tr w:rsidR="0011188B" w:rsidRPr="0011188B" w14:paraId="0D850EA1"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4294AD1C" w14:textId="69DDE536"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PAYE</w:t>
            </w:r>
          </w:p>
        </w:tc>
        <w:tc>
          <w:tcPr>
            <w:tcW w:w="1540" w:type="dxa"/>
            <w:noWrap/>
            <w:hideMark/>
          </w:tcPr>
          <w:p w14:paraId="5CC1D4FA" w14:textId="2A1BB7B1"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1,812,178</w:t>
            </w:r>
          </w:p>
        </w:tc>
        <w:tc>
          <w:tcPr>
            <w:tcW w:w="2354" w:type="dxa"/>
            <w:noWrap/>
            <w:hideMark/>
          </w:tcPr>
          <w:p w14:paraId="13145171" w14:textId="0EE7628F"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1,726,2</w:t>
            </w:r>
            <w:r w:rsidR="00C33D9B">
              <w:rPr>
                <w:rFonts w:ascii="Baskerville Old Face" w:eastAsia="Times New Roman" w:hAnsi="Baskerville Old Face" w:cs="Times New Roman"/>
                <w:sz w:val="24"/>
                <w:szCs w:val="24"/>
              </w:rPr>
              <w:t>60</w:t>
            </w:r>
          </w:p>
        </w:tc>
      </w:tr>
      <w:tr w:rsidR="0011188B" w:rsidRPr="0011188B" w14:paraId="400B347C" w14:textId="77777777" w:rsidTr="0011188B">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448F0144" w14:textId="0C69BB2D"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GST</w:t>
            </w:r>
          </w:p>
        </w:tc>
        <w:tc>
          <w:tcPr>
            <w:tcW w:w="1540" w:type="dxa"/>
            <w:noWrap/>
            <w:hideMark/>
          </w:tcPr>
          <w:p w14:paraId="3D30722F" w14:textId="0EFB7E00"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1,208,11</w:t>
            </w:r>
            <w:r w:rsidR="00C33D9B">
              <w:rPr>
                <w:rFonts w:ascii="Baskerville Old Face" w:eastAsia="Times New Roman" w:hAnsi="Baskerville Old Face" w:cs="Times New Roman"/>
                <w:sz w:val="24"/>
                <w:szCs w:val="24"/>
              </w:rPr>
              <w:t>9</w:t>
            </w:r>
          </w:p>
        </w:tc>
        <w:tc>
          <w:tcPr>
            <w:tcW w:w="2354" w:type="dxa"/>
            <w:noWrap/>
            <w:hideMark/>
          </w:tcPr>
          <w:p w14:paraId="06993ECF" w14:textId="2DDC1E3A"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1,417,10</w:t>
            </w:r>
            <w:r w:rsidR="00C33D9B">
              <w:rPr>
                <w:rFonts w:ascii="Baskerville Old Face" w:eastAsia="Times New Roman" w:hAnsi="Baskerville Old Face" w:cs="Times New Roman"/>
                <w:sz w:val="24"/>
                <w:szCs w:val="24"/>
              </w:rPr>
              <w:t>9</w:t>
            </w:r>
          </w:p>
        </w:tc>
      </w:tr>
      <w:tr w:rsidR="0011188B" w:rsidRPr="0011188B" w14:paraId="4E67AAC1"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08E9561D" w14:textId="76C4C63D"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WHT</w:t>
            </w:r>
          </w:p>
        </w:tc>
        <w:tc>
          <w:tcPr>
            <w:tcW w:w="1540" w:type="dxa"/>
            <w:noWrap/>
            <w:hideMark/>
          </w:tcPr>
          <w:p w14:paraId="7A993A93" w14:textId="47AA64ED"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1,449,74</w:t>
            </w:r>
            <w:r w:rsidR="00C33D9B">
              <w:rPr>
                <w:rFonts w:ascii="Baskerville Old Face" w:eastAsia="Times New Roman" w:hAnsi="Baskerville Old Face" w:cs="Times New Roman"/>
                <w:sz w:val="24"/>
                <w:szCs w:val="24"/>
              </w:rPr>
              <w:t>3</w:t>
            </w:r>
          </w:p>
        </w:tc>
        <w:tc>
          <w:tcPr>
            <w:tcW w:w="2354" w:type="dxa"/>
            <w:noWrap/>
            <w:hideMark/>
          </w:tcPr>
          <w:p w14:paraId="63690167" w14:textId="2E20A2E4"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111,864</w:t>
            </w:r>
          </w:p>
        </w:tc>
      </w:tr>
      <w:tr w:rsidR="0011188B" w:rsidRPr="0011188B" w14:paraId="7DCCF296" w14:textId="77777777" w:rsidTr="0011188B">
        <w:trPr>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7A0E7BE3" w14:textId="2545997D" w:rsidR="0011188B" w:rsidRPr="005B3744" w:rsidRDefault="0011188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PAY ROLL</w:t>
            </w:r>
          </w:p>
        </w:tc>
        <w:tc>
          <w:tcPr>
            <w:tcW w:w="1540" w:type="dxa"/>
            <w:noWrap/>
            <w:hideMark/>
          </w:tcPr>
          <w:p w14:paraId="18B3A223" w14:textId="37A460B5"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362,43</w:t>
            </w:r>
            <w:r w:rsidR="00C33D9B">
              <w:rPr>
                <w:rFonts w:ascii="Baskerville Old Face" w:eastAsia="Times New Roman" w:hAnsi="Baskerville Old Face" w:cs="Times New Roman"/>
                <w:sz w:val="24"/>
                <w:szCs w:val="24"/>
              </w:rPr>
              <w:t>6</w:t>
            </w:r>
          </w:p>
        </w:tc>
        <w:tc>
          <w:tcPr>
            <w:tcW w:w="2354" w:type="dxa"/>
            <w:noWrap/>
            <w:hideMark/>
          </w:tcPr>
          <w:p w14:paraId="3E5FD721" w14:textId="35059FA5"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sz w:val="24"/>
                <w:szCs w:val="24"/>
              </w:rPr>
            </w:pPr>
          </w:p>
        </w:tc>
      </w:tr>
      <w:tr w:rsidR="0011188B" w:rsidRPr="0011188B" w14:paraId="68E68C99" w14:textId="77777777" w:rsidTr="0011188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00" w:type="dxa"/>
            <w:noWrap/>
            <w:hideMark/>
          </w:tcPr>
          <w:p w14:paraId="3A837062" w14:textId="1A66789C" w:rsidR="0011188B" w:rsidRPr="005B3744" w:rsidRDefault="00C33D9B" w:rsidP="0011188B">
            <w:pPr>
              <w:spacing w:before="100" w:beforeAutospacing="1" w:line="360" w:lineRule="auto"/>
              <w:jc w:val="center"/>
              <w:rPr>
                <w:rFonts w:ascii="Baskerville Old Face" w:eastAsia="Times New Roman" w:hAnsi="Baskerville Old Face" w:cs="Times New Roman"/>
                <w:b w:val="0"/>
                <w:bCs w:val="0"/>
                <w:sz w:val="24"/>
                <w:szCs w:val="24"/>
              </w:rPr>
            </w:pPr>
            <w:r w:rsidRPr="005B3744">
              <w:rPr>
                <w:rFonts w:ascii="Baskerville Old Face" w:eastAsia="Times New Roman" w:hAnsi="Baskerville Old Face" w:cs="Times New Roman"/>
                <w:b w:val="0"/>
                <w:bCs w:val="0"/>
                <w:sz w:val="24"/>
                <w:szCs w:val="24"/>
              </w:rPr>
              <w:t>AUDIT LIABILITY</w:t>
            </w:r>
          </w:p>
        </w:tc>
        <w:tc>
          <w:tcPr>
            <w:tcW w:w="1540" w:type="dxa"/>
            <w:noWrap/>
            <w:hideMark/>
          </w:tcPr>
          <w:p w14:paraId="5F7B3E3C" w14:textId="33CA58E1"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p>
        </w:tc>
        <w:tc>
          <w:tcPr>
            <w:tcW w:w="2354" w:type="dxa"/>
            <w:noWrap/>
            <w:hideMark/>
          </w:tcPr>
          <w:p w14:paraId="160F6D73" w14:textId="0D561130" w:rsidR="0011188B" w:rsidRPr="0011188B" w:rsidRDefault="0011188B" w:rsidP="0011188B">
            <w:pPr>
              <w:spacing w:before="100" w:beforeAutospacing="1"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sz w:val="24"/>
                <w:szCs w:val="24"/>
              </w:rPr>
            </w:pPr>
            <w:r w:rsidRPr="0011188B">
              <w:rPr>
                <w:rFonts w:ascii="Baskerville Old Face" w:eastAsia="Times New Roman" w:hAnsi="Baskerville Old Face" w:cs="Times New Roman"/>
                <w:sz w:val="24"/>
                <w:szCs w:val="24"/>
              </w:rPr>
              <w:t>265,12</w:t>
            </w:r>
            <w:r w:rsidR="00C33D9B">
              <w:rPr>
                <w:rFonts w:ascii="Baskerville Old Face" w:eastAsia="Times New Roman" w:hAnsi="Baskerville Old Face" w:cs="Times New Roman"/>
                <w:sz w:val="24"/>
                <w:szCs w:val="24"/>
              </w:rPr>
              <w:t>3</w:t>
            </w:r>
          </w:p>
        </w:tc>
      </w:tr>
      <w:tr w:rsidR="0011188B" w:rsidRPr="0011188B" w14:paraId="466F5E09" w14:textId="77777777" w:rsidTr="0011188B">
        <w:trPr>
          <w:trHeight w:val="300"/>
        </w:trPr>
        <w:tc>
          <w:tcPr>
            <w:cnfStyle w:val="001000000000" w:firstRow="0" w:lastRow="0" w:firstColumn="1" w:lastColumn="0" w:oddVBand="0" w:evenVBand="0" w:oddHBand="0" w:evenHBand="0" w:firstRowFirstColumn="0" w:firstRowLastColumn="0" w:lastRowFirstColumn="0" w:lastRowLastColumn="0"/>
            <w:tcW w:w="2300" w:type="dxa"/>
            <w:noWrap/>
            <w:hideMark/>
          </w:tcPr>
          <w:p w14:paraId="6FACAFC8" w14:textId="516D5898" w:rsidR="0011188B" w:rsidRPr="0011188B" w:rsidRDefault="0011188B" w:rsidP="0011188B">
            <w:pPr>
              <w:spacing w:before="100" w:beforeAutospacing="1" w:line="360" w:lineRule="auto"/>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TOTAL</w:t>
            </w:r>
          </w:p>
        </w:tc>
        <w:tc>
          <w:tcPr>
            <w:tcW w:w="1540" w:type="dxa"/>
            <w:noWrap/>
            <w:hideMark/>
          </w:tcPr>
          <w:p w14:paraId="4EE08291" w14:textId="28A9AB84"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4"/>
                <w:szCs w:val="24"/>
              </w:rPr>
            </w:pPr>
            <w:r w:rsidRPr="0011188B">
              <w:rPr>
                <w:rFonts w:ascii="Baskerville Old Face" w:eastAsia="Times New Roman" w:hAnsi="Baskerville Old Face" w:cs="Times New Roman"/>
                <w:b/>
                <w:bCs/>
                <w:sz w:val="24"/>
                <w:szCs w:val="24"/>
              </w:rPr>
              <w:t>12,081,189</w:t>
            </w:r>
          </w:p>
        </w:tc>
        <w:tc>
          <w:tcPr>
            <w:tcW w:w="2354" w:type="dxa"/>
            <w:noWrap/>
            <w:hideMark/>
          </w:tcPr>
          <w:p w14:paraId="15FDD8B5" w14:textId="124E09D6" w:rsidR="0011188B" w:rsidRPr="0011188B" w:rsidRDefault="0011188B" w:rsidP="0011188B">
            <w:pPr>
              <w:spacing w:before="100" w:beforeAutospacing="1"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sz w:val="24"/>
                <w:szCs w:val="24"/>
              </w:rPr>
            </w:pPr>
            <w:r w:rsidRPr="0011188B">
              <w:rPr>
                <w:rFonts w:ascii="Baskerville Old Face" w:eastAsia="Times New Roman" w:hAnsi="Baskerville Old Face" w:cs="Times New Roman"/>
                <w:b/>
                <w:bCs/>
                <w:sz w:val="24"/>
                <w:szCs w:val="24"/>
              </w:rPr>
              <w:t>3,520,35</w:t>
            </w:r>
            <w:r w:rsidR="00C33D9B">
              <w:rPr>
                <w:rFonts w:ascii="Baskerville Old Face" w:eastAsia="Times New Roman" w:hAnsi="Baskerville Old Face" w:cs="Times New Roman"/>
                <w:b/>
                <w:bCs/>
                <w:sz w:val="24"/>
                <w:szCs w:val="24"/>
              </w:rPr>
              <w:t>6</w:t>
            </w:r>
          </w:p>
        </w:tc>
      </w:tr>
    </w:tbl>
    <w:p w14:paraId="3D15674D" w14:textId="16584210" w:rsidR="0011188B" w:rsidRPr="00C33D9B" w:rsidRDefault="00C33D9B" w:rsidP="00C33D9B">
      <w:pPr>
        <w:spacing w:before="100" w:beforeAutospacing="1" w:after="0" w:line="240" w:lineRule="auto"/>
        <w:jc w:val="both"/>
        <w:rPr>
          <w:rFonts w:ascii="Baskerville Old Face" w:eastAsia="Times New Roman" w:hAnsi="Baskerville Old Face" w:cs="Times New Roman"/>
          <w:i/>
          <w:iCs/>
          <w:sz w:val="18"/>
          <w:szCs w:val="18"/>
        </w:rPr>
      </w:pPr>
      <w:r w:rsidRPr="00C33D9B">
        <w:rPr>
          <w:rFonts w:ascii="Baskerville Old Face" w:eastAsia="Times New Roman" w:hAnsi="Baskerville Old Face" w:cs="Times New Roman"/>
          <w:i/>
          <w:iCs/>
          <w:sz w:val="18"/>
          <w:szCs w:val="18"/>
        </w:rPr>
        <w:t xml:space="preserve">Source: DTD </w:t>
      </w:r>
    </w:p>
    <w:p w14:paraId="533A75B5" w14:textId="77777777" w:rsidR="002725A1" w:rsidRDefault="002725A1" w:rsidP="002725A1">
      <w:pPr>
        <w:pStyle w:val="Heading2"/>
        <w:rPr>
          <w:rFonts w:eastAsia="Times New Roman"/>
        </w:rPr>
      </w:pPr>
    </w:p>
    <w:p w14:paraId="6735F0D1" w14:textId="743E8531" w:rsidR="004D4619" w:rsidRPr="004D4619" w:rsidRDefault="008E340B" w:rsidP="002725A1">
      <w:pPr>
        <w:pStyle w:val="Heading2"/>
        <w:rPr>
          <w:rFonts w:eastAsia="Times New Roman"/>
        </w:rPr>
      </w:pPr>
      <w:bookmarkStart w:id="89" w:name="_Toc198205710"/>
      <w:r>
        <w:rPr>
          <w:rFonts w:eastAsia="Times New Roman"/>
        </w:rPr>
        <w:t>4.6</w:t>
      </w:r>
      <w:r w:rsidR="00BA0DB9">
        <w:rPr>
          <w:rFonts w:eastAsia="Times New Roman"/>
        </w:rPr>
        <w:t xml:space="preserve">: </w:t>
      </w:r>
      <w:r w:rsidR="004D4619" w:rsidRPr="004D4619">
        <w:rPr>
          <w:rFonts w:eastAsia="Times New Roman"/>
        </w:rPr>
        <w:t>CUSTOMS DEBT RECOVERY AND MANAGEMENT</w:t>
      </w:r>
      <w:bookmarkEnd w:id="89"/>
      <w:r w:rsidR="004D4619" w:rsidRPr="004D4619">
        <w:rPr>
          <w:rFonts w:eastAsia="Times New Roman"/>
        </w:rPr>
        <w:t xml:space="preserve"> </w:t>
      </w:r>
    </w:p>
    <w:p w14:paraId="64FF5A17" w14:textId="77777777" w:rsidR="002725A1" w:rsidRDefault="002725A1" w:rsidP="004D4619">
      <w:pPr>
        <w:spacing w:line="360" w:lineRule="auto"/>
        <w:jc w:val="both"/>
        <w:rPr>
          <w:rFonts w:ascii="Baskerville Old Face" w:hAnsi="Baskerville Old Face" w:cs="Times New Roman"/>
          <w:sz w:val="24"/>
          <w:szCs w:val="24"/>
        </w:rPr>
      </w:pPr>
    </w:p>
    <w:p w14:paraId="57DC18A2" w14:textId="321183F0" w:rsidR="004D4619" w:rsidRPr="004D4619" w:rsidRDefault="004D4619" w:rsidP="004D4619">
      <w:pPr>
        <w:spacing w:line="360" w:lineRule="auto"/>
        <w:jc w:val="both"/>
        <w:rPr>
          <w:rFonts w:ascii="Baskerville Old Face" w:hAnsi="Baskerville Old Face" w:cs="Times New Roman"/>
          <w:sz w:val="24"/>
          <w:szCs w:val="24"/>
        </w:rPr>
      </w:pPr>
      <w:r w:rsidRPr="004D4619">
        <w:rPr>
          <w:rFonts w:ascii="Baskerville Old Face" w:hAnsi="Baskerville Old Face" w:cs="Times New Roman"/>
          <w:sz w:val="24"/>
          <w:szCs w:val="24"/>
        </w:rPr>
        <w:t xml:space="preserve">The </w:t>
      </w:r>
      <w:r>
        <w:rPr>
          <w:rFonts w:ascii="Baskerville Old Face" w:hAnsi="Baskerville Old Face" w:cs="Times New Roman"/>
          <w:sz w:val="24"/>
          <w:szCs w:val="24"/>
        </w:rPr>
        <w:t xml:space="preserve">CSD </w:t>
      </w:r>
      <w:r w:rsidRPr="004D4619">
        <w:rPr>
          <w:rFonts w:ascii="Baskerville Old Face" w:hAnsi="Baskerville Old Face" w:cs="Times New Roman"/>
          <w:sz w:val="24"/>
          <w:szCs w:val="24"/>
        </w:rPr>
        <w:t xml:space="preserve">Debt Management Unit (DMU) is tasked with overseeing all </w:t>
      </w:r>
      <w:r>
        <w:rPr>
          <w:rFonts w:ascii="Baskerville Old Face" w:hAnsi="Baskerville Old Face" w:cs="Times New Roman"/>
          <w:sz w:val="24"/>
          <w:szCs w:val="24"/>
        </w:rPr>
        <w:t>credits</w:t>
      </w:r>
      <w:r w:rsidRPr="004D4619">
        <w:rPr>
          <w:rFonts w:ascii="Baskerville Old Face" w:hAnsi="Baskerville Old Face" w:cs="Times New Roman"/>
          <w:sz w:val="24"/>
          <w:szCs w:val="24"/>
        </w:rPr>
        <w:t xml:space="preserve"> by handling their processing, monitoring, and ensuring timely repayment for individuals or entities involved in import trade. Requests for such credits are submitted and approved through the Commissioner-General’s Office or its </w:t>
      </w:r>
      <w:proofErr w:type="spellStart"/>
      <w:r w:rsidRPr="004D4619">
        <w:rPr>
          <w:rFonts w:ascii="Baskerville Old Face" w:hAnsi="Baskerville Old Face" w:cs="Times New Roman"/>
          <w:sz w:val="24"/>
          <w:szCs w:val="24"/>
        </w:rPr>
        <w:t>authori</w:t>
      </w:r>
      <w:r>
        <w:rPr>
          <w:rFonts w:ascii="Baskerville Old Face" w:hAnsi="Baskerville Old Face" w:cs="Times New Roman"/>
          <w:sz w:val="24"/>
          <w:szCs w:val="24"/>
        </w:rPr>
        <w:t>s</w:t>
      </w:r>
      <w:r w:rsidRPr="004D4619">
        <w:rPr>
          <w:rFonts w:ascii="Baskerville Old Face" w:hAnsi="Baskerville Old Face" w:cs="Times New Roman"/>
          <w:sz w:val="24"/>
          <w:szCs w:val="24"/>
        </w:rPr>
        <w:t>ed</w:t>
      </w:r>
      <w:proofErr w:type="spellEnd"/>
      <w:r w:rsidRPr="004D4619">
        <w:rPr>
          <w:rFonts w:ascii="Baskerville Old Face" w:hAnsi="Baskerville Old Face" w:cs="Times New Roman"/>
          <w:sz w:val="24"/>
          <w:szCs w:val="24"/>
        </w:rPr>
        <w:t xml:space="preserve"> representatives.</w:t>
      </w:r>
    </w:p>
    <w:p w14:paraId="5D43C074" w14:textId="0459862E" w:rsidR="004D4619" w:rsidRDefault="004D4619" w:rsidP="004D4619">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In</w:t>
      </w:r>
      <w:r w:rsidRPr="004D4619">
        <w:rPr>
          <w:rFonts w:ascii="Baskerville Old Face" w:hAnsi="Baskerville Old Face" w:cs="Times New Roman"/>
          <w:sz w:val="24"/>
          <w:szCs w:val="24"/>
        </w:rPr>
        <w:t xml:space="preserve"> </w:t>
      </w:r>
      <w:r>
        <w:rPr>
          <w:rFonts w:ascii="Baskerville Old Face" w:hAnsi="Baskerville Old Face" w:cs="Times New Roman"/>
          <w:sz w:val="24"/>
          <w:szCs w:val="24"/>
        </w:rPr>
        <w:t>2023</w:t>
      </w:r>
      <w:r w:rsidRPr="004D4619">
        <w:rPr>
          <w:rFonts w:ascii="Baskerville Old Face" w:hAnsi="Baskerville Old Face" w:cs="Times New Roman"/>
          <w:sz w:val="24"/>
          <w:szCs w:val="24"/>
        </w:rPr>
        <w:t xml:space="preserve">, the DMU, in conjunction with customs management, significantly reduced the number of creditors by implementing effective recovery methods. </w:t>
      </w:r>
      <w:r>
        <w:rPr>
          <w:rFonts w:ascii="Baskerville Old Face" w:hAnsi="Baskerville Old Face" w:cs="Times New Roman"/>
          <w:sz w:val="24"/>
          <w:szCs w:val="24"/>
        </w:rPr>
        <w:t>T</w:t>
      </w:r>
      <w:r w:rsidRPr="004D4619">
        <w:rPr>
          <w:rFonts w:ascii="Baskerville Old Face" w:hAnsi="Baskerville Old Face" w:cs="Times New Roman"/>
          <w:sz w:val="24"/>
          <w:szCs w:val="24"/>
        </w:rPr>
        <w:t>he DMU processed a total of 15 credit requests (compared to 27 requests in 2022) through the Commissioner-General’s Office, of which 7 are overdue for payment and 8 are not yet due</w:t>
      </w:r>
      <w:r w:rsidR="00CA62DB">
        <w:rPr>
          <w:rFonts w:ascii="Baskerville Old Face" w:hAnsi="Baskerville Old Face" w:cs="Times New Roman"/>
          <w:sz w:val="24"/>
          <w:szCs w:val="24"/>
        </w:rPr>
        <w:t xml:space="preserve"> (Table 2</w:t>
      </w:r>
      <w:r w:rsidR="00B21BFE">
        <w:rPr>
          <w:rFonts w:ascii="Baskerville Old Face" w:hAnsi="Baskerville Old Face" w:cs="Times New Roman"/>
          <w:sz w:val="24"/>
          <w:szCs w:val="24"/>
        </w:rPr>
        <w:t>0</w:t>
      </w:r>
      <w:r w:rsidR="00CA62DB">
        <w:rPr>
          <w:rFonts w:ascii="Baskerville Old Face" w:hAnsi="Baskerville Old Face" w:cs="Times New Roman"/>
          <w:sz w:val="24"/>
          <w:szCs w:val="24"/>
        </w:rPr>
        <w:t>)</w:t>
      </w:r>
      <w:r w:rsidRPr="004D4619">
        <w:rPr>
          <w:rFonts w:ascii="Baskerville Old Face" w:hAnsi="Baskerville Old Face" w:cs="Times New Roman"/>
          <w:sz w:val="24"/>
          <w:szCs w:val="24"/>
        </w:rPr>
        <w:t>. The total liability for CSD credits processed in 2023 amounted to NLe 200.898 million, with an outstanding credit balance of NLe 170.714 million.</w:t>
      </w:r>
    </w:p>
    <w:p w14:paraId="1962B9CF" w14:textId="77777777" w:rsidR="00C413C9" w:rsidRDefault="00C413C9" w:rsidP="004D4619">
      <w:pPr>
        <w:spacing w:line="360" w:lineRule="auto"/>
        <w:jc w:val="both"/>
        <w:rPr>
          <w:rFonts w:ascii="Baskerville Old Face" w:hAnsi="Baskerville Old Face" w:cs="Times New Roman"/>
          <w:sz w:val="24"/>
          <w:szCs w:val="24"/>
        </w:rPr>
      </w:pPr>
    </w:p>
    <w:p w14:paraId="063BEA88" w14:textId="77777777" w:rsidR="00AC7B56" w:rsidRDefault="00AC7B56" w:rsidP="004D4619">
      <w:pPr>
        <w:spacing w:line="360" w:lineRule="auto"/>
        <w:jc w:val="both"/>
        <w:rPr>
          <w:rFonts w:ascii="Baskerville Old Face" w:hAnsi="Baskerville Old Face" w:cs="Times New Roman"/>
          <w:sz w:val="24"/>
          <w:szCs w:val="24"/>
        </w:rPr>
      </w:pPr>
    </w:p>
    <w:p w14:paraId="7F14BF5D" w14:textId="77777777" w:rsidR="00A6675A" w:rsidRDefault="00A6675A" w:rsidP="004D4619">
      <w:pPr>
        <w:spacing w:line="360" w:lineRule="auto"/>
        <w:jc w:val="both"/>
        <w:rPr>
          <w:rFonts w:ascii="Baskerville Old Face" w:hAnsi="Baskerville Old Face" w:cs="Times New Roman"/>
          <w:sz w:val="24"/>
          <w:szCs w:val="24"/>
        </w:rPr>
      </w:pPr>
    </w:p>
    <w:p w14:paraId="48DA14F4" w14:textId="77777777" w:rsidR="00A6675A" w:rsidRDefault="00A6675A" w:rsidP="004D4619">
      <w:pPr>
        <w:spacing w:line="360" w:lineRule="auto"/>
        <w:jc w:val="both"/>
        <w:rPr>
          <w:rFonts w:ascii="Baskerville Old Face" w:hAnsi="Baskerville Old Face" w:cs="Times New Roman"/>
          <w:sz w:val="24"/>
          <w:szCs w:val="24"/>
        </w:rPr>
      </w:pPr>
    </w:p>
    <w:p w14:paraId="6B8A84D1" w14:textId="0B7A9C10" w:rsidR="004D4619" w:rsidRPr="0095045B" w:rsidRDefault="004D4619" w:rsidP="00CC466C">
      <w:pPr>
        <w:spacing w:before="100" w:beforeAutospacing="1" w:after="0" w:line="360" w:lineRule="auto"/>
        <w:jc w:val="both"/>
        <w:rPr>
          <w:rFonts w:ascii="Baskerville Old Face" w:eastAsia="Times New Roman" w:hAnsi="Baskerville Old Face" w:cs="Times New Roman"/>
          <w:b/>
          <w:bCs/>
          <w:i/>
          <w:iCs/>
          <w:sz w:val="24"/>
          <w:szCs w:val="24"/>
        </w:rPr>
      </w:pPr>
      <w:bookmarkStart w:id="90" w:name="Table20"/>
      <w:r w:rsidRPr="00A53643">
        <w:rPr>
          <w:rFonts w:ascii="Baskerville Old Face" w:eastAsia="Times New Roman" w:hAnsi="Baskerville Old Face" w:cs="Times New Roman"/>
          <w:b/>
          <w:bCs/>
          <w:i/>
          <w:iCs/>
          <w:sz w:val="24"/>
          <w:szCs w:val="24"/>
        </w:rPr>
        <w:lastRenderedPageBreak/>
        <w:t xml:space="preserve">Table </w:t>
      </w:r>
      <w:r w:rsidR="002E6968">
        <w:rPr>
          <w:rFonts w:ascii="Baskerville Old Face" w:eastAsia="Times New Roman" w:hAnsi="Baskerville Old Face" w:cs="Times New Roman"/>
          <w:b/>
          <w:bCs/>
          <w:i/>
          <w:iCs/>
          <w:sz w:val="24"/>
          <w:szCs w:val="24"/>
        </w:rPr>
        <w:t>2</w:t>
      </w:r>
      <w:r w:rsidR="003E26F6">
        <w:rPr>
          <w:rFonts w:ascii="Baskerville Old Face" w:eastAsia="Times New Roman" w:hAnsi="Baskerville Old Face" w:cs="Times New Roman"/>
          <w:b/>
          <w:bCs/>
          <w:i/>
          <w:iCs/>
          <w:sz w:val="24"/>
          <w:szCs w:val="24"/>
        </w:rPr>
        <w:t>0</w:t>
      </w:r>
      <w:r w:rsidRPr="0095045B">
        <w:rPr>
          <w:rFonts w:ascii="Baskerville Old Face" w:eastAsia="Times New Roman" w:hAnsi="Baskerville Old Face" w:cs="Times New Roman"/>
          <w:b/>
          <w:bCs/>
          <w:i/>
          <w:iCs/>
          <w:sz w:val="24"/>
          <w:szCs w:val="24"/>
        </w:rPr>
        <w:t>: CSD Credit Liability 2023</w:t>
      </w:r>
    </w:p>
    <w:tbl>
      <w:tblPr>
        <w:tblStyle w:val="GridTable4-Accent4"/>
        <w:tblW w:w="9380" w:type="dxa"/>
        <w:tblLook w:val="04A0" w:firstRow="1" w:lastRow="0" w:firstColumn="1" w:lastColumn="0" w:noHBand="0" w:noVBand="1"/>
      </w:tblPr>
      <w:tblGrid>
        <w:gridCol w:w="1105"/>
        <w:gridCol w:w="2138"/>
        <w:gridCol w:w="1740"/>
        <w:gridCol w:w="1366"/>
        <w:gridCol w:w="1726"/>
        <w:gridCol w:w="1305"/>
      </w:tblGrid>
      <w:tr w:rsidR="004D4619" w:rsidRPr="00CA29EE" w14:paraId="74480D80" w14:textId="77777777" w:rsidTr="000679D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05" w:type="dxa"/>
            <w:hideMark/>
          </w:tcPr>
          <w:bookmarkEnd w:id="90"/>
          <w:p w14:paraId="3C163366" w14:textId="77777777" w:rsidR="004D4619" w:rsidRPr="00CA29EE" w:rsidRDefault="004D4619" w:rsidP="00F9112B">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w:t>
            </w:r>
          </w:p>
        </w:tc>
        <w:tc>
          <w:tcPr>
            <w:tcW w:w="2138" w:type="dxa"/>
            <w:hideMark/>
          </w:tcPr>
          <w:p w14:paraId="3ABE9211"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APRROVED AMOUNT</w:t>
            </w:r>
          </w:p>
        </w:tc>
        <w:tc>
          <w:tcPr>
            <w:tcW w:w="1740" w:type="dxa"/>
            <w:hideMark/>
          </w:tcPr>
          <w:p w14:paraId="3BF670FD"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AMOUNT UTILISED</w:t>
            </w:r>
          </w:p>
        </w:tc>
        <w:tc>
          <w:tcPr>
            <w:tcW w:w="1366" w:type="dxa"/>
            <w:hideMark/>
          </w:tcPr>
          <w:p w14:paraId="78597971"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AMOUNT PAID</w:t>
            </w:r>
          </w:p>
        </w:tc>
        <w:tc>
          <w:tcPr>
            <w:tcW w:w="1726" w:type="dxa"/>
            <w:hideMark/>
          </w:tcPr>
          <w:p w14:paraId="1B94D498" w14:textId="77777777" w:rsidR="004D4619" w:rsidRPr="00CA29EE" w:rsidRDefault="004D4619"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OUTSTANDING</w:t>
            </w:r>
          </w:p>
        </w:tc>
        <w:tc>
          <w:tcPr>
            <w:tcW w:w="1305" w:type="dxa"/>
            <w:hideMark/>
          </w:tcPr>
          <w:p w14:paraId="37AC9E77" w14:textId="77777777" w:rsidR="004D4619" w:rsidRPr="00CA29EE" w:rsidRDefault="004D4619" w:rsidP="00CA29EE">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COMMENT</w:t>
            </w:r>
          </w:p>
        </w:tc>
      </w:tr>
      <w:tr w:rsidR="00CA29EE" w:rsidRPr="00CA29EE" w14:paraId="38917F8E"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B3AD247"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1</w:t>
            </w:r>
          </w:p>
        </w:tc>
        <w:tc>
          <w:tcPr>
            <w:tcW w:w="2138" w:type="dxa"/>
            <w:hideMark/>
          </w:tcPr>
          <w:p w14:paraId="6AA19B1F" w14:textId="74158BA8"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510,633</w:t>
            </w:r>
          </w:p>
        </w:tc>
        <w:tc>
          <w:tcPr>
            <w:tcW w:w="1740" w:type="dxa"/>
            <w:hideMark/>
          </w:tcPr>
          <w:p w14:paraId="54C8F058" w14:textId="615F8BD2"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510,633</w:t>
            </w:r>
          </w:p>
        </w:tc>
        <w:tc>
          <w:tcPr>
            <w:tcW w:w="1366" w:type="dxa"/>
            <w:hideMark/>
          </w:tcPr>
          <w:p w14:paraId="3BB93204" w14:textId="419029EF"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204,313</w:t>
            </w:r>
          </w:p>
        </w:tc>
        <w:tc>
          <w:tcPr>
            <w:tcW w:w="1726" w:type="dxa"/>
            <w:hideMark/>
          </w:tcPr>
          <w:p w14:paraId="4AC09952" w14:textId="36D563CA"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306,321</w:t>
            </w:r>
          </w:p>
        </w:tc>
        <w:tc>
          <w:tcPr>
            <w:tcW w:w="1305" w:type="dxa"/>
            <w:hideMark/>
          </w:tcPr>
          <w:p w14:paraId="59C6BEC5" w14:textId="2D82E8DD"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0C8A34F9"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40D74B52"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2</w:t>
            </w:r>
          </w:p>
        </w:tc>
        <w:tc>
          <w:tcPr>
            <w:tcW w:w="2138" w:type="dxa"/>
            <w:hideMark/>
          </w:tcPr>
          <w:p w14:paraId="1E714F60" w14:textId="542C63B0"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17,600</w:t>
            </w:r>
          </w:p>
        </w:tc>
        <w:tc>
          <w:tcPr>
            <w:tcW w:w="1740" w:type="dxa"/>
            <w:hideMark/>
          </w:tcPr>
          <w:p w14:paraId="7BFECD65" w14:textId="07F8A41E"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17,600</w:t>
            </w:r>
          </w:p>
        </w:tc>
        <w:tc>
          <w:tcPr>
            <w:tcW w:w="1366" w:type="dxa"/>
            <w:hideMark/>
          </w:tcPr>
          <w:p w14:paraId="791A8C61" w14:textId="2E779283"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12,110</w:t>
            </w:r>
          </w:p>
        </w:tc>
        <w:tc>
          <w:tcPr>
            <w:tcW w:w="1726" w:type="dxa"/>
            <w:hideMark/>
          </w:tcPr>
          <w:p w14:paraId="0A886CA3" w14:textId="76EEF49D"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5,490</w:t>
            </w:r>
          </w:p>
        </w:tc>
        <w:tc>
          <w:tcPr>
            <w:tcW w:w="1305" w:type="dxa"/>
            <w:hideMark/>
          </w:tcPr>
          <w:p w14:paraId="2EBC6562" w14:textId="423B301F"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73578849"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2D1EFC2A"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3</w:t>
            </w:r>
          </w:p>
        </w:tc>
        <w:tc>
          <w:tcPr>
            <w:tcW w:w="2138" w:type="dxa"/>
            <w:hideMark/>
          </w:tcPr>
          <w:p w14:paraId="18BCAA95" w14:textId="3C96845B"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9,299,374</w:t>
            </w:r>
          </w:p>
        </w:tc>
        <w:tc>
          <w:tcPr>
            <w:tcW w:w="1740" w:type="dxa"/>
            <w:hideMark/>
          </w:tcPr>
          <w:p w14:paraId="18E8C902" w14:textId="0C823FA4"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9,299,774</w:t>
            </w:r>
          </w:p>
        </w:tc>
        <w:tc>
          <w:tcPr>
            <w:tcW w:w="1366" w:type="dxa"/>
            <w:hideMark/>
          </w:tcPr>
          <w:p w14:paraId="35741204" w14:textId="7B4EF3BD"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6,548,301</w:t>
            </w:r>
          </w:p>
        </w:tc>
        <w:tc>
          <w:tcPr>
            <w:tcW w:w="1726" w:type="dxa"/>
            <w:hideMark/>
          </w:tcPr>
          <w:p w14:paraId="40E3F773" w14:textId="018A1301"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4,781,588</w:t>
            </w:r>
          </w:p>
        </w:tc>
        <w:tc>
          <w:tcPr>
            <w:tcW w:w="1305" w:type="dxa"/>
            <w:hideMark/>
          </w:tcPr>
          <w:p w14:paraId="0498C202" w14:textId="0D5C5C8B"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48D92019"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0145641"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4</w:t>
            </w:r>
          </w:p>
        </w:tc>
        <w:tc>
          <w:tcPr>
            <w:tcW w:w="2138" w:type="dxa"/>
            <w:hideMark/>
          </w:tcPr>
          <w:p w14:paraId="273DA74C" w14:textId="282D78E9"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216,109</w:t>
            </w:r>
          </w:p>
        </w:tc>
        <w:tc>
          <w:tcPr>
            <w:tcW w:w="1740" w:type="dxa"/>
            <w:hideMark/>
          </w:tcPr>
          <w:p w14:paraId="0347E47C" w14:textId="37098C3A"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216,109</w:t>
            </w:r>
          </w:p>
        </w:tc>
        <w:tc>
          <w:tcPr>
            <w:tcW w:w="1366" w:type="dxa"/>
            <w:hideMark/>
          </w:tcPr>
          <w:p w14:paraId="781509F0" w14:textId="57D332EC"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0</w:t>
            </w:r>
          </w:p>
        </w:tc>
        <w:tc>
          <w:tcPr>
            <w:tcW w:w="1726" w:type="dxa"/>
            <w:hideMark/>
          </w:tcPr>
          <w:p w14:paraId="5A2B326D" w14:textId="56AEE67B"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216,109</w:t>
            </w:r>
          </w:p>
        </w:tc>
        <w:tc>
          <w:tcPr>
            <w:tcW w:w="1305" w:type="dxa"/>
            <w:hideMark/>
          </w:tcPr>
          <w:p w14:paraId="463A6247" w14:textId="4030FC45"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36F57002"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4CB144E9"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5</w:t>
            </w:r>
          </w:p>
        </w:tc>
        <w:tc>
          <w:tcPr>
            <w:tcW w:w="2138" w:type="dxa"/>
            <w:hideMark/>
          </w:tcPr>
          <w:p w14:paraId="47AD72B7" w14:textId="65EF4616"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100,000,000</w:t>
            </w:r>
          </w:p>
        </w:tc>
        <w:tc>
          <w:tcPr>
            <w:tcW w:w="1740" w:type="dxa"/>
            <w:hideMark/>
          </w:tcPr>
          <w:p w14:paraId="6416A8AD" w14:textId="43F96BAA"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100,000,000</w:t>
            </w:r>
          </w:p>
        </w:tc>
        <w:tc>
          <w:tcPr>
            <w:tcW w:w="1366" w:type="dxa"/>
            <w:hideMark/>
          </w:tcPr>
          <w:p w14:paraId="5451D8A7" w14:textId="01161F2C"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8,476,256</w:t>
            </w:r>
          </w:p>
        </w:tc>
        <w:tc>
          <w:tcPr>
            <w:tcW w:w="1726" w:type="dxa"/>
            <w:hideMark/>
          </w:tcPr>
          <w:p w14:paraId="62F15668" w14:textId="1C453068"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91,523,744</w:t>
            </w:r>
          </w:p>
        </w:tc>
        <w:tc>
          <w:tcPr>
            <w:tcW w:w="1305" w:type="dxa"/>
            <w:hideMark/>
          </w:tcPr>
          <w:p w14:paraId="5F8CC885" w14:textId="77972973" w:rsidR="00CA29EE" w:rsidRPr="00CA29EE" w:rsidRDefault="00CA29EE" w:rsidP="00CA29EE">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CA29EE" w:rsidRPr="00CA29EE" w14:paraId="54B821A5"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0D6C077" w14:textId="77777777" w:rsidR="00CA29EE" w:rsidRPr="00CA29EE" w:rsidRDefault="00CA29EE" w:rsidP="00CA29EE">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b w:val="0"/>
                <w:bCs w:val="0"/>
                <w:color w:val="000000"/>
                <w:kern w:val="0"/>
                <w:sz w:val="20"/>
                <w:szCs w:val="20"/>
                <w14:ligatures w14:val="none"/>
              </w:rPr>
              <w:t>6</w:t>
            </w:r>
          </w:p>
        </w:tc>
        <w:tc>
          <w:tcPr>
            <w:tcW w:w="2138" w:type="dxa"/>
            <w:hideMark/>
          </w:tcPr>
          <w:p w14:paraId="49A25080" w14:textId="42655791"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2,030,115</w:t>
            </w:r>
          </w:p>
        </w:tc>
        <w:tc>
          <w:tcPr>
            <w:tcW w:w="1740" w:type="dxa"/>
            <w:hideMark/>
          </w:tcPr>
          <w:p w14:paraId="72F70BF9" w14:textId="71E829FB"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2,030,115,10</w:t>
            </w:r>
          </w:p>
        </w:tc>
        <w:tc>
          <w:tcPr>
            <w:tcW w:w="1366" w:type="dxa"/>
            <w:hideMark/>
          </w:tcPr>
          <w:p w14:paraId="0A935415" w14:textId="68BF2B4C"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1,421,291</w:t>
            </w:r>
          </w:p>
        </w:tc>
        <w:tc>
          <w:tcPr>
            <w:tcW w:w="1726" w:type="dxa"/>
            <w:hideMark/>
          </w:tcPr>
          <w:p w14:paraId="510D7096" w14:textId="06A0421A"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608,824</w:t>
            </w:r>
          </w:p>
        </w:tc>
        <w:tc>
          <w:tcPr>
            <w:tcW w:w="1305" w:type="dxa"/>
            <w:hideMark/>
          </w:tcPr>
          <w:p w14:paraId="0BA504DC" w14:textId="09260073" w:rsidR="00CA29EE" w:rsidRPr="00CA29EE" w:rsidRDefault="00CA29EE" w:rsidP="00CA29EE">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5662C3" w:rsidRPr="00CA29EE" w14:paraId="12BB6D2E" w14:textId="77777777" w:rsidTr="000679D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0488047E" w14:textId="2BA8BC58" w:rsidR="005662C3" w:rsidRPr="00CA29EE" w:rsidRDefault="005662C3" w:rsidP="005662C3">
            <w:pPr>
              <w:jc w:val="both"/>
              <w:rPr>
                <w:rFonts w:ascii="Baskerville Old Face" w:eastAsia="Times New Roman" w:hAnsi="Baskerville Old Face" w:cs="Times New Roman"/>
                <w:color w:val="000000"/>
                <w:kern w:val="0"/>
                <w:sz w:val="20"/>
                <w:szCs w:val="20"/>
                <w14:ligatures w14:val="none"/>
              </w:rPr>
            </w:pPr>
            <w:r>
              <w:rPr>
                <w:rFonts w:ascii="Baskerville Old Face" w:eastAsia="Times New Roman" w:hAnsi="Baskerville Old Face" w:cs="Times New Roman"/>
                <w:color w:val="000000"/>
                <w:kern w:val="0"/>
                <w:sz w:val="20"/>
                <w:szCs w:val="20"/>
                <w14:ligatures w14:val="none"/>
              </w:rPr>
              <w:t>7</w:t>
            </w:r>
          </w:p>
        </w:tc>
        <w:tc>
          <w:tcPr>
            <w:tcW w:w="2138" w:type="dxa"/>
          </w:tcPr>
          <w:p w14:paraId="71211AC8" w14:textId="1C18A3E8"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773,645</w:t>
            </w:r>
          </w:p>
        </w:tc>
        <w:tc>
          <w:tcPr>
            <w:tcW w:w="1740" w:type="dxa"/>
          </w:tcPr>
          <w:p w14:paraId="1E0D4FA9" w14:textId="7854B51F"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773,645</w:t>
            </w:r>
          </w:p>
        </w:tc>
        <w:tc>
          <w:tcPr>
            <w:tcW w:w="1366" w:type="dxa"/>
          </w:tcPr>
          <w:p w14:paraId="7FB5DA89" w14:textId="64B56F27"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0</w:t>
            </w:r>
          </w:p>
        </w:tc>
        <w:tc>
          <w:tcPr>
            <w:tcW w:w="1726" w:type="dxa"/>
          </w:tcPr>
          <w:p w14:paraId="7E8DB94B" w14:textId="1F7625FA"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CA29EE">
              <w:rPr>
                <w:rFonts w:ascii="Baskerville Old Face" w:hAnsi="Baskerville Old Face"/>
              </w:rPr>
              <w:t>773,645</w:t>
            </w:r>
          </w:p>
        </w:tc>
        <w:tc>
          <w:tcPr>
            <w:tcW w:w="1305" w:type="dxa"/>
          </w:tcPr>
          <w:p w14:paraId="1E0A7872" w14:textId="129BB680"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Overdue</w:t>
            </w:r>
          </w:p>
        </w:tc>
      </w:tr>
      <w:tr w:rsidR="005662C3" w:rsidRPr="00CA29EE" w14:paraId="73917E77"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36EF99D9" w14:textId="617C05CB"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8</w:t>
            </w:r>
          </w:p>
        </w:tc>
        <w:tc>
          <w:tcPr>
            <w:tcW w:w="2138" w:type="dxa"/>
            <w:hideMark/>
          </w:tcPr>
          <w:p w14:paraId="20EDEAAF" w14:textId="296678A2"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7,600,000</w:t>
            </w:r>
          </w:p>
        </w:tc>
        <w:tc>
          <w:tcPr>
            <w:tcW w:w="1740" w:type="dxa"/>
            <w:hideMark/>
          </w:tcPr>
          <w:p w14:paraId="6250EEAC" w14:textId="26AA5B6E"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7,600,000</w:t>
            </w:r>
          </w:p>
        </w:tc>
        <w:tc>
          <w:tcPr>
            <w:tcW w:w="1366" w:type="dxa"/>
            <w:hideMark/>
          </w:tcPr>
          <w:p w14:paraId="55E1380A" w14:textId="501ADAED"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250,000</w:t>
            </w:r>
          </w:p>
        </w:tc>
        <w:tc>
          <w:tcPr>
            <w:tcW w:w="1726" w:type="dxa"/>
            <w:hideMark/>
          </w:tcPr>
          <w:p w14:paraId="3C2FC5A1" w14:textId="0A551C4F"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7,350,000</w:t>
            </w:r>
          </w:p>
        </w:tc>
        <w:tc>
          <w:tcPr>
            <w:tcW w:w="1305" w:type="dxa"/>
            <w:hideMark/>
          </w:tcPr>
          <w:p w14:paraId="0FBD7DD8" w14:textId="241558FA"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23D73E44"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5C8A4E45" w14:textId="6DF729EA"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9</w:t>
            </w:r>
          </w:p>
        </w:tc>
        <w:tc>
          <w:tcPr>
            <w:tcW w:w="2138" w:type="dxa"/>
            <w:hideMark/>
          </w:tcPr>
          <w:p w14:paraId="40E98512" w14:textId="3B83B29B"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50,000,000</w:t>
            </w:r>
          </w:p>
        </w:tc>
        <w:tc>
          <w:tcPr>
            <w:tcW w:w="1740" w:type="dxa"/>
            <w:hideMark/>
          </w:tcPr>
          <w:p w14:paraId="59A2D728" w14:textId="15EADE7D"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In Progress</w:t>
            </w:r>
          </w:p>
        </w:tc>
        <w:tc>
          <w:tcPr>
            <w:tcW w:w="1366" w:type="dxa"/>
            <w:hideMark/>
          </w:tcPr>
          <w:p w14:paraId="57250EA5" w14:textId="5C6A4393"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0</w:t>
            </w:r>
          </w:p>
        </w:tc>
        <w:tc>
          <w:tcPr>
            <w:tcW w:w="1726" w:type="dxa"/>
            <w:hideMark/>
          </w:tcPr>
          <w:p w14:paraId="43AFA61C" w14:textId="28D5FD1B"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50,000,000</w:t>
            </w:r>
          </w:p>
        </w:tc>
        <w:tc>
          <w:tcPr>
            <w:tcW w:w="1305" w:type="dxa"/>
            <w:hideMark/>
          </w:tcPr>
          <w:p w14:paraId="448455AA" w14:textId="346D0172"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5438D809" w14:textId="77777777" w:rsidTr="005662C3">
        <w:trPr>
          <w:trHeight w:val="336"/>
        </w:trPr>
        <w:tc>
          <w:tcPr>
            <w:cnfStyle w:val="001000000000" w:firstRow="0" w:lastRow="0" w:firstColumn="1" w:lastColumn="0" w:oddVBand="0" w:evenVBand="0" w:oddHBand="0" w:evenHBand="0" w:firstRowFirstColumn="0" w:firstRowLastColumn="0" w:lastRowFirstColumn="0" w:lastRowLastColumn="0"/>
            <w:tcW w:w="1105" w:type="dxa"/>
          </w:tcPr>
          <w:p w14:paraId="137C7293" w14:textId="0362BE71"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10</w:t>
            </w:r>
          </w:p>
        </w:tc>
        <w:tc>
          <w:tcPr>
            <w:tcW w:w="2138" w:type="dxa"/>
            <w:hideMark/>
          </w:tcPr>
          <w:p w14:paraId="284429E6" w14:textId="3CA13B31"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1,173,202</w:t>
            </w:r>
          </w:p>
        </w:tc>
        <w:tc>
          <w:tcPr>
            <w:tcW w:w="1740" w:type="dxa"/>
            <w:hideMark/>
          </w:tcPr>
          <w:p w14:paraId="5A0834BE" w14:textId="162FE48D"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1,173,202</w:t>
            </w:r>
          </w:p>
        </w:tc>
        <w:tc>
          <w:tcPr>
            <w:tcW w:w="1366" w:type="dxa"/>
            <w:hideMark/>
          </w:tcPr>
          <w:p w14:paraId="07DC5536" w14:textId="5EC0ADBB"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150,000</w:t>
            </w:r>
          </w:p>
        </w:tc>
        <w:tc>
          <w:tcPr>
            <w:tcW w:w="1726" w:type="dxa"/>
            <w:hideMark/>
          </w:tcPr>
          <w:p w14:paraId="2ABDB995" w14:textId="46FDDD79"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1,023,202</w:t>
            </w:r>
          </w:p>
        </w:tc>
        <w:tc>
          <w:tcPr>
            <w:tcW w:w="1305" w:type="dxa"/>
            <w:hideMark/>
          </w:tcPr>
          <w:p w14:paraId="4B854F1D" w14:textId="47087F34"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307D61F8"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23C4BC92" w14:textId="2CFD265C"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11</w:t>
            </w:r>
          </w:p>
        </w:tc>
        <w:tc>
          <w:tcPr>
            <w:tcW w:w="2138" w:type="dxa"/>
            <w:hideMark/>
          </w:tcPr>
          <w:p w14:paraId="4D82E4B6" w14:textId="1D467F78"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740" w:type="dxa"/>
            <w:hideMark/>
          </w:tcPr>
          <w:p w14:paraId="318CF262" w14:textId="50DAD9B4"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366" w:type="dxa"/>
            <w:hideMark/>
          </w:tcPr>
          <w:p w14:paraId="073B7265" w14:textId="59109846"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3,816,165</w:t>
            </w:r>
          </w:p>
        </w:tc>
        <w:tc>
          <w:tcPr>
            <w:tcW w:w="1726" w:type="dxa"/>
            <w:hideMark/>
          </w:tcPr>
          <w:p w14:paraId="0EA04989" w14:textId="01D7836E"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2,762,918</w:t>
            </w:r>
          </w:p>
        </w:tc>
        <w:tc>
          <w:tcPr>
            <w:tcW w:w="1305" w:type="dxa"/>
            <w:hideMark/>
          </w:tcPr>
          <w:p w14:paraId="3631D321" w14:textId="4BBD41A5"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4C6FE861" w14:textId="77777777" w:rsidTr="005662C3">
        <w:trPr>
          <w:trHeight w:val="336"/>
        </w:trPr>
        <w:tc>
          <w:tcPr>
            <w:cnfStyle w:val="001000000000" w:firstRow="0" w:lastRow="0" w:firstColumn="1" w:lastColumn="0" w:oddVBand="0" w:evenVBand="0" w:oddHBand="0" w:evenHBand="0" w:firstRowFirstColumn="0" w:firstRowLastColumn="0" w:lastRowFirstColumn="0" w:lastRowLastColumn="0"/>
            <w:tcW w:w="1105" w:type="dxa"/>
          </w:tcPr>
          <w:p w14:paraId="55243DC9" w14:textId="7A28A49D"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12</w:t>
            </w:r>
          </w:p>
        </w:tc>
        <w:tc>
          <w:tcPr>
            <w:tcW w:w="2138" w:type="dxa"/>
            <w:hideMark/>
          </w:tcPr>
          <w:p w14:paraId="6A6327ED" w14:textId="137395D1"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740" w:type="dxa"/>
            <w:hideMark/>
          </w:tcPr>
          <w:p w14:paraId="78FF9C1D" w14:textId="47377EFF"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6,579,082</w:t>
            </w:r>
          </w:p>
        </w:tc>
        <w:tc>
          <w:tcPr>
            <w:tcW w:w="1366" w:type="dxa"/>
            <w:hideMark/>
          </w:tcPr>
          <w:p w14:paraId="01150FC2" w14:textId="76CBEAAB"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3,816,165</w:t>
            </w:r>
          </w:p>
        </w:tc>
        <w:tc>
          <w:tcPr>
            <w:tcW w:w="1726" w:type="dxa"/>
            <w:hideMark/>
          </w:tcPr>
          <w:p w14:paraId="200A2579" w14:textId="1B4E00DF"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2,762,918</w:t>
            </w:r>
          </w:p>
        </w:tc>
        <w:tc>
          <w:tcPr>
            <w:tcW w:w="1305" w:type="dxa"/>
            <w:hideMark/>
          </w:tcPr>
          <w:p w14:paraId="404C5BF0" w14:textId="39E50997"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7D3EBF59"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7C32BFD4" w14:textId="269070E1"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13</w:t>
            </w:r>
          </w:p>
        </w:tc>
        <w:tc>
          <w:tcPr>
            <w:tcW w:w="2138" w:type="dxa"/>
            <w:hideMark/>
          </w:tcPr>
          <w:p w14:paraId="41F62C1D" w14:textId="5A980750"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4,886,615</w:t>
            </w:r>
          </w:p>
        </w:tc>
        <w:tc>
          <w:tcPr>
            <w:tcW w:w="1740" w:type="dxa"/>
            <w:hideMark/>
          </w:tcPr>
          <w:p w14:paraId="1C07375E" w14:textId="3BBAFE7E"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4,886,615</w:t>
            </w:r>
          </w:p>
        </w:tc>
        <w:tc>
          <w:tcPr>
            <w:tcW w:w="1366" w:type="dxa"/>
            <w:hideMark/>
          </w:tcPr>
          <w:p w14:paraId="5BE3DB07" w14:textId="225FC337"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2,280,487</w:t>
            </w:r>
          </w:p>
        </w:tc>
        <w:tc>
          <w:tcPr>
            <w:tcW w:w="1726" w:type="dxa"/>
            <w:hideMark/>
          </w:tcPr>
          <w:p w14:paraId="4F567921" w14:textId="3E41B8AA"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2,606,128</w:t>
            </w:r>
          </w:p>
        </w:tc>
        <w:tc>
          <w:tcPr>
            <w:tcW w:w="1305" w:type="dxa"/>
            <w:hideMark/>
          </w:tcPr>
          <w:p w14:paraId="4371BBCF" w14:textId="7CB17794"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4019227B" w14:textId="77777777" w:rsidTr="005662C3">
        <w:trPr>
          <w:trHeight w:val="336"/>
        </w:trPr>
        <w:tc>
          <w:tcPr>
            <w:cnfStyle w:val="001000000000" w:firstRow="0" w:lastRow="0" w:firstColumn="1" w:lastColumn="0" w:oddVBand="0" w:evenVBand="0" w:oddHBand="0" w:evenHBand="0" w:firstRowFirstColumn="0" w:firstRowLastColumn="0" w:lastRowFirstColumn="0" w:lastRowLastColumn="0"/>
            <w:tcW w:w="1105" w:type="dxa"/>
          </w:tcPr>
          <w:p w14:paraId="6B3FC0A6" w14:textId="5CE850BD"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14</w:t>
            </w:r>
          </w:p>
        </w:tc>
        <w:tc>
          <w:tcPr>
            <w:tcW w:w="2138" w:type="dxa"/>
            <w:hideMark/>
          </w:tcPr>
          <w:p w14:paraId="07CEA24F" w14:textId="53FC1EF9"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3,415,992</w:t>
            </w:r>
          </w:p>
        </w:tc>
        <w:tc>
          <w:tcPr>
            <w:tcW w:w="1740" w:type="dxa"/>
            <w:hideMark/>
          </w:tcPr>
          <w:p w14:paraId="1D3569DF" w14:textId="649E3A28"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3,415,992</w:t>
            </w:r>
          </w:p>
        </w:tc>
        <w:tc>
          <w:tcPr>
            <w:tcW w:w="1366" w:type="dxa"/>
            <w:hideMark/>
          </w:tcPr>
          <w:p w14:paraId="252B5A31" w14:textId="5860DE85"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1,594,196</w:t>
            </w:r>
          </w:p>
        </w:tc>
        <w:tc>
          <w:tcPr>
            <w:tcW w:w="1726" w:type="dxa"/>
            <w:hideMark/>
          </w:tcPr>
          <w:p w14:paraId="0B2FDCE6" w14:textId="61DE5551"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1,821,796</w:t>
            </w:r>
          </w:p>
        </w:tc>
        <w:tc>
          <w:tcPr>
            <w:tcW w:w="1305" w:type="dxa"/>
            <w:hideMark/>
          </w:tcPr>
          <w:p w14:paraId="463A27E4" w14:textId="61C52746"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7F6FF8F7" w14:textId="77777777" w:rsidTr="005662C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5" w:type="dxa"/>
          </w:tcPr>
          <w:p w14:paraId="1F4C9B8E" w14:textId="3FFBF3A8"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Pr>
                <w:rFonts w:ascii="Baskerville Old Face" w:eastAsia="Times New Roman" w:hAnsi="Baskerville Old Face" w:cs="Times New Roman"/>
                <w:b w:val="0"/>
                <w:bCs w:val="0"/>
                <w:color w:val="000000"/>
                <w:kern w:val="0"/>
                <w:sz w:val="20"/>
                <w:szCs w:val="20"/>
                <w14:ligatures w14:val="none"/>
              </w:rPr>
              <w:t>15</w:t>
            </w:r>
          </w:p>
        </w:tc>
        <w:tc>
          <w:tcPr>
            <w:tcW w:w="2138" w:type="dxa"/>
            <w:hideMark/>
          </w:tcPr>
          <w:p w14:paraId="58F86C61" w14:textId="123E0F08"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7,816,465</w:t>
            </w:r>
          </w:p>
        </w:tc>
        <w:tc>
          <w:tcPr>
            <w:tcW w:w="1740" w:type="dxa"/>
            <w:hideMark/>
          </w:tcPr>
          <w:p w14:paraId="4D629E41" w14:textId="53B71AAB"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7,816,465</w:t>
            </w:r>
          </w:p>
        </w:tc>
        <w:tc>
          <w:tcPr>
            <w:tcW w:w="1366" w:type="dxa"/>
            <w:hideMark/>
          </w:tcPr>
          <w:p w14:paraId="5B5DF55C" w14:textId="00C5E3A0"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3,644,849</w:t>
            </w:r>
          </w:p>
        </w:tc>
        <w:tc>
          <w:tcPr>
            <w:tcW w:w="1726" w:type="dxa"/>
            <w:hideMark/>
          </w:tcPr>
          <w:p w14:paraId="3E9AAAC8" w14:textId="78B0C9E9"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hAnsi="Baskerville Old Face"/>
              </w:rPr>
              <w:t>4,171,616</w:t>
            </w:r>
          </w:p>
        </w:tc>
        <w:tc>
          <w:tcPr>
            <w:tcW w:w="1305" w:type="dxa"/>
            <w:hideMark/>
          </w:tcPr>
          <w:p w14:paraId="4E9684C3" w14:textId="578A9AC7" w:rsidR="005662C3" w:rsidRPr="00CA29EE" w:rsidRDefault="005662C3" w:rsidP="005662C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Not Due</w:t>
            </w:r>
          </w:p>
        </w:tc>
      </w:tr>
      <w:tr w:rsidR="005662C3" w:rsidRPr="00CA29EE" w14:paraId="356211A9" w14:textId="77777777" w:rsidTr="000679D1">
        <w:trPr>
          <w:trHeight w:val="336"/>
        </w:trPr>
        <w:tc>
          <w:tcPr>
            <w:cnfStyle w:val="001000000000" w:firstRow="0" w:lastRow="0" w:firstColumn="1" w:lastColumn="0" w:oddVBand="0" w:evenVBand="0" w:oddHBand="0" w:evenHBand="0" w:firstRowFirstColumn="0" w:firstRowLastColumn="0" w:lastRowFirstColumn="0" w:lastRowLastColumn="0"/>
            <w:tcW w:w="1105" w:type="dxa"/>
            <w:hideMark/>
          </w:tcPr>
          <w:p w14:paraId="05AF0A8E" w14:textId="77777777" w:rsidR="005662C3" w:rsidRPr="00CA29EE" w:rsidRDefault="005662C3" w:rsidP="005662C3">
            <w:pPr>
              <w:jc w:val="both"/>
              <w:rPr>
                <w:rFonts w:ascii="Baskerville Old Face" w:eastAsia="Times New Roman" w:hAnsi="Baskerville Old Face" w:cs="Times New Roman"/>
                <w:b w:val="0"/>
                <w:bCs w:val="0"/>
                <w:color w:val="000000"/>
                <w:kern w:val="0"/>
                <w:sz w:val="20"/>
                <w:szCs w:val="20"/>
                <w14:ligatures w14:val="none"/>
              </w:rPr>
            </w:pPr>
            <w:r w:rsidRPr="00CA29EE">
              <w:rPr>
                <w:rFonts w:ascii="Baskerville Old Face" w:eastAsia="Times New Roman" w:hAnsi="Baskerville Old Face" w:cs="Times New Roman"/>
                <w:color w:val="000000"/>
                <w:kern w:val="0"/>
                <w:sz w:val="20"/>
                <w:szCs w:val="20"/>
                <w14:ligatures w14:val="none"/>
              </w:rPr>
              <w:t>TOTAL</w:t>
            </w:r>
          </w:p>
        </w:tc>
        <w:tc>
          <w:tcPr>
            <w:tcW w:w="2138" w:type="dxa"/>
            <w:hideMark/>
          </w:tcPr>
          <w:p w14:paraId="27348F94" w14:textId="557E9546"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200,897,916</w:t>
            </w:r>
          </w:p>
        </w:tc>
        <w:tc>
          <w:tcPr>
            <w:tcW w:w="1740" w:type="dxa"/>
            <w:hideMark/>
          </w:tcPr>
          <w:p w14:paraId="2674D7C4" w14:textId="2783F063"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148,868,201</w:t>
            </w:r>
          </w:p>
        </w:tc>
        <w:tc>
          <w:tcPr>
            <w:tcW w:w="1366" w:type="dxa"/>
            <w:hideMark/>
          </w:tcPr>
          <w:p w14:paraId="6B863A1D" w14:textId="0EEA7449"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32,214,133</w:t>
            </w:r>
          </w:p>
        </w:tc>
        <w:tc>
          <w:tcPr>
            <w:tcW w:w="1726" w:type="dxa"/>
            <w:hideMark/>
          </w:tcPr>
          <w:p w14:paraId="1770686B" w14:textId="5257A968" w:rsidR="005662C3" w:rsidRPr="000E419A"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0E419A">
              <w:rPr>
                <w:rFonts w:ascii="Baskerville Old Face" w:hAnsi="Baskerville Old Face"/>
                <w:b/>
                <w:bCs/>
              </w:rPr>
              <w:t>170,714,298</w:t>
            </w:r>
          </w:p>
        </w:tc>
        <w:tc>
          <w:tcPr>
            <w:tcW w:w="1305" w:type="dxa"/>
            <w:hideMark/>
          </w:tcPr>
          <w:p w14:paraId="4E628A57" w14:textId="5F2ACEF2" w:rsidR="005662C3" w:rsidRPr="00CA29EE" w:rsidRDefault="005662C3" w:rsidP="005662C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p>
        </w:tc>
      </w:tr>
    </w:tbl>
    <w:p w14:paraId="42E3C2FD"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71715763" w14:textId="77777777" w:rsidR="004D4619" w:rsidRPr="004D4619" w:rsidRDefault="004D4619" w:rsidP="004D4619">
      <w:pPr>
        <w:spacing w:line="360" w:lineRule="auto"/>
        <w:jc w:val="both"/>
        <w:rPr>
          <w:rFonts w:ascii="Baskerville Old Face" w:hAnsi="Baskerville Old Face" w:cs="Times New Roman"/>
          <w:sz w:val="24"/>
          <w:szCs w:val="24"/>
        </w:rPr>
      </w:pPr>
      <w:r w:rsidRPr="004D4619">
        <w:rPr>
          <w:rFonts w:ascii="Baskerville Old Face" w:hAnsi="Baskerville Old Face" w:cs="Times New Roman"/>
          <w:sz w:val="24"/>
          <w:szCs w:val="24"/>
        </w:rPr>
        <w:t>The DMU employed various strategies to recover Customs debts, including reminding debtors of their obligations through phone calls and written correspondence. Additionally, the Unit conducted joint operations, particularly with the ASU, to recover Customs debts, which sometimes involved issuing strong warnings to defaulters or even sealing off their business premises. These operations yielded largely positive results in debt recovery.</w:t>
      </w:r>
    </w:p>
    <w:p w14:paraId="25DD0B97" w14:textId="66AEBA2C" w:rsidR="004D4619" w:rsidRPr="004D4619" w:rsidRDefault="00BA0DB9" w:rsidP="002725A1">
      <w:pPr>
        <w:pStyle w:val="Heading2"/>
        <w:rPr>
          <w:rFonts w:cs="Times New Roman"/>
          <w:szCs w:val="24"/>
        </w:rPr>
      </w:pPr>
      <w:bookmarkStart w:id="91" w:name="_Toc198205711"/>
      <w:r>
        <w:t xml:space="preserve">4.7: </w:t>
      </w:r>
      <w:r w:rsidR="00700CFC" w:rsidRPr="0062044A">
        <w:t>UPDATE ON CUSTOMS RISK MANAGEMENT ACTIVITIES</w:t>
      </w:r>
      <w:bookmarkEnd w:id="91"/>
    </w:p>
    <w:p w14:paraId="4C28A696" w14:textId="77777777" w:rsidR="002725A1" w:rsidRDefault="002725A1" w:rsidP="00700CFC">
      <w:pPr>
        <w:spacing w:line="360" w:lineRule="auto"/>
        <w:jc w:val="both"/>
        <w:rPr>
          <w:rFonts w:ascii="Baskerville Old Face" w:hAnsi="Baskerville Old Face" w:cs="Times New Roman"/>
          <w:sz w:val="24"/>
          <w:szCs w:val="24"/>
        </w:rPr>
      </w:pPr>
    </w:p>
    <w:p w14:paraId="7E3DC954" w14:textId="7800A78C" w:rsidR="00700CFC" w:rsidRPr="00700CFC" w:rsidRDefault="00700CFC" w:rsidP="00700CFC">
      <w:pPr>
        <w:spacing w:line="360" w:lineRule="auto"/>
        <w:jc w:val="both"/>
        <w:rPr>
          <w:rFonts w:ascii="Baskerville Old Face" w:hAnsi="Baskerville Old Face" w:cs="Times New Roman"/>
          <w:sz w:val="24"/>
          <w:szCs w:val="24"/>
        </w:rPr>
      </w:pPr>
      <w:r w:rsidRPr="00700CFC">
        <w:rPr>
          <w:rFonts w:ascii="Baskerville Old Face" w:hAnsi="Baskerville Old Face" w:cs="Times New Roman"/>
          <w:sz w:val="24"/>
          <w:szCs w:val="24"/>
        </w:rPr>
        <w:t>Effective risk detection and management play a pivotal role in customs operations, which is why the creation of the Risk Management Unit (RMU) was imperative. The RMU's primary objective is to identify risks and propose measures to mitigate them, ensuring declarants comply with customs obligations. Unit personnel are tasked with continuously monitoring all declarations in real-time to pinpoint 'High Risk' declarations related to valuation, classification, currency codes, CVC inputs, and general documentation, among others, and promptly notify operational units for corrective actions.</w:t>
      </w:r>
    </w:p>
    <w:p w14:paraId="12C4297F" w14:textId="3203FD5E" w:rsidR="00FE2CA9" w:rsidRPr="0062044A" w:rsidRDefault="00FE2CA9" w:rsidP="008C5C22">
      <w:pPr>
        <w:pStyle w:val="Heading3"/>
      </w:pPr>
      <w:bookmarkStart w:id="92" w:name="_Toc198205712"/>
      <w:r w:rsidRPr="00FE2CA9">
        <w:lastRenderedPageBreak/>
        <w:t>RMU Risk Profiling</w:t>
      </w:r>
      <w:bookmarkEnd w:id="92"/>
    </w:p>
    <w:p w14:paraId="0E90CDB9" w14:textId="723647C5" w:rsidR="00FE2CA9" w:rsidRPr="00FE2CA9" w:rsidRDefault="00FE2CA9" w:rsidP="00FE2CA9">
      <w:pPr>
        <w:spacing w:line="360" w:lineRule="auto"/>
        <w:jc w:val="both"/>
        <w:rPr>
          <w:rFonts w:ascii="Baskerville Old Face" w:hAnsi="Baskerville Old Face" w:cs="Times New Roman"/>
          <w:sz w:val="24"/>
          <w:szCs w:val="24"/>
        </w:rPr>
      </w:pPr>
      <w:r w:rsidRPr="00FE2CA9">
        <w:rPr>
          <w:rFonts w:ascii="Baskerville Old Face" w:hAnsi="Baskerville Old Face" w:cs="Times New Roman"/>
          <w:sz w:val="24"/>
          <w:szCs w:val="24"/>
        </w:rPr>
        <w:t xml:space="preserve">Another vital task undertaken by the RMU is Risk Profiling, which involves </w:t>
      </w:r>
      <w:proofErr w:type="spellStart"/>
      <w:r w:rsidRPr="00FE2CA9">
        <w:rPr>
          <w:rFonts w:ascii="Baskerville Old Face" w:hAnsi="Baskerville Old Face" w:cs="Times New Roman"/>
          <w:sz w:val="24"/>
          <w:szCs w:val="24"/>
        </w:rPr>
        <w:t>categori</w:t>
      </w:r>
      <w:r>
        <w:rPr>
          <w:rFonts w:ascii="Baskerville Old Face" w:hAnsi="Baskerville Old Face" w:cs="Times New Roman"/>
          <w:sz w:val="24"/>
          <w:szCs w:val="24"/>
        </w:rPr>
        <w:t>s</w:t>
      </w:r>
      <w:r w:rsidRPr="00FE2CA9">
        <w:rPr>
          <w:rFonts w:ascii="Baskerville Old Face" w:hAnsi="Baskerville Old Face" w:cs="Times New Roman"/>
          <w:sz w:val="24"/>
          <w:szCs w:val="24"/>
        </w:rPr>
        <w:t>ing</w:t>
      </w:r>
      <w:proofErr w:type="spellEnd"/>
      <w:r w:rsidRPr="00FE2CA9">
        <w:rPr>
          <w:rFonts w:ascii="Baskerville Old Face" w:hAnsi="Baskerville Old Face" w:cs="Times New Roman"/>
          <w:sz w:val="24"/>
          <w:szCs w:val="24"/>
        </w:rPr>
        <w:t xml:space="preserve"> importers and brokers based on the risks they pose to revenue and the supply chain. This process contributes to trade facilitation and enables effective risk analysis. Profiling occurs quarterly and utilizes data generated by ASYCUDA, Post Clearance Audit (PCA) activities and reports, Anti-Smuggling Unit (ASU) interdictions and penalties, and information from the Query and Amendment Unit. This data is </w:t>
      </w:r>
      <w:proofErr w:type="spellStart"/>
      <w:r w:rsidRPr="00FE2CA9">
        <w:rPr>
          <w:rFonts w:ascii="Baskerville Old Face" w:hAnsi="Baskerville Old Face" w:cs="Times New Roman"/>
          <w:sz w:val="24"/>
          <w:szCs w:val="24"/>
        </w:rPr>
        <w:t>analy</w:t>
      </w:r>
      <w:r>
        <w:rPr>
          <w:rFonts w:ascii="Baskerville Old Face" w:hAnsi="Baskerville Old Face" w:cs="Times New Roman"/>
          <w:sz w:val="24"/>
          <w:szCs w:val="24"/>
        </w:rPr>
        <w:t>s</w:t>
      </w:r>
      <w:r w:rsidRPr="00FE2CA9">
        <w:rPr>
          <w:rFonts w:ascii="Baskerville Old Face" w:hAnsi="Baskerville Old Face" w:cs="Times New Roman"/>
          <w:sz w:val="24"/>
          <w:szCs w:val="24"/>
        </w:rPr>
        <w:t>ed</w:t>
      </w:r>
      <w:proofErr w:type="spellEnd"/>
      <w:r w:rsidRPr="00FE2CA9">
        <w:rPr>
          <w:rFonts w:ascii="Baskerville Old Face" w:hAnsi="Baskerville Old Face" w:cs="Times New Roman"/>
          <w:sz w:val="24"/>
          <w:szCs w:val="24"/>
        </w:rPr>
        <w:t xml:space="preserve"> to evaluate importers' and brokers' compliance levels, determining their placement into one of three selective lanes: red, blue, or yellow. The results of profiling are then submitted to the Risk Management Committee for management approval.</w:t>
      </w:r>
    </w:p>
    <w:p w14:paraId="212A0C73" w14:textId="6C149639" w:rsidR="00937AB9" w:rsidRDefault="00496E9B" w:rsidP="00FE2CA9">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As shown</w:t>
      </w:r>
      <w:r w:rsidR="00937AB9">
        <w:rPr>
          <w:rFonts w:ascii="Baskerville Old Face" w:hAnsi="Baskerville Old Face" w:cs="Times New Roman"/>
          <w:sz w:val="24"/>
          <w:szCs w:val="24"/>
        </w:rPr>
        <w:t xml:space="preserve"> in </w:t>
      </w:r>
      <w:r w:rsidR="00937AB9" w:rsidRPr="00496E9B">
        <w:rPr>
          <w:rFonts w:ascii="Baskerville Old Face" w:hAnsi="Baskerville Old Face" w:cs="Times New Roman"/>
          <w:sz w:val="24"/>
          <w:szCs w:val="24"/>
        </w:rPr>
        <w:t xml:space="preserve">Table </w:t>
      </w:r>
      <w:r w:rsidR="00572579">
        <w:rPr>
          <w:rFonts w:ascii="Baskerville Old Face" w:hAnsi="Baskerville Old Face" w:cs="Times New Roman"/>
          <w:sz w:val="24"/>
          <w:szCs w:val="24"/>
        </w:rPr>
        <w:t>2</w:t>
      </w:r>
      <w:r w:rsidR="00B21BFE">
        <w:rPr>
          <w:rFonts w:ascii="Baskerville Old Face" w:hAnsi="Baskerville Old Face" w:cs="Times New Roman"/>
          <w:sz w:val="24"/>
          <w:szCs w:val="24"/>
        </w:rPr>
        <w:t>1</w:t>
      </w:r>
      <w:r w:rsidR="00937AB9">
        <w:rPr>
          <w:rFonts w:ascii="Baskerville Old Face" w:hAnsi="Baskerville Old Face" w:cs="Times New Roman"/>
          <w:sz w:val="24"/>
          <w:szCs w:val="24"/>
        </w:rPr>
        <w:t>, d</w:t>
      </w:r>
      <w:r w:rsidR="00FE2CA9" w:rsidRPr="00FE2CA9">
        <w:rPr>
          <w:rFonts w:ascii="Baskerville Old Face" w:hAnsi="Baskerville Old Face" w:cs="Times New Roman"/>
          <w:sz w:val="24"/>
          <w:szCs w:val="24"/>
        </w:rPr>
        <w:t>uring the period under review, a total of 229 importers were profiled. Among them, 213 importers (93.5%) were recommended for the Blue Lane, 10 importers (4.3%) for the Yellow Lane, and 6 importers (2.7%) for the Red Lane.</w:t>
      </w:r>
      <w:r w:rsidR="00937AB9">
        <w:rPr>
          <w:rFonts w:ascii="Baskerville Old Face" w:hAnsi="Baskerville Old Face" w:cs="Times New Roman"/>
          <w:sz w:val="24"/>
          <w:szCs w:val="24"/>
        </w:rPr>
        <w:t xml:space="preserve"> </w:t>
      </w:r>
    </w:p>
    <w:p w14:paraId="5962A2FB" w14:textId="2BE09ED3" w:rsidR="00937AB9" w:rsidRDefault="00937AB9" w:rsidP="00937AB9">
      <w:pPr>
        <w:spacing w:line="240" w:lineRule="auto"/>
        <w:jc w:val="both"/>
        <w:rPr>
          <w:rFonts w:ascii="Baskerville Old Face" w:hAnsi="Baskerville Old Face" w:cs="Times New Roman"/>
          <w:b/>
          <w:bCs/>
          <w:i/>
          <w:iCs/>
          <w:sz w:val="24"/>
          <w:szCs w:val="24"/>
          <w:lang w:val="en-GB"/>
        </w:rPr>
      </w:pPr>
      <w:bookmarkStart w:id="93" w:name="Table21"/>
      <w:r w:rsidRPr="00496E9B">
        <w:rPr>
          <w:rFonts w:ascii="Baskerville Old Face" w:hAnsi="Baskerville Old Face" w:cs="Times New Roman"/>
          <w:b/>
          <w:bCs/>
          <w:i/>
          <w:iCs/>
          <w:sz w:val="24"/>
          <w:szCs w:val="24"/>
          <w:lang w:val="en-GB"/>
        </w:rPr>
        <w:t xml:space="preserve">Table </w:t>
      </w:r>
      <w:r w:rsidR="00572579">
        <w:rPr>
          <w:rFonts w:ascii="Baskerville Old Face" w:hAnsi="Baskerville Old Face" w:cs="Times New Roman"/>
          <w:b/>
          <w:bCs/>
          <w:i/>
          <w:iCs/>
          <w:sz w:val="24"/>
          <w:szCs w:val="24"/>
          <w:lang w:val="en-GB"/>
        </w:rPr>
        <w:t>2</w:t>
      </w:r>
      <w:r w:rsidR="00C262EB">
        <w:rPr>
          <w:rFonts w:ascii="Baskerville Old Face" w:hAnsi="Baskerville Old Face" w:cs="Times New Roman"/>
          <w:b/>
          <w:bCs/>
          <w:i/>
          <w:iCs/>
          <w:sz w:val="24"/>
          <w:szCs w:val="24"/>
          <w:lang w:val="en-GB"/>
        </w:rPr>
        <w:t>1</w:t>
      </w:r>
      <w:r w:rsidRPr="0062044A">
        <w:rPr>
          <w:rFonts w:ascii="Baskerville Old Face" w:hAnsi="Baskerville Old Face" w:cs="Times New Roman"/>
          <w:b/>
          <w:bCs/>
          <w:i/>
          <w:iCs/>
          <w:sz w:val="24"/>
          <w:szCs w:val="24"/>
          <w:lang w:val="en-GB"/>
        </w:rPr>
        <w:t>: Number of profiled Importers by Selectivity Lane in 2023</w:t>
      </w:r>
    </w:p>
    <w:tbl>
      <w:tblPr>
        <w:tblStyle w:val="GridTable4"/>
        <w:tblW w:w="0" w:type="auto"/>
        <w:jc w:val="center"/>
        <w:tblLook w:val="04A0" w:firstRow="1" w:lastRow="0" w:firstColumn="1" w:lastColumn="0" w:noHBand="0" w:noVBand="1"/>
      </w:tblPr>
      <w:tblGrid>
        <w:gridCol w:w="1615"/>
        <w:gridCol w:w="2070"/>
        <w:gridCol w:w="2340"/>
        <w:gridCol w:w="2070"/>
        <w:gridCol w:w="1255"/>
      </w:tblGrid>
      <w:tr w:rsidR="00C1143D" w:rsidRPr="00C1143D" w14:paraId="03F2BD1A" w14:textId="77777777" w:rsidTr="00C1143D">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bookmarkEnd w:id="93"/>
          <w:p w14:paraId="3A030E57"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Quarter</w:t>
            </w:r>
          </w:p>
        </w:tc>
        <w:tc>
          <w:tcPr>
            <w:tcW w:w="2070" w:type="dxa"/>
            <w:noWrap/>
            <w:hideMark/>
          </w:tcPr>
          <w:p w14:paraId="2249DF85" w14:textId="77777777"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Blue Lane Importers</w:t>
            </w:r>
          </w:p>
        </w:tc>
        <w:tc>
          <w:tcPr>
            <w:tcW w:w="2340" w:type="dxa"/>
            <w:noWrap/>
            <w:hideMark/>
          </w:tcPr>
          <w:p w14:paraId="0710C8D6" w14:textId="77777777"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Yellow Lane Importers</w:t>
            </w:r>
          </w:p>
        </w:tc>
        <w:tc>
          <w:tcPr>
            <w:tcW w:w="2070" w:type="dxa"/>
            <w:noWrap/>
            <w:hideMark/>
          </w:tcPr>
          <w:p w14:paraId="29F57337" w14:textId="77777777"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Red Lane Importers</w:t>
            </w:r>
          </w:p>
        </w:tc>
        <w:tc>
          <w:tcPr>
            <w:tcW w:w="1255" w:type="dxa"/>
            <w:noWrap/>
            <w:hideMark/>
          </w:tcPr>
          <w:p w14:paraId="4851C4AB" w14:textId="3D73012F" w:rsidR="00C1143D" w:rsidRPr="00C1143D" w:rsidRDefault="00C1143D" w:rsidP="00C1143D">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Total</w:t>
            </w:r>
          </w:p>
        </w:tc>
      </w:tr>
      <w:tr w:rsidR="00C1143D" w:rsidRPr="00C1143D" w14:paraId="430B8479" w14:textId="77777777" w:rsidTr="00C1143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24D2DEB"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Q1</w:t>
            </w:r>
          </w:p>
        </w:tc>
        <w:tc>
          <w:tcPr>
            <w:tcW w:w="2070" w:type="dxa"/>
            <w:noWrap/>
            <w:hideMark/>
          </w:tcPr>
          <w:p w14:paraId="35E74EF0"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41</w:t>
            </w:r>
          </w:p>
        </w:tc>
        <w:tc>
          <w:tcPr>
            <w:tcW w:w="2340" w:type="dxa"/>
            <w:noWrap/>
            <w:hideMark/>
          </w:tcPr>
          <w:p w14:paraId="05CC1A5E"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w:t>
            </w:r>
          </w:p>
        </w:tc>
        <w:tc>
          <w:tcPr>
            <w:tcW w:w="2070" w:type="dxa"/>
            <w:noWrap/>
            <w:hideMark/>
          </w:tcPr>
          <w:p w14:paraId="021C3F13"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w:t>
            </w:r>
          </w:p>
        </w:tc>
        <w:tc>
          <w:tcPr>
            <w:tcW w:w="1255" w:type="dxa"/>
            <w:noWrap/>
            <w:hideMark/>
          </w:tcPr>
          <w:p w14:paraId="10AC74DA"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51</w:t>
            </w:r>
          </w:p>
        </w:tc>
      </w:tr>
      <w:tr w:rsidR="00C1143D" w:rsidRPr="00C1143D" w14:paraId="62148AC4" w14:textId="77777777" w:rsidTr="00C1143D">
        <w:trPr>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BE5E60F"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Q2</w:t>
            </w:r>
          </w:p>
        </w:tc>
        <w:tc>
          <w:tcPr>
            <w:tcW w:w="2070" w:type="dxa"/>
            <w:noWrap/>
            <w:hideMark/>
          </w:tcPr>
          <w:p w14:paraId="2DB78798"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74</w:t>
            </w:r>
          </w:p>
        </w:tc>
        <w:tc>
          <w:tcPr>
            <w:tcW w:w="2340" w:type="dxa"/>
            <w:noWrap/>
            <w:hideMark/>
          </w:tcPr>
          <w:p w14:paraId="74D9AA42"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2</w:t>
            </w:r>
          </w:p>
        </w:tc>
        <w:tc>
          <w:tcPr>
            <w:tcW w:w="2070" w:type="dxa"/>
            <w:noWrap/>
            <w:hideMark/>
          </w:tcPr>
          <w:p w14:paraId="5D659039"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w:t>
            </w:r>
          </w:p>
        </w:tc>
        <w:tc>
          <w:tcPr>
            <w:tcW w:w="1255" w:type="dxa"/>
            <w:noWrap/>
            <w:hideMark/>
          </w:tcPr>
          <w:p w14:paraId="1C5ACA6D"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76</w:t>
            </w:r>
          </w:p>
        </w:tc>
      </w:tr>
      <w:tr w:rsidR="00C1143D" w:rsidRPr="00C1143D" w14:paraId="7AF96E6F" w14:textId="77777777" w:rsidTr="00C1143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91C72DE"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Q3</w:t>
            </w:r>
          </w:p>
        </w:tc>
        <w:tc>
          <w:tcPr>
            <w:tcW w:w="2070" w:type="dxa"/>
            <w:noWrap/>
            <w:hideMark/>
          </w:tcPr>
          <w:p w14:paraId="636F9D8A"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47</w:t>
            </w:r>
          </w:p>
        </w:tc>
        <w:tc>
          <w:tcPr>
            <w:tcW w:w="2340" w:type="dxa"/>
            <w:noWrap/>
            <w:hideMark/>
          </w:tcPr>
          <w:p w14:paraId="4BFBB0BE"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2</w:t>
            </w:r>
          </w:p>
        </w:tc>
        <w:tc>
          <w:tcPr>
            <w:tcW w:w="2070" w:type="dxa"/>
            <w:noWrap/>
            <w:hideMark/>
          </w:tcPr>
          <w:p w14:paraId="11B83B4C"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1</w:t>
            </w:r>
          </w:p>
        </w:tc>
        <w:tc>
          <w:tcPr>
            <w:tcW w:w="1255" w:type="dxa"/>
            <w:noWrap/>
            <w:hideMark/>
          </w:tcPr>
          <w:p w14:paraId="63C79704"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50</w:t>
            </w:r>
          </w:p>
        </w:tc>
      </w:tr>
      <w:tr w:rsidR="00C1143D" w:rsidRPr="00C1143D" w14:paraId="77267733" w14:textId="77777777" w:rsidTr="00C1143D">
        <w:trPr>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E0E8D70"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Q4</w:t>
            </w:r>
          </w:p>
        </w:tc>
        <w:tc>
          <w:tcPr>
            <w:tcW w:w="2070" w:type="dxa"/>
            <w:noWrap/>
            <w:hideMark/>
          </w:tcPr>
          <w:p w14:paraId="1F54D7EF"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51</w:t>
            </w:r>
          </w:p>
        </w:tc>
        <w:tc>
          <w:tcPr>
            <w:tcW w:w="2340" w:type="dxa"/>
            <w:noWrap/>
            <w:hideMark/>
          </w:tcPr>
          <w:p w14:paraId="14ECA1ED"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1</w:t>
            </w:r>
          </w:p>
        </w:tc>
        <w:tc>
          <w:tcPr>
            <w:tcW w:w="2070" w:type="dxa"/>
            <w:noWrap/>
            <w:hideMark/>
          </w:tcPr>
          <w:p w14:paraId="550CBA1E"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w:t>
            </w:r>
          </w:p>
        </w:tc>
        <w:tc>
          <w:tcPr>
            <w:tcW w:w="1255" w:type="dxa"/>
            <w:noWrap/>
            <w:hideMark/>
          </w:tcPr>
          <w:p w14:paraId="644CF381" w14:textId="77777777" w:rsidR="00C1143D" w:rsidRPr="00C1143D" w:rsidRDefault="00C1143D" w:rsidP="00C1143D">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C1143D">
              <w:rPr>
                <w:rFonts w:ascii="Baskerville Old Face" w:hAnsi="Baskerville Old Face" w:cs="Times New Roman"/>
              </w:rPr>
              <w:t>52</w:t>
            </w:r>
          </w:p>
        </w:tc>
      </w:tr>
      <w:tr w:rsidR="00C1143D" w:rsidRPr="00C1143D" w14:paraId="4F9E5885" w14:textId="77777777" w:rsidTr="00C1143D">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9B7C97B" w14:textId="77777777" w:rsidR="00C1143D" w:rsidRPr="00C1143D" w:rsidRDefault="00C1143D" w:rsidP="00C1143D">
            <w:pPr>
              <w:jc w:val="both"/>
              <w:rPr>
                <w:rFonts w:ascii="Baskerville Old Face" w:hAnsi="Baskerville Old Face" w:cs="Times New Roman"/>
              </w:rPr>
            </w:pPr>
            <w:r w:rsidRPr="00C1143D">
              <w:rPr>
                <w:rFonts w:ascii="Baskerville Old Face" w:hAnsi="Baskerville Old Face" w:cs="Times New Roman"/>
              </w:rPr>
              <w:t>TOTALS</w:t>
            </w:r>
          </w:p>
        </w:tc>
        <w:tc>
          <w:tcPr>
            <w:tcW w:w="2070" w:type="dxa"/>
            <w:noWrap/>
            <w:hideMark/>
          </w:tcPr>
          <w:p w14:paraId="3AB9212A"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213</w:t>
            </w:r>
          </w:p>
        </w:tc>
        <w:tc>
          <w:tcPr>
            <w:tcW w:w="2340" w:type="dxa"/>
            <w:noWrap/>
            <w:hideMark/>
          </w:tcPr>
          <w:p w14:paraId="6B3A2BE9"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10</w:t>
            </w:r>
          </w:p>
        </w:tc>
        <w:tc>
          <w:tcPr>
            <w:tcW w:w="2070" w:type="dxa"/>
            <w:noWrap/>
            <w:hideMark/>
          </w:tcPr>
          <w:p w14:paraId="31B379D0"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6</w:t>
            </w:r>
          </w:p>
        </w:tc>
        <w:tc>
          <w:tcPr>
            <w:tcW w:w="1255" w:type="dxa"/>
            <w:noWrap/>
            <w:hideMark/>
          </w:tcPr>
          <w:p w14:paraId="4D54F741" w14:textId="77777777" w:rsidR="00C1143D" w:rsidRPr="00C1143D" w:rsidRDefault="00C1143D" w:rsidP="00C1143D">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C1143D">
              <w:rPr>
                <w:rFonts w:ascii="Baskerville Old Face" w:hAnsi="Baskerville Old Face" w:cs="Times New Roman"/>
                <w:b/>
                <w:bCs/>
              </w:rPr>
              <w:t>229</w:t>
            </w:r>
          </w:p>
        </w:tc>
      </w:tr>
    </w:tbl>
    <w:p w14:paraId="5C1F96A9"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BD54BAF" w14:textId="652C5B5C" w:rsidR="00FE2CA9" w:rsidRPr="00FE2CA9" w:rsidRDefault="00FE2CA9" w:rsidP="00FE2CA9">
      <w:pPr>
        <w:spacing w:line="360" w:lineRule="auto"/>
        <w:jc w:val="both"/>
        <w:rPr>
          <w:rFonts w:ascii="Baskerville Old Face" w:hAnsi="Baskerville Old Face" w:cs="Times New Roman"/>
          <w:sz w:val="24"/>
          <w:szCs w:val="24"/>
        </w:rPr>
      </w:pPr>
      <w:r w:rsidRPr="00FE2CA9">
        <w:rPr>
          <w:rFonts w:ascii="Baskerville Old Face" w:hAnsi="Baskerville Old Face" w:cs="Times New Roman"/>
          <w:sz w:val="24"/>
          <w:szCs w:val="24"/>
        </w:rPr>
        <w:t>Furthermore, the unit completed the profiling of 324 declarants/brokers during the same period. Of these, 273 brokers (84.2%) were considered compliant (Blue Lane), 24 (7.4%) were categorized as moderately compliant (Yellow Lane), and 27 brokers (8.4%) were identified as non-compliant (Red Lane).</w:t>
      </w:r>
    </w:p>
    <w:p w14:paraId="703B6F36" w14:textId="0AB9CC50" w:rsidR="00700CFC" w:rsidRPr="00700CFC" w:rsidRDefault="00700CFC" w:rsidP="008C5C22">
      <w:pPr>
        <w:pStyle w:val="Heading3"/>
      </w:pPr>
      <w:bookmarkStart w:id="94" w:name="_Toc198205713"/>
      <w:r w:rsidRPr="00700CFC">
        <w:t>Additional Revenue Generated through RMU Interventions</w:t>
      </w:r>
      <w:bookmarkEnd w:id="94"/>
    </w:p>
    <w:p w14:paraId="37F836CE" w14:textId="4134DC10" w:rsidR="0003123A" w:rsidRDefault="00700CFC" w:rsidP="00700CFC">
      <w:pPr>
        <w:spacing w:line="360" w:lineRule="auto"/>
        <w:jc w:val="both"/>
        <w:rPr>
          <w:rFonts w:ascii="Baskerville Old Face" w:hAnsi="Baskerville Old Face" w:cs="Times New Roman"/>
          <w:sz w:val="24"/>
          <w:szCs w:val="24"/>
        </w:rPr>
      </w:pPr>
      <w:r w:rsidRPr="00700CFC">
        <w:rPr>
          <w:rFonts w:ascii="Baskerville Old Face" w:hAnsi="Baskerville Old Face" w:cs="Times New Roman"/>
          <w:sz w:val="24"/>
          <w:szCs w:val="24"/>
        </w:rPr>
        <w:t xml:space="preserve">In the reporting period, a total of 17 declarations were flagged as 'High Risk' for potential revenue loss. Vigilant monitoring and proactive measures led to the generation of additional revenue totaling NLe 1.958 million. </w:t>
      </w:r>
      <w:r w:rsidR="00572579">
        <w:rPr>
          <w:rFonts w:ascii="Baskerville Old Face" w:hAnsi="Baskerville Old Face" w:cs="Times New Roman"/>
          <w:sz w:val="24"/>
          <w:szCs w:val="24"/>
        </w:rPr>
        <w:t>T</w:t>
      </w:r>
      <w:r w:rsidRPr="00700CFC">
        <w:rPr>
          <w:rFonts w:ascii="Baskerville Old Face" w:hAnsi="Baskerville Old Face" w:cs="Times New Roman"/>
          <w:sz w:val="24"/>
          <w:szCs w:val="24"/>
        </w:rPr>
        <w:t xml:space="preserve">able </w:t>
      </w:r>
      <w:r w:rsidR="00572579">
        <w:rPr>
          <w:rFonts w:ascii="Baskerville Old Face" w:hAnsi="Baskerville Old Face" w:cs="Times New Roman"/>
          <w:sz w:val="24"/>
          <w:szCs w:val="24"/>
        </w:rPr>
        <w:t>2</w:t>
      </w:r>
      <w:r w:rsidR="00C262EB">
        <w:rPr>
          <w:rFonts w:ascii="Baskerville Old Face" w:hAnsi="Baskerville Old Face" w:cs="Times New Roman"/>
          <w:sz w:val="24"/>
          <w:szCs w:val="24"/>
        </w:rPr>
        <w:t>2</w:t>
      </w:r>
      <w:r w:rsidRPr="00700CFC">
        <w:rPr>
          <w:rFonts w:ascii="Baskerville Old Face" w:hAnsi="Baskerville Old Face" w:cs="Times New Roman"/>
          <w:sz w:val="24"/>
          <w:szCs w:val="24"/>
        </w:rPr>
        <w:t xml:space="preserve"> provides a breakdown of the additional revenue generated along with their corresponding risk factors. According to the table, the largest portion of additional revenue resulted from incorrect HS code usage, accounting for 47.</w:t>
      </w:r>
      <w:r w:rsidR="00F87060">
        <w:rPr>
          <w:rFonts w:ascii="Baskerville Old Face" w:hAnsi="Baskerville Old Face" w:cs="Times New Roman"/>
          <w:sz w:val="24"/>
          <w:szCs w:val="24"/>
        </w:rPr>
        <w:t>3</w:t>
      </w:r>
      <w:r w:rsidRPr="00700CFC">
        <w:rPr>
          <w:rFonts w:ascii="Baskerville Old Face" w:hAnsi="Baskerville Old Face" w:cs="Times New Roman"/>
          <w:sz w:val="24"/>
          <w:szCs w:val="24"/>
        </w:rPr>
        <w:t>%, followed by inaccurate goods descriptions at 35.7%, and incorrect valuation of goods at 7.7%.</w:t>
      </w:r>
    </w:p>
    <w:p w14:paraId="0FA8DAD6" w14:textId="77777777" w:rsidR="00C262EB" w:rsidRDefault="00C262EB" w:rsidP="00700CFC">
      <w:pPr>
        <w:spacing w:line="360" w:lineRule="auto"/>
        <w:jc w:val="both"/>
        <w:rPr>
          <w:rFonts w:ascii="Baskerville Old Face" w:hAnsi="Baskerville Old Face" w:cs="Times New Roman"/>
          <w:sz w:val="24"/>
          <w:szCs w:val="24"/>
        </w:rPr>
      </w:pPr>
    </w:p>
    <w:p w14:paraId="5017A0D7" w14:textId="730277DE" w:rsidR="00700CFC" w:rsidRPr="0062044A" w:rsidRDefault="00700CFC" w:rsidP="00700CFC">
      <w:pPr>
        <w:spacing w:line="240" w:lineRule="auto"/>
        <w:jc w:val="both"/>
        <w:rPr>
          <w:rFonts w:ascii="Baskerville Old Face" w:hAnsi="Baskerville Old Face" w:cs="Times New Roman"/>
          <w:b/>
          <w:bCs/>
          <w:i/>
          <w:iCs/>
          <w:sz w:val="24"/>
          <w:szCs w:val="24"/>
          <w:lang w:val="en-GB"/>
        </w:rPr>
      </w:pPr>
      <w:bookmarkStart w:id="95" w:name="Table22"/>
      <w:r w:rsidRPr="00F7531C">
        <w:rPr>
          <w:rFonts w:ascii="Baskerville Old Face" w:hAnsi="Baskerville Old Face" w:cs="Times New Roman"/>
          <w:b/>
          <w:bCs/>
          <w:i/>
          <w:iCs/>
          <w:sz w:val="24"/>
          <w:szCs w:val="24"/>
          <w:lang w:val="en-GB"/>
        </w:rPr>
        <w:lastRenderedPageBreak/>
        <w:t xml:space="preserve">Table </w:t>
      </w:r>
      <w:r w:rsidR="00F7531C">
        <w:rPr>
          <w:rFonts w:ascii="Baskerville Old Face" w:hAnsi="Baskerville Old Face" w:cs="Times New Roman"/>
          <w:b/>
          <w:bCs/>
          <w:i/>
          <w:iCs/>
          <w:sz w:val="24"/>
          <w:szCs w:val="24"/>
          <w:lang w:val="en-GB"/>
        </w:rPr>
        <w:t>2</w:t>
      </w:r>
      <w:r w:rsidR="00C262EB">
        <w:rPr>
          <w:rFonts w:ascii="Baskerville Old Face" w:hAnsi="Baskerville Old Face" w:cs="Times New Roman"/>
          <w:b/>
          <w:bCs/>
          <w:i/>
          <w:iCs/>
          <w:sz w:val="24"/>
          <w:szCs w:val="24"/>
          <w:lang w:val="en-GB"/>
        </w:rPr>
        <w:t>2</w:t>
      </w:r>
      <w:r w:rsidRPr="0062044A">
        <w:rPr>
          <w:rFonts w:ascii="Baskerville Old Face" w:hAnsi="Baskerville Old Face" w:cs="Times New Roman"/>
          <w:b/>
          <w:bCs/>
          <w:i/>
          <w:iCs/>
          <w:sz w:val="24"/>
          <w:szCs w:val="24"/>
          <w:lang w:val="en-GB"/>
        </w:rPr>
        <w:t>: Revenue Raised by the Risk Management Unit, 2023</w:t>
      </w:r>
    </w:p>
    <w:tbl>
      <w:tblPr>
        <w:tblStyle w:val="GridTable6Colorful-Accent6"/>
        <w:tblW w:w="0" w:type="auto"/>
        <w:tblLook w:val="04A0" w:firstRow="1" w:lastRow="0" w:firstColumn="1" w:lastColumn="0" w:noHBand="0" w:noVBand="1"/>
      </w:tblPr>
      <w:tblGrid>
        <w:gridCol w:w="680"/>
        <w:gridCol w:w="2440"/>
        <w:gridCol w:w="2500"/>
        <w:gridCol w:w="1520"/>
      </w:tblGrid>
      <w:tr w:rsidR="00700CFC" w:rsidRPr="0062044A" w14:paraId="10B76351" w14:textId="77777777" w:rsidTr="00EF0624">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bookmarkEnd w:id="95"/>
          <w:p w14:paraId="358237A4" w14:textId="3FC5E726" w:rsidR="00700CFC" w:rsidRPr="00EF0624" w:rsidRDefault="00EF0624" w:rsidP="00F9112B">
            <w:pPr>
              <w:jc w:val="both"/>
              <w:rPr>
                <w:rFonts w:ascii="Baskerville Old Face" w:hAnsi="Baskerville Old Face"/>
                <w:b w:val="0"/>
                <w:bCs w:val="0"/>
                <w:color w:val="auto"/>
              </w:rPr>
            </w:pPr>
            <w:r w:rsidRPr="00EF0624">
              <w:rPr>
                <w:rFonts w:ascii="Baskerville Old Face" w:hAnsi="Baskerville Old Face"/>
                <w:color w:val="auto"/>
              </w:rPr>
              <w:t>No.</w:t>
            </w:r>
          </w:p>
        </w:tc>
        <w:tc>
          <w:tcPr>
            <w:tcW w:w="2440" w:type="dxa"/>
            <w:hideMark/>
          </w:tcPr>
          <w:p w14:paraId="5F9D58C1" w14:textId="37CAB11D" w:rsidR="00700CFC" w:rsidRPr="00EF0624"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rPr>
            </w:pPr>
            <w:r w:rsidRPr="00EF0624">
              <w:rPr>
                <w:rFonts w:ascii="Baskerville Old Face" w:hAnsi="Baskerville Old Face"/>
                <w:color w:val="auto"/>
              </w:rPr>
              <w:t xml:space="preserve">Suspected Risk </w:t>
            </w:r>
          </w:p>
        </w:tc>
        <w:tc>
          <w:tcPr>
            <w:tcW w:w="2500" w:type="dxa"/>
            <w:hideMark/>
          </w:tcPr>
          <w:p w14:paraId="3262DD93" w14:textId="00DA4911" w:rsidR="00700CFC" w:rsidRPr="00EF0624"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rPr>
            </w:pPr>
            <w:r w:rsidRPr="00EF0624">
              <w:rPr>
                <w:rFonts w:ascii="Baskerville Old Face" w:hAnsi="Baskerville Old Face"/>
                <w:color w:val="auto"/>
              </w:rPr>
              <w:t xml:space="preserve">Additional Revenue </w:t>
            </w:r>
          </w:p>
        </w:tc>
        <w:tc>
          <w:tcPr>
            <w:tcW w:w="1520" w:type="dxa"/>
            <w:hideMark/>
          </w:tcPr>
          <w:p w14:paraId="15DB14BD" w14:textId="62D2B895" w:rsidR="00700CFC" w:rsidRPr="00EF0624" w:rsidRDefault="00EF062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color w:val="auto"/>
              </w:rPr>
            </w:pPr>
            <w:r>
              <w:rPr>
                <w:rFonts w:ascii="Baskerville Old Face" w:hAnsi="Baskerville Old Face"/>
                <w:color w:val="auto"/>
              </w:rPr>
              <w:t xml:space="preserve">% </w:t>
            </w:r>
            <w:r w:rsidRPr="00EF0624">
              <w:rPr>
                <w:rFonts w:ascii="Baskerville Old Face" w:hAnsi="Baskerville Old Face"/>
                <w:color w:val="auto"/>
              </w:rPr>
              <w:t>Share</w:t>
            </w:r>
          </w:p>
        </w:tc>
      </w:tr>
      <w:tr w:rsidR="00700CFC" w:rsidRPr="0062044A" w14:paraId="3E7F32F9"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6669C6EE"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1</w:t>
            </w:r>
          </w:p>
        </w:tc>
        <w:tc>
          <w:tcPr>
            <w:tcW w:w="2440" w:type="dxa"/>
            <w:hideMark/>
          </w:tcPr>
          <w:p w14:paraId="0301949F"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Value Issues</w:t>
            </w:r>
          </w:p>
        </w:tc>
        <w:tc>
          <w:tcPr>
            <w:tcW w:w="2500" w:type="dxa"/>
            <w:hideMark/>
          </w:tcPr>
          <w:p w14:paraId="6EAF4A69" w14:textId="101B1E6B"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151,053</w:t>
            </w:r>
          </w:p>
        </w:tc>
        <w:tc>
          <w:tcPr>
            <w:tcW w:w="1520" w:type="dxa"/>
            <w:hideMark/>
          </w:tcPr>
          <w:p w14:paraId="55C69642"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7.71%</w:t>
            </w:r>
          </w:p>
        </w:tc>
      </w:tr>
      <w:tr w:rsidR="00700CFC" w:rsidRPr="0062044A" w14:paraId="02FEFA89"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0D361DC"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2</w:t>
            </w:r>
          </w:p>
        </w:tc>
        <w:tc>
          <w:tcPr>
            <w:tcW w:w="2440" w:type="dxa"/>
            <w:hideMark/>
          </w:tcPr>
          <w:p w14:paraId="385E01E0"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Wrong CVC Input</w:t>
            </w:r>
          </w:p>
        </w:tc>
        <w:tc>
          <w:tcPr>
            <w:tcW w:w="2500" w:type="dxa"/>
            <w:hideMark/>
          </w:tcPr>
          <w:p w14:paraId="097AB6C2" w14:textId="7D55E98E"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105,895</w:t>
            </w:r>
          </w:p>
        </w:tc>
        <w:tc>
          <w:tcPr>
            <w:tcW w:w="1520" w:type="dxa"/>
            <w:hideMark/>
          </w:tcPr>
          <w:p w14:paraId="43C1F5C9"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5.41%</w:t>
            </w:r>
          </w:p>
        </w:tc>
      </w:tr>
      <w:tr w:rsidR="00700CFC" w:rsidRPr="0062044A" w14:paraId="4EAF5F0A"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0ADE1D6F"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3</w:t>
            </w:r>
          </w:p>
        </w:tc>
        <w:tc>
          <w:tcPr>
            <w:tcW w:w="2440" w:type="dxa"/>
            <w:hideMark/>
          </w:tcPr>
          <w:p w14:paraId="061BDFA1"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Wrong Description</w:t>
            </w:r>
          </w:p>
        </w:tc>
        <w:tc>
          <w:tcPr>
            <w:tcW w:w="2500" w:type="dxa"/>
            <w:hideMark/>
          </w:tcPr>
          <w:p w14:paraId="765EE5B6" w14:textId="378AAAEE"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699,391</w:t>
            </w:r>
          </w:p>
        </w:tc>
        <w:tc>
          <w:tcPr>
            <w:tcW w:w="1520" w:type="dxa"/>
            <w:hideMark/>
          </w:tcPr>
          <w:p w14:paraId="319F7DF1"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35.71%</w:t>
            </w:r>
          </w:p>
        </w:tc>
      </w:tr>
      <w:tr w:rsidR="00700CFC" w:rsidRPr="0062044A" w14:paraId="5148ED44"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38DDF054"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4</w:t>
            </w:r>
          </w:p>
        </w:tc>
        <w:tc>
          <w:tcPr>
            <w:tcW w:w="2440" w:type="dxa"/>
            <w:hideMark/>
          </w:tcPr>
          <w:p w14:paraId="35599D5C"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Wrong HS Code</w:t>
            </w:r>
          </w:p>
        </w:tc>
        <w:tc>
          <w:tcPr>
            <w:tcW w:w="2500" w:type="dxa"/>
            <w:hideMark/>
          </w:tcPr>
          <w:p w14:paraId="49F699E7" w14:textId="3FCFD28C"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925,302</w:t>
            </w:r>
          </w:p>
        </w:tc>
        <w:tc>
          <w:tcPr>
            <w:tcW w:w="1520" w:type="dxa"/>
            <w:hideMark/>
          </w:tcPr>
          <w:p w14:paraId="147B17B3"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47.25%</w:t>
            </w:r>
          </w:p>
        </w:tc>
      </w:tr>
      <w:tr w:rsidR="00700CFC" w:rsidRPr="0062044A" w14:paraId="6D615185"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75C32F3A"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5</w:t>
            </w:r>
          </w:p>
        </w:tc>
        <w:tc>
          <w:tcPr>
            <w:tcW w:w="2440" w:type="dxa"/>
            <w:hideMark/>
          </w:tcPr>
          <w:p w14:paraId="5BF7C8FE"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Freight Infringement</w:t>
            </w:r>
          </w:p>
        </w:tc>
        <w:tc>
          <w:tcPr>
            <w:tcW w:w="2500" w:type="dxa"/>
            <w:hideMark/>
          </w:tcPr>
          <w:p w14:paraId="4BE69B1A" w14:textId="36C80658"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66,674</w:t>
            </w:r>
          </w:p>
        </w:tc>
        <w:tc>
          <w:tcPr>
            <w:tcW w:w="1520" w:type="dxa"/>
            <w:hideMark/>
          </w:tcPr>
          <w:p w14:paraId="68D924B0"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3.40%</w:t>
            </w:r>
          </w:p>
        </w:tc>
      </w:tr>
      <w:tr w:rsidR="00700CFC" w:rsidRPr="0062044A" w14:paraId="1DCA4290" w14:textId="77777777" w:rsidTr="00EF0624">
        <w:trPr>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49815680"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6</w:t>
            </w:r>
          </w:p>
        </w:tc>
        <w:tc>
          <w:tcPr>
            <w:tcW w:w="2440" w:type="dxa"/>
            <w:hideMark/>
          </w:tcPr>
          <w:p w14:paraId="01E037A8"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Under Declaration</w:t>
            </w:r>
          </w:p>
        </w:tc>
        <w:tc>
          <w:tcPr>
            <w:tcW w:w="2500" w:type="dxa"/>
            <w:hideMark/>
          </w:tcPr>
          <w:p w14:paraId="11C3E2A1" w14:textId="73D28409"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10,078</w:t>
            </w:r>
          </w:p>
        </w:tc>
        <w:tc>
          <w:tcPr>
            <w:tcW w:w="1520" w:type="dxa"/>
            <w:hideMark/>
          </w:tcPr>
          <w:p w14:paraId="22D9EF9E" w14:textId="77777777" w:rsidR="00700CFC" w:rsidRPr="00EF0624" w:rsidRDefault="00700CFC"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olor w:val="auto"/>
              </w:rPr>
            </w:pPr>
            <w:r w:rsidRPr="00EF0624">
              <w:rPr>
                <w:rFonts w:ascii="Baskerville Old Face" w:hAnsi="Baskerville Old Face"/>
                <w:color w:val="auto"/>
              </w:rPr>
              <w:t>0.51%</w:t>
            </w:r>
          </w:p>
        </w:tc>
      </w:tr>
      <w:tr w:rsidR="00700CFC" w:rsidRPr="0062044A" w14:paraId="6E781EEE" w14:textId="77777777" w:rsidTr="00EF062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80" w:type="dxa"/>
            <w:hideMark/>
          </w:tcPr>
          <w:p w14:paraId="736850B2" w14:textId="77777777" w:rsidR="00700CFC" w:rsidRPr="00EF0624" w:rsidRDefault="00700CFC" w:rsidP="00F9112B">
            <w:pPr>
              <w:jc w:val="both"/>
              <w:rPr>
                <w:rFonts w:ascii="Baskerville Old Face" w:hAnsi="Baskerville Old Face"/>
                <w:color w:val="auto"/>
              </w:rPr>
            </w:pPr>
            <w:r w:rsidRPr="00EF0624">
              <w:rPr>
                <w:rFonts w:ascii="Baskerville Old Face" w:hAnsi="Baskerville Old Face"/>
                <w:color w:val="auto"/>
              </w:rPr>
              <w:t> </w:t>
            </w:r>
          </w:p>
        </w:tc>
        <w:tc>
          <w:tcPr>
            <w:tcW w:w="2440" w:type="dxa"/>
            <w:hideMark/>
          </w:tcPr>
          <w:p w14:paraId="03ECBA53" w14:textId="77777777"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color w:val="auto"/>
              </w:rPr>
            </w:pPr>
            <w:r w:rsidRPr="00EF0624">
              <w:rPr>
                <w:rFonts w:ascii="Baskerville Old Face" w:hAnsi="Baskerville Old Face"/>
                <w:b/>
                <w:bCs/>
                <w:color w:val="auto"/>
              </w:rPr>
              <w:t>TOTAL</w:t>
            </w:r>
          </w:p>
        </w:tc>
        <w:tc>
          <w:tcPr>
            <w:tcW w:w="2500" w:type="dxa"/>
            <w:hideMark/>
          </w:tcPr>
          <w:p w14:paraId="2BB4A6CB" w14:textId="4E73AE4B" w:rsidR="00700CFC" w:rsidRPr="00EF0624"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color w:val="auto"/>
              </w:rPr>
            </w:pPr>
            <w:r w:rsidRPr="00EF0624">
              <w:rPr>
                <w:rFonts w:ascii="Baskerville Old Face" w:hAnsi="Baskerville Old Face"/>
                <w:b/>
                <w:bCs/>
                <w:color w:val="auto"/>
              </w:rPr>
              <w:t>1,958,39</w:t>
            </w:r>
            <w:r w:rsidR="000C7133">
              <w:rPr>
                <w:rFonts w:ascii="Baskerville Old Face" w:hAnsi="Baskerville Old Face"/>
                <w:b/>
                <w:bCs/>
                <w:color w:val="auto"/>
              </w:rPr>
              <w:t>5</w:t>
            </w:r>
          </w:p>
        </w:tc>
        <w:tc>
          <w:tcPr>
            <w:tcW w:w="1520" w:type="dxa"/>
            <w:hideMark/>
          </w:tcPr>
          <w:p w14:paraId="4C6F8CC4" w14:textId="77777777" w:rsidR="00700CFC" w:rsidRPr="0062044A" w:rsidRDefault="00700CFC"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 </w:t>
            </w:r>
          </w:p>
        </w:tc>
      </w:tr>
    </w:tbl>
    <w:p w14:paraId="1147879A" w14:textId="77777777" w:rsidR="00700CFC" w:rsidRPr="00F021ED" w:rsidRDefault="00700CFC" w:rsidP="00700CFC">
      <w:pPr>
        <w:jc w:val="both"/>
        <w:rPr>
          <w:rFonts w:ascii="Baskerville Old Face" w:hAnsi="Baskerville Old Face" w:cs="Times New Roman"/>
          <w:i/>
          <w:iCs/>
          <w:sz w:val="18"/>
          <w:szCs w:val="18"/>
          <w:lang w:val="en-GB"/>
        </w:rPr>
      </w:pPr>
      <w:r w:rsidRPr="00F021ED">
        <w:rPr>
          <w:rFonts w:ascii="Baskerville Old Face" w:hAnsi="Baskerville Old Face" w:cs="Times New Roman"/>
          <w:i/>
          <w:iCs/>
          <w:sz w:val="18"/>
          <w:szCs w:val="18"/>
          <w:lang w:val="en-GB"/>
        </w:rPr>
        <w:t>Source: CSD</w:t>
      </w:r>
    </w:p>
    <w:p w14:paraId="19E4DE58" w14:textId="77777777" w:rsidR="002725A1" w:rsidRDefault="002725A1" w:rsidP="002725A1">
      <w:pPr>
        <w:pStyle w:val="Heading2"/>
        <w:rPr>
          <w:lang w:val="en-GB"/>
        </w:rPr>
      </w:pPr>
    </w:p>
    <w:p w14:paraId="3B97F904" w14:textId="194AC69B" w:rsidR="00E42D98" w:rsidRPr="00E42D98" w:rsidRDefault="00BA0DB9" w:rsidP="002725A1">
      <w:pPr>
        <w:pStyle w:val="Heading2"/>
        <w:rPr>
          <w:lang w:val="en-GB"/>
        </w:rPr>
      </w:pPr>
      <w:bookmarkStart w:id="96" w:name="_Toc198205714"/>
      <w:r>
        <w:rPr>
          <w:lang w:val="en-GB"/>
        </w:rPr>
        <w:t xml:space="preserve">4.8: </w:t>
      </w:r>
      <w:r w:rsidR="00116D56" w:rsidRPr="00E42D98">
        <w:rPr>
          <w:lang w:val="en-GB"/>
        </w:rPr>
        <w:t>CUSTOMS VALUATION, GOODS CLASSIFICATION, AND TAX ASSESSMENT</w:t>
      </w:r>
      <w:bookmarkEnd w:id="96"/>
    </w:p>
    <w:p w14:paraId="3D28458C" w14:textId="77777777" w:rsidR="002725A1" w:rsidRDefault="002725A1" w:rsidP="00E42D98">
      <w:pPr>
        <w:spacing w:line="360" w:lineRule="auto"/>
        <w:jc w:val="both"/>
        <w:rPr>
          <w:rFonts w:ascii="Baskerville Old Face" w:hAnsi="Baskerville Old Face" w:cs="Times New Roman"/>
          <w:kern w:val="0"/>
          <w:sz w:val="24"/>
          <w:szCs w:val="24"/>
          <w:lang w:val="en-GB"/>
          <w14:ligatures w14:val="none"/>
        </w:rPr>
      </w:pPr>
    </w:p>
    <w:p w14:paraId="4E674A3E" w14:textId="04F9DED8" w:rsidR="00E42D98" w:rsidRPr="00E42D98" w:rsidRDefault="00E42D98" w:rsidP="00E42D98">
      <w:pPr>
        <w:spacing w:line="360"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The Trade and Tariff Unit within the CSD is responsible for conducting customs valuation, goods classification, and documentary verification to ensure accurate tax assessment. Its activities are geared towards ensuring that import assessments are calculated based on transaction value and that correct commodity descriptions and applicable rates are applied. The Unit handles the processing and assessment of IM4 (import for home consumption), IM7 (imports for warehousing), and IM8 (transit and transshipment) declarations flagged for inspection in the Red and Yellow Lanes. The table provided (</w:t>
      </w:r>
      <w:r w:rsidRPr="00F7531C">
        <w:rPr>
          <w:rFonts w:ascii="Baskerville Old Face" w:hAnsi="Baskerville Old Face" w:cs="Times New Roman"/>
          <w:kern w:val="0"/>
          <w:sz w:val="24"/>
          <w:szCs w:val="24"/>
          <w:lang w:val="en-GB"/>
          <w14:ligatures w14:val="none"/>
        </w:rPr>
        <w:t xml:space="preserve">Table </w:t>
      </w:r>
      <w:r w:rsid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3</w:t>
      </w:r>
      <w:r w:rsidRPr="00E42D98">
        <w:rPr>
          <w:rFonts w:ascii="Baskerville Old Face" w:hAnsi="Baskerville Old Face" w:cs="Times New Roman"/>
          <w:kern w:val="0"/>
          <w:sz w:val="24"/>
          <w:szCs w:val="24"/>
          <w:lang w:val="en-GB"/>
          <w14:ligatures w14:val="none"/>
        </w:rPr>
        <w:t>) illustrates the additional revenue generated by the Trade and Tariff Unit through adjustments made to the values provided by the Integrated Trade Services (ITS), the government-authorized valuator, during the reporting period. A total of NLe 5.158 million was collected after the Unit confirmed the precise value of imported goods during the review period.</w:t>
      </w:r>
    </w:p>
    <w:p w14:paraId="36287860" w14:textId="77777777" w:rsidR="00D85BB5" w:rsidRDefault="00D85BB5" w:rsidP="00E42D98">
      <w:pPr>
        <w:jc w:val="both"/>
        <w:rPr>
          <w:rFonts w:ascii="Baskerville Old Face" w:eastAsia="Calibri" w:hAnsi="Baskerville Old Face" w:cs="Times New Roman"/>
          <w:b/>
          <w:bCs/>
          <w:i/>
          <w:iCs/>
        </w:rPr>
      </w:pPr>
    </w:p>
    <w:p w14:paraId="419567AC" w14:textId="77777777" w:rsidR="00A6675A" w:rsidRDefault="00A6675A" w:rsidP="00E42D98">
      <w:pPr>
        <w:jc w:val="both"/>
        <w:rPr>
          <w:rFonts w:ascii="Baskerville Old Face" w:eastAsia="Calibri" w:hAnsi="Baskerville Old Face" w:cs="Times New Roman"/>
          <w:b/>
          <w:bCs/>
          <w:i/>
          <w:iCs/>
        </w:rPr>
      </w:pPr>
    </w:p>
    <w:p w14:paraId="3DA21F15" w14:textId="77777777" w:rsidR="00A6675A" w:rsidRDefault="00A6675A" w:rsidP="00E42D98">
      <w:pPr>
        <w:jc w:val="both"/>
        <w:rPr>
          <w:rFonts w:ascii="Baskerville Old Face" w:eastAsia="Calibri" w:hAnsi="Baskerville Old Face" w:cs="Times New Roman"/>
          <w:b/>
          <w:bCs/>
          <w:i/>
          <w:iCs/>
        </w:rPr>
      </w:pPr>
    </w:p>
    <w:p w14:paraId="0DDD41B4" w14:textId="77777777" w:rsidR="00A6675A" w:rsidRDefault="00A6675A" w:rsidP="00E42D98">
      <w:pPr>
        <w:jc w:val="both"/>
        <w:rPr>
          <w:rFonts w:ascii="Baskerville Old Face" w:eastAsia="Calibri" w:hAnsi="Baskerville Old Face" w:cs="Times New Roman"/>
          <w:b/>
          <w:bCs/>
          <w:i/>
          <w:iCs/>
        </w:rPr>
      </w:pPr>
    </w:p>
    <w:p w14:paraId="1D6D7CBC" w14:textId="77777777" w:rsidR="00A6675A" w:rsidRDefault="00A6675A" w:rsidP="00E42D98">
      <w:pPr>
        <w:jc w:val="both"/>
        <w:rPr>
          <w:rFonts w:ascii="Baskerville Old Face" w:eastAsia="Calibri" w:hAnsi="Baskerville Old Face" w:cs="Times New Roman"/>
          <w:b/>
          <w:bCs/>
          <w:i/>
          <w:iCs/>
        </w:rPr>
      </w:pPr>
    </w:p>
    <w:p w14:paraId="1960877E" w14:textId="77777777" w:rsidR="00A6675A" w:rsidRDefault="00A6675A" w:rsidP="00E42D98">
      <w:pPr>
        <w:jc w:val="both"/>
        <w:rPr>
          <w:rFonts w:ascii="Baskerville Old Face" w:eastAsia="Calibri" w:hAnsi="Baskerville Old Face" w:cs="Times New Roman"/>
          <w:b/>
          <w:bCs/>
          <w:i/>
          <w:iCs/>
        </w:rPr>
      </w:pPr>
    </w:p>
    <w:p w14:paraId="11B3EC2A" w14:textId="77777777" w:rsidR="00A6675A" w:rsidRDefault="00A6675A" w:rsidP="00E42D98">
      <w:pPr>
        <w:jc w:val="both"/>
        <w:rPr>
          <w:rFonts w:ascii="Baskerville Old Face" w:eastAsia="Calibri" w:hAnsi="Baskerville Old Face" w:cs="Times New Roman"/>
          <w:b/>
          <w:bCs/>
          <w:i/>
          <w:iCs/>
        </w:rPr>
      </w:pPr>
    </w:p>
    <w:p w14:paraId="0362E2E8" w14:textId="39781863" w:rsidR="00E42D98" w:rsidRPr="00F7531C" w:rsidRDefault="00E42D98" w:rsidP="00E42D98">
      <w:pPr>
        <w:jc w:val="both"/>
        <w:rPr>
          <w:rFonts w:ascii="Baskerville Old Face" w:eastAsia="Calibri" w:hAnsi="Baskerville Old Face" w:cs="Times New Roman"/>
          <w:b/>
          <w:bCs/>
          <w:i/>
          <w:iCs/>
        </w:rPr>
      </w:pPr>
      <w:bookmarkStart w:id="97" w:name="Table23"/>
      <w:r w:rsidRPr="00F7531C">
        <w:rPr>
          <w:rFonts w:ascii="Baskerville Old Face" w:eastAsia="Calibri" w:hAnsi="Baskerville Old Face" w:cs="Times New Roman"/>
          <w:b/>
          <w:bCs/>
          <w:i/>
          <w:iCs/>
        </w:rPr>
        <w:lastRenderedPageBreak/>
        <w:t xml:space="preserve">Table </w:t>
      </w:r>
      <w:r w:rsidR="00F7531C" w:rsidRPr="00F7531C">
        <w:rPr>
          <w:rFonts w:ascii="Baskerville Old Face" w:eastAsia="Calibri" w:hAnsi="Baskerville Old Face" w:cs="Times New Roman"/>
          <w:b/>
          <w:bCs/>
          <w:i/>
          <w:iCs/>
        </w:rPr>
        <w:t>2</w:t>
      </w:r>
      <w:r w:rsidR="00C262EB">
        <w:rPr>
          <w:rFonts w:ascii="Baskerville Old Face" w:eastAsia="Calibri" w:hAnsi="Baskerville Old Face" w:cs="Times New Roman"/>
          <w:b/>
          <w:bCs/>
          <w:i/>
          <w:iCs/>
        </w:rPr>
        <w:t>3</w:t>
      </w:r>
      <w:r w:rsidRPr="00F7531C">
        <w:rPr>
          <w:rFonts w:ascii="Baskerville Old Face" w:eastAsia="Calibri" w:hAnsi="Baskerville Old Face" w:cs="Times New Roman"/>
          <w:b/>
          <w:bCs/>
          <w:i/>
          <w:iCs/>
        </w:rPr>
        <w:t xml:space="preserve">: value uplift and the corresponding additional revenue generated by the </w:t>
      </w:r>
      <w:r w:rsidRPr="00F7531C">
        <w:rPr>
          <w:rFonts w:ascii="Baskerville Old Face" w:hAnsi="Baskerville Old Face" w:cs="Times New Roman"/>
          <w:b/>
          <w:bCs/>
          <w:i/>
          <w:iCs/>
          <w:sz w:val="24"/>
          <w:szCs w:val="24"/>
          <w:lang w:val="en-GB"/>
        </w:rPr>
        <w:t>Trade and Tariff Unit</w:t>
      </w:r>
      <w:r w:rsidRPr="00F7531C">
        <w:rPr>
          <w:rFonts w:ascii="Baskerville Old Face" w:eastAsia="Calibri" w:hAnsi="Baskerville Old Face" w:cs="Times New Roman"/>
          <w:b/>
          <w:bCs/>
          <w:i/>
          <w:iCs/>
        </w:rPr>
        <w:t>, 2023</w:t>
      </w:r>
    </w:p>
    <w:tbl>
      <w:tblPr>
        <w:tblStyle w:val="GridTable4-Accent5"/>
        <w:tblW w:w="9300" w:type="dxa"/>
        <w:tblLook w:val="04A0" w:firstRow="1" w:lastRow="0" w:firstColumn="1" w:lastColumn="0" w:noHBand="0" w:noVBand="1"/>
      </w:tblPr>
      <w:tblGrid>
        <w:gridCol w:w="3320"/>
        <w:gridCol w:w="2120"/>
        <w:gridCol w:w="1640"/>
        <w:gridCol w:w="2220"/>
      </w:tblGrid>
      <w:tr w:rsidR="00E42D98" w:rsidRPr="0062044A" w14:paraId="2603DEB2" w14:textId="77777777" w:rsidTr="00835E8A">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320" w:type="dxa"/>
            <w:hideMark/>
          </w:tcPr>
          <w:bookmarkEnd w:id="97"/>
          <w:p w14:paraId="03A79CDA" w14:textId="6A861411" w:rsidR="00E42D98" w:rsidRPr="0062044A" w:rsidRDefault="00835E8A" w:rsidP="00F9112B">
            <w:pPr>
              <w:jc w:val="both"/>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Month</w:t>
            </w:r>
          </w:p>
        </w:tc>
        <w:tc>
          <w:tcPr>
            <w:tcW w:w="2120" w:type="dxa"/>
            <w:hideMark/>
          </w:tcPr>
          <w:p w14:paraId="5038FE02" w14:textId="452DBD58" w:rsidR="00E42D98" w:rsidRPr="0062044A" w:rsidRDefault="00835E8A"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Previous</w:t>
            </w:r>
            <w:r w:rsidR="00E42D98" w:rsidRPr="0062044A">
              <w:rPr>
                <w:rFonts w:ascii="Baskerville Old Face" w:eastAsia="Times New Roman" w:hAnsi="Baskerville Old Face" w:cs="Times New Roman"/>
                <w:color w:val="000000"/>
                <w:kern w:val="0"/>
                <w:sz w:val="20"/>
                <w:szCs w:val="20"/>
                <w14:ligatures w14:val="none"/>
              </w:rPr>
              <w:t xml:space="preserve"> CIF </w:t>
            </w:r>
            <w:proofErr w:type="gramStart"/>
            <w:r w:rsidR="00E42D98" w:rsidRPr="0062044A">
              <w:rPr>
                <w:rFonts w:ascii="Baskerville Old Face" w:eastAsia="Times New Roman" w:hAnsi="Baskerville Old Face" w:cs="Times New Roman"/>
                <w:color w:val="000000"/>
                <w:kern w:val="0"/>
                <w:sz w:val="20"/>
                <w:szCs w:val="20"/>
                <w14:ligatures w14:val="none"/>
              </w:rPr>
              <w:t>( $</w:t>
            </w:r>
            <w:proofErr w:type="gramEnd"/>
            <w:r w:rsidR="00E42D98" w:rsidRPr="0062044A">
              <w:rPr>
                <w:rFonts w:ascii="Baskerville Old Face" w:eastAsia="Times New Roman" w:hAnsi="Baskerville Old Face" w:cs="Times New Roman"/>
                <w:color w:val="000000"/>
                <w:kern w:val="0"/>
                <w:sz w:val="20"/>
                <w:szCs w:val="20"/>
                <w14:ligatures w14:val="none"/>
              </w:rPr>
              <w:t xml:space="preserve"> )</w:t>
            </w:r>
          </w:p>
        </w:tc>
        <w:tc>
          <w:tcPr>
            <w:tcW w:w="1640" w:type="dxa"/>
            <w:hideMark/>
          </w:tcPr>
          <w:p w14:paraId="35757003" w14:textId="46DB75B8" w:rsidR="00E42D98" w:rsidRPr="0062044A" w:rsidRDefault="00E42D98"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N</w:t>
            </w:r>
            <w:r w:rsidR="00835E8A" w:rsidRPr="0062044A">
              <w:rPr>
                <w:rFonts w:ascii="Baskerville Old Face" w:eastAsia="Times New Roman" w:hAnsi="Baskerville Old Face" w:cs="Times New Roman"/>
                <w:color w:val="000000"/>
                <w:kern w:val="0"/>
                <w:sz w:val="20"/>
                <w:szCs w:val="20"/>
                <w14:ligatures w14:val="none"/>
              </w:rPr>
              <w:t>ew</w:t>
            </w:r>
            <w:r w:rsidRPr="0062044A">
              <w:rPr>
                <w:rFonts w:ascii="Baskerville Old Face" w:eastAsia="Times New Roman" w:hAnsi="Baskerville Old Face" w:cs="Times New Roman"/>
                <w:color w:val="000000"/>
                <w:kern w:val="0"/>
                <w:sz w:val="20"/>
                <w:szCs w:val="20"/>
                <w14:ligatures w14:val="none"/>
              </w:rPr>
              <w:t xml:space="preserve"> CIF </w:t>
            </w:r>
            <w:proofErr w:type="gramStart"/>
            <w:r w:rsidRPr="0062044A">
              <w:rPr>
                <w:rFonts w:ascii="Baskerville Old Face" w:eastAsia="Times New Roman" w:hAnsi="Baskerville Old Face" w:cs="Times New Roman"/>
                <w:color w:val="000000"/>
                <w:kern w:val="0"/>
                <w:sz w:val="20"/>
                <w:szCs w:val="20"/>
                <w14:ligatures w14:val="none"/>
              </w:rPr>
              <w:t>( $</w:t>
            </w:r>
            <w:proofErr w:type="gramEnd"/>
            <w:r w:rsidRPr="0062044A">
              <w:rPr>
                <w:rFonts w:ascii="Baskerville Old Face" w:eastAsia="Times New Roman" w:hAnsi="Baskerville Old Face" w:cs="Times New Roman"/>
                <w:color w:val="000000"/>
                <w:kern w:val="0"/>
                <w:sz w:val="20"/>
                <w:szCs w:val="20"/>
                <w14:ligatures w14:val="none"/>
              </w:rPr>
              <w:t xml:space="preserve"> )</w:t>
            </w:r>
          </w:p>
        </w:tc>
        <w:tc>
          <w:tcPr>
            <w:tcW w:w="2220" w:type="dxa"/>
            <w:hideMark/>
          </w:tcPr>
          <w:p w14:paraId="75570265" w14:textId="65645A94" w:rsidR="00E42D98" w:rsidRPr="0062044A" w:rsidRDefault="002D1D54" w:rsidP="00F9112B">
            <w:pPr>
              <w:jc w:val="both"/>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b w:val="0"/>
                <w:bCs w:val="0"/>
                <w:color w:val="000000"/>
                <w:kern w:val="0"/>
                <w:sz w:val="20"/>
                <w:szCs w:val="20"/>
                <w14:ligatures w14:val="none"/>
              </w:rPr>
            </w:pPr>
            <w:proofErr w:type="gramStart"/>
            <w:r w:rsidRPr="0062044A">
              <w:rPr>
                <w:rFonts w:ascii="Baskerville Old Face" w:eastAsia="Times New Roman" w:hAnsi="Baskerville Old Face" w:cs="Times New Roman"/>
                <w:color w:val="000000"/>
                <w:kern w:val="0"/>
                <w:sz w:val="20"/>
                <w:szCs w:val="20"/>
                <w14:ligatures w14:val="none"/>
              </w:rPr>
              <w:t>Recoveries</w:t>
            </w:r>
            <w:proofErr w:type="gramEnd"/>
            <w:r w:rsidR="00E42D98" w:rsidRPr="0062044A">
              <w:rPr>
                <w:rFonts w:ascii="Baskerville Old Face" w:eastAsia="Times New Roman" w:hAnsi="Baskerville Old Face" w:cs="Times New Roman"/>
                <w:color w:val="000000"/>
                <w:kern w:val="0"/>
                <w:sz w:val="20"/>
                <w:szCs w:val="20"/>
                <w14:ligatures w14:val="none"/>
              </w:rPr>
              <w:t xml:space="preserve"> (NLE)</w:t>
            </w:r>
          </w:p>
        </w:tc>
      </w:tr>
      <w:tr w:rsidR="00E42D98" w:rsidRPr="0062044A" w14:paraId="5A9191EA"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D830BD5"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JANUARY</w:t>
            </w:r>
          </w:p>
        </w:tc>
        <w:tc>
          <w:tcPr>
            <w:tcW w:w="2120" w:type="dxa"/>
            <w:hideMark/>
          </w:tcPr>
          <w:p w14:paraId="2769DAE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792,970.39</w:t>
            </w:r>
          </w:p>
        </w:tc>
        <w:tc>
          <w:tcPr>
            <w:tcW w:w="1640" w:type="dxa"/>
            <w:hideMark/>
          </w:tcPr>
          <w:p w14:paraId="230062FB"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939,673.11</w:t>
            </w:r>
          </w:p>
        </w:tc>
        <w:tc>
          <w:tcPr>
            <w:tcW w:w="2220" w:type="dxa"/>
            <w:hideMark/>
          </w:tcPr>
          <w:p w14:paraId="60E20974"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613,544.39</w:t>
            </w:r>
          </w:p>
        </w:tc>
      </w:tr>
      <w:tr w:rsidR="00E42D98" w:rsidRPr="0062044A" w14:paraId="60A9C23B"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D9791A1"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FEBRUARY</w:t>
            </w:r>
          </w:p>
        </w:tc>
        <w:tc>
          <w:tcPr>
            <w:tcW w:w="2120" w:type="dxa"/>
            <w:hideMark/>
          </w:tcPr>
          <w:p w14:paraId="5ABA9C3D"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742,404.00</w:t>
            </w:r>
          </w:p>
        </w:tc>
        <w:tc>
          <w:tcPr>
            <w:tcW w:w="1640" w:type="dxa"/>
            <w:hideMark/>
          </w:tcPr>
          <w:p w14:paraId="4408A654"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871,273.79</w:t>
            </w:r>
          </w:p>
        </w:tc>
        <w:tc>
          <w:tcPr>
            <w:tcW w:w="2220" w:type="dxa"/>
            <w:hideMark/>
          </w:tcPr>
          <w:p w14:paraId="1AE1BA0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961,560.38</w:t>
            </w:r>
          </w:p>
        </w:tc>
      </w:tr>
      <w:tr w:rsidR="00E42D98" w:rsidRPr="0062044A" w14:paraId="19A8D9F5"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B8D33AA"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MARCH</w:t>
            </w:r>
          </w:p>
        </w:tc>
        <w:tc>
          <w:tcPr>
            <w:tcW w:w="2120" w:type="dxa"/>
            <w:hideMark/>
          </w:tcPr>
          <w:p w14:paraId="2303DF9E"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263,235.25</w:t>
            </w:r>
          </w:p>
        </w:tc>
        <w:tc>
          <w:tcPr>
            <w:tcW w:w="1640" w:type="dxa"/>
            <w:hideMark/>
          </w:tcPr>
          <w:p w14:paraId="66A688BD"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309,901.87</w:t>
            </w:r>
          </w:p>
        </w:tc>
        <w:tc>
          <w:tcPr>
            <w:tcW w:w="2220" w:type="dxa"/>
            <w:hideMark/>
          </w:tcPr>
          <w:p w14:paraId="1DD89A6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267,274.74</w:t>
            </w:r>
          </w:p>
        </w:tc>
      </w:tr>
      <w:tr w:rsidR="00E42D98" w:rsidRPr="0062044A" w14:paraId="1ECF3EFE"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DBE52BC"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APRIL</w:t>
            </w:r>
          </w:p>
        </w:tc>
        <w:tc>
          <w:tcPr>
            <w:tcW w:w="2120" w:type="dxa"/>
            <w:hideMark/>
          </w:tcPr>
          <w:p w14:paraId="0978E21F"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118,683.92</w:t>
            </w:r>
          </w:p>
        </w:tc>
        <w:tc>
          <w:tcPr>
            <w:tcW w:w="1640" w:type="dxa"/>
            <w:hideMark/>
          </w:tcPr>
          <w:p w14:paraId="7D87816C"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226,427.07</w:t>
            </w:r>
          </w:p>
        </w:tc>
        <w:tc>
          <w:tcPr>
            <w:tcW w:w="2220" w:type="dxa"/>
            <w:hideMark/>
          </w:tcPr>
          <w:p w14:paraId="527CF4FC"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620,721.03</w:t>
            </w:r>
          </w:p>
        </w:tc>
      </w:tr>
      <w:tr w:rsidR="00E42D98" w:rsidRPr="0062044A" w14:paraId="1EC1D4BA"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0FB048C7"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MAY</w:t>
            </w:r>
          </w:p>
        </w:tc>
        <w:tc>
          <w:tcPr>
            <w:tcW w:w="2120" w:type="dxa"/>
            <w:hideMark/>
          </w:tcPr>
          <w:p w14:paraId="78E4BE1A"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233,960.74</w:t>
            </w:r>
          </w:p>
        </w:tc>
        <w:tc>
          <w:tcPr>
            <w:tcW w:w="1640" w:type="dxa"/>
            <w:hideMark/>
          </w:tcPr>
          <w:p w14:paraId="7A5DD40B"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237,597.35</w:t>
            </w:r>
          </w:p>
        </w:tc>
        <w:tc>
          <w:tcPr>
            <w:tcW w:w="2220" w:type="dxa"/>
            <w:hideMark/>
          </w:tcPr>
          <w:p w14:paraId="7C9C99B6"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116,853.02</w:t>
            </w:r>
          </w:p>
        </w:tc>
      </w:tr>
      <w:tr w:rsidR="00E42D98" w:rsidRPr="0062044A" w14:paraId="3B1CEF64"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0D0AB5EC"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JUNE</w:t>
            </w:r>
          </w:p>
        </w:tc>
        <w:tc>
          <w:tcPr>
            <w:tcW w:w="2120" w:type="dxa"/>
            <w:hideMark/>
          </w:tcPr>
          <w:p w14:paraId="6EF1C3BF"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18,367.45</w:t>
            </w:r>
          </w:p>
        </w:tc>
        <w:tc>
          <w:tcPr>
            <w:tcW w:w="1640" w:type="dxa"/>
            <w:hideMark/>
          </w:tcPr>
          <w:p w14:paraId="4BEF6C40"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19,470.37</w:t>
            </w:r>
          </w:p>
        </w:tc>
        <w:tc>
          <w:tcPr>
            <w:tcW w:w="2220" w:type="dxa"/>
            <w:hideMark/>
          </w:tcPr>
          <w:p w14:paraId="3B18A27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13,923.36</w:t>
            </w:r>
          </w:p>
        </w:tc>
      </w:tr>
      <w:tr w:rsidR="00E42D98" w:rsidRPr="0062044A" w14:paraId="794F098E"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018B275"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JULY</w:t>
            </w:r>
          </w:p>
        </w:tc>
        <w:tc>
          <w:tcPr>
            <w:tcW w:w="2120" w:type="dxa"/>
            <w:hideMark/>
          </w:tcPr>
          <w:p w14:paraId="2E831842"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436,909.17</w:t>
            </w:r>
          </w:p>
        </w:tc>
        <w:tc>
          <w:tcPr>
            <w:tcW w:w="1640" w:type="dxa"/>
            <w:hideMark/>
          </w:tcPr>
          <w:p w14:paraId="76466913"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470,208.69</w:t>
            </w:r>
          </w:p>
        </w:tc>
        <w:tc>
          <w:tcPr>
            <w:tcW w:w="2220" w:type="dxa"/>
            <w:hideMark/>
          </w:tcPr>
          <w:p w14:paraId="0639FA96"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455,695.66</w:t>
            </w:r>
          </w:p>
        </w:tc>
      </w:tr>
      <w:tr w:rsidR="00E42D98" w:rsidRPr="0062044A" w14:paraId="5BC32207"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82E8E36"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AUGUST</w:t>
            </w:r>
          </w:p>
        </w:tc>
        <w:tc>
          <w:tcPr>
            <w:tcW w:w="2120" w:type="dxa"/>
            <w:hideMark/>
          </w:tcPr>
          <w:p w14:paraId="5D1290BF"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256,845.38</w:t>
            </w:r>
          </w:p>
        </w:tc>
        <w:tc>
          <w:tcPr>
            <w:tcW w:w="1640" w:type="dxa"/>
            <w:hideMark/>
          </w:tcPr>
          <w:p w14:paraId="2C47D524"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291,636.53</w:t>
            </w:r>
          </w:p>
        </w:tc>
        <w:tc>
          <w:tcPr>
            <w:tcW w:w="2220" w:type="dxa"/>
            <w:hideMark/>
          </w:tcPr>
          <w:p w14:paraId="5AC8932E"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466,393.02</w:t>
            </w:r>
          </w:p>
        </w:tc>
      </w:tr>
      <w:tr w:rsidR="00E42D98" w:rsidRPr="0062044A" w14:paraId="28ABDBCF"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7FD49F8"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SEPTEMBER</w:t>
            </w:r>
          </w:p>
        </w:tc>
        <w:tc>
          <w:tcPr>
            <w:tcW w:w="2120" w:type="dxa"/>
            <w:hideMark/>
          </w:tcPr>
          <w:p w14:paraId="7B0BB0B7"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514,918.08</w:t>
            </w:r>
          </w:p>
        </w:tc>
        <w:tc>
          <w:tcPr>
            <w:tcW w:w="1640" w:type="dxa"/>
            <w:hideMark/>
          </w:tcPr>
          <w:p w14:paraId="0A8765D4"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538,621.72</w:t>
            </w:r>
          </w:p>
        </w:tc>
        <w:tc>
          <w:tcPr>
            <w:tcW w:w="2220" w:type="dxa"/>
            <w:hideMark/>
          </w:tcPr>
          <w:p w14:paraId="075A278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565,982.70</w:t>
            </w:r>
          </w:p>
        </w:tc>
      </w:tr>
      <w:tr w:rsidR="00E42D98" w:rsidRPr="0062044A" w14:paraId="1BB1F189"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41C65A5"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OCTOBER</w:t>
            </w:r>
          </w:p>
        </w:tc>
        <w:tc>
          <w:tcPr>
            <w:tcW w:w="2120" w:type="dxa"/>
            <w:hideMark/>
          </w:tcPr>
          <w:p w14:paraId="307455CA"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267,451.08</w:t>
            </w:r>
          </w:p>
        </w:tc>
        <w:tc>
          <w:tcPr>
            <w:tcW w:w="1640" w:type="dxa"/>
            <w:hideMark/>
          </w:tcPr>
          <w:p w14:paraId="7A0C00F8"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330,943.60</w:t>
            </w:r>
          </w:p>
        </w:tc>
        <w:tc>
          <w:tcPr>
            <w:tcW w:w="2220" w:type="dxa"/>
            <w:hideMark/>
          </w:tcPr>
          <w:p w14:paraId="398E1B16"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777,142.88</w:t>
            </w:r>
          </w:p>
        </w:tc>
      </w:tr>
      <w:tr w:rsidR="00E42D98" w:rsidRPr="0062044A" w14:paraId="3D1A8A50"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48BE6BE"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NOVEMBER</w:t>
            </w:r>
          </w:p>
        </w:tc>
        <w:tc>
          <w:tcPr>
            <w:tcW w:w="2120" w:type="dxa"/>
            <w:hideMark/>
          </w:tcPr>
          <w:p w14:paraId="561FD5E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17,212.81</w:t>
            </w:r>
          </w:p>
        </w:tc>
        <w:tc>
          <w:tcPr>
            <w:tcW w:w="1640" w:type="dxa"/>
            <w:hideMark/>
          </w:tcPr>
          <w:p w14:paraId="1E5EA2D7"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19,628.54</w:t>
            </w:r>
          </w:p>
        </w:tc>
        <w:tc>
          <w:tcPr>
            <w:tcW w:w="2220" w:type="dxa"/>
            <w:hideMark/>
          </w:tcPr>
          <w:p w14:paraId="2F99DF5C"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50,064.22</w:t>
            </w:r>
          </w:p>
        </w:tc>
      </w:tr>
      <w:tr w:rsidR="00E42D98" w:rsidRPr="0062044A" w14:paraId="08AB98EF" w14:textId="77777777" w:rsidTr="00835E8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E38FA40" w14:textId="77777777" w:rsidR="00E42D98" w:rsidRPr="00835E8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835E8A">
              <w:rPr>
                <w:rFonts w:ascii="Baskerville Old Face" w:eastAsia="Times New Roman" w:hAnsi="Baskerville Old Face" w:cs="Times New Roman"/>
                <w:b w:val="0"/>
                <w:bCs w:val="0"/>
                <w:color w:val="000000"/>
                <w:kern w:val="0"/>
                <w:sz w:val="20"/>
                <w:szCs w:val="20"/>
                <w14:ligatures w14:val="none"/>
              </w:rPr>
              <w:t>DECEMBER</w:t>
            </w:r>
          </w:p>
        </w:tc>
        <w:tc>
          <w:tcPr>
            <w:tcW w:w="2120" w:type="dxa"/>
            <w:hideMark/>
          </w:tcPr>
          <w:p w14:paraId="2AE5454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122,957.38</w:t>
            </w:r>
          </w:p>
        </w:tc>
        <w:tc>
          <w:tcPr>
            <w:tcW w:w="1640" w:type="dxa"/>
            <w:hideMark/>
          </w:tcPr>
          <w:p w14:paraId="389EF747"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116,463.40</w:t>
            </w:r>
          </w:p>
        </w:tc>
        <w:tc>
          <w:tcPr>
            <w:tcW w:w="2220" w:type="dxa"/>
            <w:hideMark/>
          </w:tcPr>
          <w:p w14:paraId="458133C3" w14:textId="77777777" w:rsidR="00E42D98" w:rsidRPr="0062044A" w:rsidRDefault="00E42D98" w:rsidP="00F9112B">
            <w:pPr>
              <w:jc w:val="both"/>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249,178.56</w:t>
            </w:r>
          </w:p>
        </w:tc>
      </w:tr>
      <w:tr w:rsidR="00E42D98" w:rsidRPr="0062044A" w14:paraId="375A6607" w14:textId="77777777" w:rsidTr="00835E8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A16BB2D" w14:textId="77777777" w:rsidR="00E42D98" w:rsidRPr="0062044A" w:rsidRDefault="00E42D98" w:rsidP="00F9112B">
            <w:pPr>
              <w:jc w:val="both"/>
              <w:rPr>
                <w:rFonts w:ascii="Baskerville Old Face" w:eastAsia="Times New Roman" w:hAnsi="Baskerville Old Face" w:cs="Times New Roman"/>
                <w:b w:val="0"/>
                <w:bCs w:val="0"/>
                <w:color w:val="000000"/>
                <w:kern w:val="0"/>
                <w:sz w:val="20"/>
                <w:szCs w:val="20"/>
                <w14:ligatures w14:val="none"/>
              </w:rPr>
            </w:pPr>
            <w:r w:rsidRPr="0062044A">
              <w:rPr>
                <w:rFonts w:ascii="Baskerville Old Face" w:eastAsia="Times New Roman" w:hAnsi="Baskerville Old Face" w:cs="Times New Roman"/>
                <w:color w:val="000000"/>
                <w:kern w:val="0"/>
                <w:sz w:val="20"/>
                <w:szCs w:val="20"/>
                <w14:ligatures w14:val="none"/>
              </w:rPr>
              <w:t>TOTAL</w:t>
            </w:r>
          </w:p>
        </w:tc>
        <w:tc>
          <w:tcPr>
            <w:tcW w:w="2120" w:type="dxa"/>
            <w:hideMark/>
          </w:tcPr>
          <w:p w14:paraId="15178996"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62044A">
              <w:rPr>
                <w:rFonts w:ascii="Baskerville Old Face" w:eastAsia="Times New Roman" w:hAnsi="Baskerville Old Face" w:cs="Times New Roman"/>
                <w:b/>
                <w:bCs/>
                <w:color w:val="000000"/>
                <w:kern w:val="0"/>
                <w:sz w:val="20"/>
                <w:szCs w:val="20"/>
                <w14:ligatures w14:val="none"/>
              </w:rPr>
              <w:t>3,785,915.65</w:t>
            </w:r>
          </w:p>
        </w:tc>
        <w:tc>
          <w:tcPr>
            <w:tcW w:w="1640" w:type="dxa"/>
            <w:hideMark/>
          </w:tcPr>
          <w:p w14:paraId="430609F9"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62044A">
              <w:rPr>
                <w:rFonts w:ascii="Baskerville Old Face" w:eastAsia="Times New Roman" w:hAnsi="Baskerville Old Face" w:cs="Times New Roman"/>
                <w:b/>
                <w:bCs/>
                <w:color w:val="000000"/>
                <w:kern w:val="0"/>
                <w:sz w:val="20"/>
                <w:szCs w:val="20"/>
                <w14:ligatures w14:val="none"/>
              </w:rPr>
              <w:t>4,371,846.04</w:t>
            </w:r>
          </w:p>
        </w:tc>
        <w:tc>
          <w:tcPr>
            <w:tcW w:w="2220" w:type="dxa"/>
            <w:hideMark/>
          </w:tcPr>
          <w:p w14:paraId="59B95E10" w14:textId="77777777" w:rsidR="00E42D98" w:rsidRPr="0062044A" w:rsidRDefault="00E42D98" w:rsidP="00F9112B">
            <w:pPr>
              <w:jc w:val="both"/>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kern w:val="0"/>
                <w:sz w:val="20"/>
                <w:szCs w:val="20"/>
                <w14:ligatures w14:val="none"/>
              </w:rPr>
            </w:pPr>
            <w:r w:rsidRPr="0062044A">
              <w:rPr>
                <w:rFonts w:ascii="Baskerville Old Face" w:eastAsia="Times New Roman" w:hAnsi="Baskerville Old Face" w:cs="Times New Roman"/>
                <w:b/>
                <w:bCs/>
                <w:color w:val="000000"/>
                <w:kern w:val="0"/>
                <w:sz w:val="20"/>
                <w:szCs w:val="20"/>
                <w14:ligatures w14:val="none"/>
              </w:rPr>
              <w:t>5,158,333.96</w:t>
            </w:r>
          </w:p>
        </w:tc>
      </w:tr>
    </w:tbl>
    <w:p w14:paraId="03625743" w14:textId="2627AEFA" w:rsidR="00586A09" w:rsidRPr="00C24203" w:rsidRDefault="00F021ED" w:rsidP="00C24203">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1E45D295" w14:textId="77777777" w:rsidR="002725A1" w:rsidRDefault="002725A1" w:rsidP="00E42D98">
      <w:pPr>
        <w:jc w:val="both"/>
        <w:rPr>
          <w:rFonts w:ascii="Baskerville Old Face" w:hAnsi="Baskerville Old Face" w:cs="Times New Roman"/>
          <w:b/>
          <w:bCs/>
          <w:kern w:val="0"/>
          <w:sz w:val="24"/>
          <w:szCs w:val="24"/>
          <w:lang w:val="en-GB"/>
          <w14:ligatures w14:val="none"/>
        </w:rPr>
      </w:pPr>
    </w:p>
    <w:p w14:paraId="795166A4" w14:textId="446BAD00" w:rsidR="00E42D98" w:rsidRPr="00E42D98" w:rsidRDefault="00BA0DB9" w:rsidP="002725A1">
      <w:pPr>
        <w:pStyle w:val="Heading2"/>
        <w:rPr>
          <w:lang w:val="en-GB"/>
        </w:rPr>
      </w:pPr>
      <w:bookmarkStart w:id="98" w:name="_Toc198205715"/>
      <w:r>
        <w:rPr>
          <w:lang w:val="en-GB"/>
        </w:rPr>
        <w:t xml:space="preserve">4.9: </w:t>
      </w:r>
      <w:r w:rsidR="00116D56">
        <w:rPr>
          <w:lang w:val="en-GB"/>
        </w:rPr>
        <w:t xml:space="preserve">CUSTOMS </w:t>
      </w:r>
      <w:r w:rsidR="00116D56" w:rsidRPr="00E42D98">
        <w:rPr>
          <w:lang w:val="en-GB"/>
        </w:rPr>
        <w:t>RECOVERIES FROM ADJUSTMENTS AND AMENDMENTS</w:t>
      </w:r>
      <w:bookmarkEnd w:id="98"/>
    </w:p>
    <w:p w14:paraId="7704BC25" w14:textId="77777777" w:rsidR="002725A1" w:rsidRDefault="002725A1" w:rsidP="00E42D98">
      <w:pPr>
        <w:spacing w:line="360" w:lineRule="auto"/>
        <w:jc w:val="both"/>
        <w:rPr>
          <w:rFonts w:ascii="Baskerville Old Face" w:hAnsi="Baskerville Old Face" w:cs="Times New Roman"/>
          <w:kern w:val="0"/>
          <w:sz w:val="24"/>
          <w:szCs w:val="24"/>
          <w:lang w:val="en-GB"/>
          <w14:ligatures w14:val="none"/>
        </w:rPr>
      </w:pPr>
    </w:p>
    <w:p w14:paraId="42DB97D1" w14:textId="1111E82D" w:rsidR="00E42D98" w:rsidRPr="00E42D98" w:rsidRDefault="00E42D98" w:rsidP="00E42D98">
      <w:pPr>
        <w:spacing w:line="360"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The Query and Amendment Unit provides essential support to the Trade and Tariff Unit in rectifying violations. This Unit manages assessments leading to alterations in monetary value and necessary corrections.</w:t>
      </w:r>
    </w:p>
    <w:p w14:paraId="397A4292" w14:textId="0228ADBF" w:rsidR="00E42D98" w:rsidRPr="00E42D98" w:rsidRDefault="00E42D98" w:rsidP="00E42D98">
      <w:pPr>
        <w:spacing w:line="360" w:lineRule="auto"/>
        <w:jc w:val="both"/>
        <w:rPr>
          <w:rFonts w:ascii="Baskerville Old Face" w:hAnsi="Baskerville Old Face" w:cs="Times New Roman"/>
          <w:kern w:val="0"/>
          <w:sz w:val="24"/>
          <w:szCs w:val="24"/>
          <w:lang w:val="en-GB"/>
          <w14:ligatures w14:val="none"/>
        </w:rPr>
      </w:pPr>
      <w:r w:rsidRPr="00E42D98">
        <w:rPr>
          <w:rFonts w:ascii="Baskerville Old Face" w:hAnsi="Baskerville Old Face" w:cs="Times New Roman"/>
          <w:kern w:val="0"/>
          <w:sz w:val="24"/>
          <w:szCs w:val="24"/>
          <w:lang w:val="en-GB"/>
          <w14:ligatures w14:val="none"/>
        </w:rPr>
        <w:t xml:space="preserve">In 2023, the Trade and Tariff Unit processed a total of 19,567 declarations, encompassing IM4, IM7, and IM8 categories. </w:t>
      </w:r>
      <w:r w:rsidR="00FE7BAB">
        <w:rPr>
          <w:rFonts w:ascii="Baskerville Old Face" w:hAnsi="Baskerville Old Face" w:cs="Times New Roman"/>
          <w:kern w:val="0"/>
          <w:sz w:val="24"/>
          <w:szCs w:val="24"/>
          <w:lang w:val="en-GB"/>
          <w14:ligatures w14:val="none"/>
        </w:rPr>
        <w:t>O</w:t>
      </w:r>
      <w:r w:rsidRPr="00E42D98">
        <w:rPr>
          <w:rFonts w:ascii="Baskerville Old Face" w:hAnsi="Baskerville Old Face" w:cs="Times New Roman"/>
          <w:kern w:val="0"/>
          <w:sz w:val="24"/>
          <w:szCs w:val="24"/>
          <w:lang w:val="en-GB"/>
          <w14:ligatures w14:val="none"/>
        </w:rPr>
        <w:t>f this figure, 3,892 declarations (19.</w:t>
      </w:r>
      <w:r w:rsidR="00FE7BAB" w:rsidRPr="00E42D98">
        <w:rPr>
          <w:rFonts w:ascii="Baskerville Old Face" w:hAnsi="Baskerville Old Face" w:cs="Times New Roman"/>
          <w:kern w:val="0"/>
          <w:sz w:val="24"/>
          <w:szCs w:val="24"/>
          <w:lang w:val="en-GB"/>
          <w14:ligatures w14:val="none"/>
        </w:rPr>
        <w:t xml:space="preserve"> </w:t>
      </w:r>
      <w:r w:rsidRPr="00E42D98">
        <w:rPr>
          <w:rFonts w:ascii="Baskerville Old Face" w:hAnsi="Baskerville Old Face" w:cs="Times New Roman"/>
          <w:kern w:val="0"/>
          <w:sz w:val="24"/>
          <w:szCs w:val="24"/>
          <w:lang w:val="en-GB"/>
          <w14:ligatures w14:val="none"/>
        </w:rPr>
        <w:t>9%) were flagged for various customs-related infractions and subsequently amended, resulting in a recovery of NLe 12.817 million. Among the most common offenses identified were incomplete declarations, incorrect quantities, discrepancies in collections, undervaluation, erroneous freight charges, inaccuracies in foreign currency exchange rates, and incorrect classifications. Telecommunications equipment, mixed items, auto spare parts, and raw materials for factories were identified as the types of goods posing the greatest risks to customs revenue during the year.</w:t>
      </w:r>
    </w:p>
    <w:p w14:paraId="73E05250" w14:textId="77777777" w:rsidR="00D85BB5" w:rsidRDefault="00D85BB5" w:rsidP="004D5FD6">
      <w:pPr>
        <w:rPr>
          <w:rFonts w:ascii="Baskerville Old Face" w:hAnsi="Baskerville Old Face" w:cs="Times New Roman"/>
          <w:b/>
          <w:bCs/>
          <w:kern w:val="0"/>
          <w:sz w:val="24"/>
          <w:szCs w:val="24"/>
          <w:lang w:val="en-GB"/>
          <w14:ligatures w14:val="none"/>
        </w:rPr>
      </w:pPr>
    </w:p>
    <w:p w14:paraId="1D18D40E" w14:textId="03E142AF" w:rsidR="004D5FD6" w:rsidRPr="00285F16" w:rsidRDefault="00BA0DB9" w:rsidP="002725A1">
      <w:pPr>
        <w:pStyle w:val="Heading2"/>
        <w:rPr>
          <w:lang w:val="en-GB"/>
        </w:rPr>
      </w:pPr>
      <w:bookmarkStart w:id="99" w:name="_Toc198205716"/>
      <w:r>
        <w:rPr>
          <w:lang w:val="en-GB"/>
        </w:rPr>
        <w:lastRenderedPageBreak/>
        <w:t xml:space="preserve">4.10: </w:t>
      </w:r>
      <w:r w:rsidR="00EA47E4" w:rsidRPr="00285F16">
        <w:rPr>
          <w:lang w:val="en-GB"/>
        </w:rPr>
        <w:t>IMPORT STATISTICS (202</w:t>
      </w:r>
      <w:r w:rsidR="00EA47E4">
        <w:rPr>
          <w:lang w:val="en-GB"/>
        </w:rPr>
        <w:t>3</w:t>
      </w:r>
      <w:r w:rsidR="00EA47E4" w:rsidRPr="00285F16">
        <w:rPr>
          <w:lang w:val="en-GB"/>
        </w:rPr>
        <w:t xml:space="preserve"> </w:t>
      </w:r>
      <w:r w:rsidR="00743C28">
        <w:rPr>
          <w:lang w:val="en-GB"/>
        </w:rPr>
        <w:t>AND</w:t>
      </w:r>
      <w:r w:rsidR="00EA47E4" w:rsidRPr="00285F16">
        <w:rPr>
          <w:lang w:val="en-GB"/>
        </w:rPr>
        <w:t xml:space="preserve"> 202</w:t>
      </w:r>
      <w:r w:rsidR="00EA47E4">
        <w:rPr>
          <w:lang w:val="en-GB"/>
        </w:rPr>
        <w:t>2</w:t>
      </w:r>
      <w:r w:rsidR="00EA47E4" w:rsidRPr="00285F16">
        <w:rPr>
          <w:lang w:val="en-GB"/>
        </w:rPr>
        <w:t>)</w:t>
      </w:r>
      <w:bookmarkEnd w:id="99"/>
    </w:p>
    <w:p w14:paraId="32E440BB" w14:textId="77777777" w:rsidR="002725A1" w:rsidRDefault="002725A1" w:rsidP="00CB7556">
      <w:pPr>
        <w:spacing w:line="360" w:lineRule="auto"/>
        <w:jc w:val="both"/>
        <w:rPr>
          <w:rFonts w:ascii="Baskerville Old Face" w:hAnsi="Baskerville Old Face" w:cs="Times New Roman"/>
          <w:kern w:val="0"/>
          <w:sz w:val="24"/>
          <w:szCs w:val="24"/>
          <w:lang w:val="en-GB"/>
          <w14:ligatures w14:val="none"/>
        </w:rPr>
      </w:pPr>
    </w:p>
    <w:p w14:paraId="37C78CA1" w14:textId="5768D34A" w:rsidR="00413330" w:rsidRPr="00285F16" w:rsidRDefault="000C11AC" w:rsidP="00CB7556">
      <w:pPr>
        <w:spacing w:line="360"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Statistics on dutiable and non-dutiable imports were extracted from ASYCUDA World and are presented in </w:t>
      </w:r>
      <w:r w:rsidRPr="00F7531C">
        <w:rPr>
          <w:rFonts w:ascii="Baskerville Old Face" w:hAnsi="Baskerville Old Face" w:cs="Times New Roman"/>
          <w:kern w:val="0"/>
          <w:sz w:val="24"/>
          <w:szCs w:val="24"/>
          <w:lang w:val="en-GB"/>
          <w14:ligatures w14:val="none"/>
        </w:rPr>
        <w:t xml:space="preserve">Tables </w:t>
      </w:r>
      <w:r w:rsidR="00F7531C" w:rsidRP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 xml:space="preserve"> and </w:t>
      </w:r>
      <w:r w:rsid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5</w:t>
      </w:r>
      <w:r w:rsidRPr="00285F16">
        <w:rPr>
          <w:rFonts w:ascii="Baskerville Old Face" w:hAnsi="Baskerville Old Face" w:cs="Times New Roman"/>
          <w:kern w:val="0"/>
          <w:sz w:val="24"/>
          <w:szCs w:val="24"/>
          <w:lang w:val="en-GB"/>
          <w14:ligatures w14:val="none"/>
        </w:rPr>
        <w:t xml:space="preserve"> respectively. Total imports in 202</w:t>
      </w:r>
      <w:r w:rsidR="00F93191"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xml:space="preserve"> increased by Le </w:t>
      </w:r>
      <w:r w:rsidR="00F93191" w:rsidRPr="00285F16">
        <w:rPr>
          <w:rFonts w:ascii="Baskerville Old Face" w:hAnsi="Baskerville Old Face" w:cs="Times New Roman"/>
          <w:kern w:val="0"/>
          <w:sz w:val="24"/>
          <w:szCs w:val="24"/>
          <w:lang w:val="en-GB"/>
          <w14:ligatures w14:val="none"/>
        </w:rPr>
        <w:t>12</w:t>
      </w:r>
      <w:r w:rsidR="00772570">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763</w:t>
      </w:r>
      <w:r w:rsidRPr="00285F16">
        <w:rPr>
          <w:rFonts w:ascii="Baskerville Old Face" w:hAnsi="Baskerville Old Face" w:cs="Times New Roman"/>
          <w:kern w:val="0"/>
          <w:sz w:val="24"/>
          <w:szCs w:val="24"/>
          <w:lang w:val="en-GB"/>
          <w14:ligatures w14:val="none"/>
        </w:rPr>
        <w:t xml:space="preserve"> billion (an increase of </w:t>
      </w:r>
      <w:r w:rsidR="00F93191" w:rsidRPr="00285F16">
        <w:rPr>
          <w:rFonts w:ascii="Baskerville Old Face" w:hAnsi="Baskerville Old Face" w:cs="Times New Roman"/>
          <w:kern w:val="0"/>
          <w:sz w:val="24"/>
          <w:szCs w:val="24"/>
          <w:lang w:val="en-GB"/>
          <w14:ligatures w14:val="none"/>
        </w:rPr>
        <w:t>57</w:t>
      </w:r>
      <w:r w:rsidRPr="00285F16">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Of the total imports in 202</w:t>
      </w:r>
      <w:r w:rsidR="00F93191"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dutiable imports accounted for 7</w:t>
      </w:r>
      <w:r w:rsidR="00F93191" w:rsidRPr="00285F16">
        <w:rPr>
          <w:rFonts w:ascii="Baskerville Old Face" w:hAnsi="Baskerville Old Face" w:cs="Times New Roman"/>
          <w:kern w:val="0"/>
          <w:sz w:val="24"/>
          <w:szCs w:val="24"/>
          <w:lang w:val="en-GB"/>
          <w14:ligatures w14:val="none"/>
        </w:rPr>
        <w:t>7</w:t>
      </w:r>
      <w:r w:rsidRPr="00285F16">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w:t>
      </w:r>
      <w:r w:rsidR="00F93191" w:rsidRPr="00285F16">
        <w:rPr>
          <w:rFonts w:ascii="Baskerville Old Face" w:hAnsi="Baskerville Old Face" w:cs="Times New Roman"/>
          <w:kern w:val="0"/>
          <w:sz w:val="24"/>
          <w:szCs w:val="24"/>
          <w:lang w:val="en-GB"/>
          <w14:ligatures w14:val="none"/>
        </w:rPr>
        <w:t>,</w:t>
      </w:r>
      <w:r w:rsidRPr="00285F16">
        <w:rPr>
          <w:rFonts w:ascii="Baskerville Old Face" w:hAnsi="Baskerville Old Face" w:cs="Times New Roman"/>
          <w:kern w:val="0"/>
          <w:sz w:val="24"/>
          <w:szCs w:val="24"/>
          <w:lang w:val="en-GB"/>
          <w14:ligatures w14:val="none"/>
        </w:rPr>
        <w:t xml:space="preserve"> </w:t>
      </w:r>
      <w:r w:rsidR="004F609A" w:rsidRPr="00285F16">
        <w:rPr>
          <w:rFonts w:ascii="Baskerville Old Face" w:hAnsi="Baskerville Old Face" w:cs="Times New Roman"/>
          <w:kern w:val="0"/>
          <w:sz w:val="24"/>
          <w:szCs w:val="24"/>
          <w:lang w:val="en-GB"/>
          <w14:ligatures w14:val="none"/>
        </w:rPr>
        <w:t>experiencing an increase of 62.</w:t>
      </w:r>
      <w:r w:rsidR="00CE5583">
        <w:rPr>
          <w:rFonts w:ascii="Baskerville Old Face" w:hAnsi="Baskerville Old Face" w:cs="Times New Roman"/>
          <w:kern w:val="0"/>
          <w:sz w:val="24"/>
          <w:szCs w:val="24"/>
          <w:lang w:val="en-GB"/>
          <w14:ligatures w14:val="none"/>
        </w:rPr>
        <w:t>5</w:t>
      </w:r>
      <w:r w:rsidR="004F609A" w:rsidRPr="00285F16">
        <w:rPr>
          <w:rFonts w:ascii="Baskerville Old Face" w:hAnsi="Baskerville Old Face" w:cs="Times New Roman"/>
          <w:kern w:val="0"/>
          <w:sz w:val="24"/>
          <w:szCs w:val="24"/>
          <w:lang w:val="en-GB"/>
          <w14:ligatures w14:val="none"/>
        </w:rPr>
        <w:t>% from Le 16</w:t>
      </w:r>
      <w:r w:rsidR="00772570">
        <w:rPr>
          <w:rFonts w:ascii="Baskerville Old Face" w:hAnsi="Baskerville Old Face" w:cs="Times New Roman"/>
          <w:kern w:val="0"/>
          <w:sz w:val="24"/>
          <w:szCs w:val="24"/>
          <w:lang w:val="en-GB"/>
          <w14:ligatures w14:val="none"/>
        </w:rPr>
        <w:t>.</w:t>
      </w:r>
      <w:r w:rsidR="004F609A" w:rsidRPr="00285F16">
        <w:rPr>
          <w:rFonts w:ascii="Baskerville Old Face" w:hAnsi="Baskerville Old Face" w:cs="Times New Roman"/>
          <w:kern w:val="0"/>
          <w:sz w:val="24"/>
          <w:szCs w:val="24"/>
          <w:lang w:val="en-GB"/>
          <w14:ligatures w14:val="none"/>
        </w:rPr>
        <w:t>697 billion in 2022</w:t>
      </w:r>
      <w:r w:rsidRPr="00285F16">
        <w:rPr>
          <w:rFonts w:ascii="Baskerville Old Face" w:hAnsi="Baskerville Old Face" w:cs="Times New Roman"/>
          <w:kern w:val="0"/>
          <w:sz w:val="24"/>
          <w:szCs w:val="24"/>
          <w:lang w:val="en-GB"/>
          <w14:ligatures w14:val="none"/>
        </w:rPr>
        <w:t xml:space="preserve">. Similarly, total non-dutiable imports increased </w:t>
      </w:r>
      <w:r w:rsidR="00CD7F7D" w:rsidRPr="00285F16">
        <w:rPr>
          <w:rFonts w:ascii="Baskerville Old Face" w:hAnsi="Baskerville Old Face" w:cs="Times New Roman"/>
          <w:kern w:val="0"/>
          <w:sz w:val="24"/>
          <w:szCs w:val="24"/>
          <w:lang w:val="en-GB"/>
          <w14:ligatures w14:val="none"/>
        </w:rPr>
        <w:t xml:space="preserve">in 2023 </w:t>
      </w:r>
      <w:r w:rsidRPr="00285F16">
        <w:rPr>
          <w:rFonts w:ascii="Baskerville Old Face" w:hAnsi="Baskerville Old Face" w:cs="Times New Roman"/>
          <w:kern w:val="0"/>
          <w:sz w:val="24"/>
          <w:szCs w:val="24"/>
          <w:lang w:val="en-GB"/>
          <w14:ligatures w14:val="none"/>
        </w:rPr>
        <w:t xml:space="preserve">by </w:t>
      </w:r>
      <w:r w:rsidR="00CD7F7D" w:rsidRPr="00285F16">
        <w:rPr>
          <w:rFonts w:ascii="Baskerville Old Face" w:hAnsi="Baskerville Old Face" w:cs="Times New Roman"/>
          <w:kern w:val="0"/>
          <w:sz w:val="24"/>
          <w:szCs w:val="24"/>
          <w:lang w:val="en-GB"/>
          <w14:ligatures w14:val="none"/>
        </w:rPr>
        <w:t>41</w:t>
      </w:r>
      <w:r w:rsidRPr="00285F16">
        <w:rPr>
          <w:rFonts w:ascii="Baskerville Old Face" w:hAnsi="Baskerville Old Face" w:cs="Times New Roman"/>
          <w:kern w:val="0"/>
          <w:sz w:val="24"/>
          <w:szCs w:val="24"/>
          <w:lang w:val="en-GB"/>
          <w14:ligatures w14:val="none"/>
        </w:rPr>
        <w:t>.</w:t>
      </w:r>
      <w:r w:rsidR="00CD7F7D" w:rsidRPr="00285F16">
        <w:rPr>
          <w:rFonts w:ascii="Baskerville Old Face" w:hAnsi="Baskerville Old Face" w:cs="Times New Roman"/>
          <w:kern w:val="0"/>
          <w:sz w:val="24"/>
          <w:szCs w:val="24"/>
          <w:lang w:val="en-GB"/>
          <w14:ligatures w14:val="none"/>
        </w:rPr>
        <w:t>8</w:t>
      </w:r>
      <w:r w:rsidRPr="00285F16">
        <w:rPr>
          <w:rFonts w:ascii="Baskerville Old Face" w:hAnsi="Baskerville Old Face" w:cs="Times New Roman"/>
          <w:kern w:val="0"/>
          <w:sz w:val="24"/>
          <w:szCs w:val="24"/>
          <w:lang w:val="en-GB"/>
          <w14:ligatures w14:val="none"/>
        </w:rPr>
        <w:t xml:space="preserve">% from Le </w:t>
      </w:r>
      <w:r w:rsidR="00CD7F7D" w:rsidRPr="00285F16">
        <w:rPr>
          <w:rFonts w:ascii="Baskerville Old Face" w:hAnsi="Baskerville Old Face" w:cs="Times New Roman"/>
          <w:kern w:val="0"/>
          <w:sz w:val="24"/>
          <w:szCs w:val="24"/>
          <w:lang w:val="en-GB"/>
          <w14:ligatures w14:val="none"/>
        </w:rPr>
        <w:t>5</w:t>
      </w:r>
      <w:r w:rsidR="00772570">
        <w:rPr>
          <w:rFonts w:ascii="Baskerville Old Face" w:hAnsi="Baskerville Old Face" w:cs="Times New Roman"/>
          <w:kern w:val="0"/>
          <w:sz w:val="24"/>
          <w:szCs w:val="24"/>
          <w:lang w:val="en-GB"/>
          <w14:ligatures w14:val="none"/>
        </w:rPr>
        <w:t>.</w:t>
      </w:r>
      <w:r w:rsidR="00CD7F7D" w:rsidRPr="00285F16">
        <w:rPr>
          <w:rFonts w:ascii="Baskerville Old Face" w:hAnsi="Baskerville Old Face" w:cs="Times New Roman"/>
          <w:kern w:val="0"/>
          <w:sz w:val="24"/>
          <w:szCs w:val="24"/>
          <w:lang w:val="en-GB"/>
          <w14:ligatures w14:val="none"/>
        </w:rPr>
        <w:t>575</w:t>
      </w:r>
      <w:r w:rsidRPr="00285F16">
        <w:rPr>
          <w:rFonts w:ascii="Baskerville Old Face" w:hAnsi="Baskerville Old Face" w:cs="Times New Roman"/>
          <w:kern w:val="0"/>
          <w:sz w:val="24"/>
          <w:szCs w:val="24"/>
          <w:lang w:val="en-GB"/>
          <w14:ligatures w14:val="none"/>
        </w:rPr>
        <w:t xml:space="preserve"> billion in 202</w:t>
      </w:r>
      <w:r w:rsidR="00CD7F7D" w:rsidRPr="00285F16">
        <w:rPr>
          <w:rFonts w:ascii="Baskerville Old Face" w:hAnsi="Baskerville Old Face" w:cs="Times New Roman"/>
          <w:kern w:val="0"/>
          <w:sz w:val="24"/>
          <w:szCs w:val="24"/>
          <w:lang w:val="en-GB"/>
          <w14:ligatures w14:val="none"/>
        </w:rPr>
        <w:t>2</w:t>
      </w:r>
      <w:r w:rsidRPr="00285F16">
        <w:rPr>
          <w:rFonts w:ascii="Baskerville Old Face" w:hAnsi="Baskerville Old Face" w:cs="Times New Roman"/>
          <w:kern w:val="0"/>
          <w:sz w:val="24"/>
          <w:szCs w:val="24"/>
          <w:lang w:val="en-GB"/>
          <w14:ligatures w14:val="none"/>
        </w:rPr>
        <w:t xml:space="preserve">.    </w:t>
      </w:r>
    </w:p>
    <w:p w14:paraId="1E43EEA8" w14:textId="7286C644" w:rsidR="000C11AC" w:rsidRDefault="000C11AC" w:rsidP="00CB7556">
      <w:pPr>
        <w:spacing w:line="360" w:lineRule="auto"/>
        <w:jc w:val="both"/>
        <w:rPr>
          <w:rFonts w:ascii="Baskerville Old Face" w:hAnsi="Baskerville Old Face" w:cs="Times New Roman"/>
          <w:b/>
          <w:bCs/>
          <w:kern w:val="0"/>
          <w:sz w:val="24"/>
          <w:szCs w:val="24"/>
          <w:lang w:val="en-GB"/>
          <w14:ligatures w14:val="none"/>
        </w:rPr>
      </w:pPr>
      <w:r w:rsidRPr="00285F16">
        <w:rPr>
          <w:rFonts w:ascii="Baskerville Old Face" w:hAnsi="Baskerville Old Face" w:cs="Times New Roman"/>
          <w:kern w:val="0"/>
          <w:sz w:val="24"/>
          <w:szCs w:val="24"/>
          <w:lang w:val="en-GB"/>
          <w14:ligatures w14:val="none"/>
        </w:rPr>
        <w:t xml:space="preserve">As shown in </w:t>
      </w:r>
      <w:r w:rsidRPr="00CE5583">
        <w:rPr>
          <w:rFonts w:ascii="Baskerville Old Face" w:hAnsi="Baskerville Old Face" w:cs="Times New Roman"/>
          <w:kern w:val="0"/>
          <w:sz w:val="24"/>
          <w:szCs w:val="24"/>
          <w:lang w:val="en-GB"/>
          <w14:ligatures w14:val="none"/>
        </w:rPr>
        <w:t xml:space="preserve">Table </w:t>
      </w:r>
      <w:r w:rsidR="00F7531C">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 xml:space="preserve">, </w:t>
      </w:r>
      <w:r w:rsidR="000046AD" w:rsidRPr="00285F16">
        <w:rPr>
          <w:rFonts w:ascii="Baskerville Old Face" w:hAnsi="Baskerville Old Face" w:cs="Times New Roman"/>
          <w:kern w:val="0"/>
          <w:sz w:val="24"/>
          <w:szCs w:val="24"/>
          <w:lang w:val="en-GB"/>
          <w14:ligatures w14:val="none"/>
        </w:rPr>
        <w:t xml:space="preserve">all </w:t>
      </w:r>
      <w:r w:rsidR="000F2063" w:rsidRPr="00285F16">
        <w:rPr>
          <w:rFonts w:ascii="Baskerville Old Face" w:hAnsi="Baskerville Old Face" w:cs="Times New Roman"/>
          <w:kern w:val="0"/>
          <w:sz w:val="24"/>
          <w:szCs w:val="24"/>
          <w:lang w:val="en-GB"/>
          <w14:ligatures w14:val="none"/>
        </w:rPr>
        <w:t xml:space="preserve">dutiable </w:t>
      </w:r>
      <w:r w:rsidR="000046AD" w:rsidRPr="00285F16">
        <w:rPr>
          <w:rFonts w:ascii="Baskerville Old Face" w:hAnsi="Baskerville Old Face" w:cs="Times New Roman"/>
          <w:kern w:val="0"/>
          <w:sz w:val="24"/>
          <w:szCs w:val="24"/>
          <w:lang w:val="en-GB"/>
          <w14:ligatures w14:val="none"/>
        </w:rPr>
        <w:t xml:space="preserve">products recorded an increase in imports value except for products under </w:t>
      </w:r>
      <w:r w:rsidRPr="00285F16">
        <w:rPr>
          <w:rFonts w:ascii="Baskerville Old Face" w:hAnsi="Baskerville Old Face" w:cs="Times New Roman"/>
          <w:kern w:val="0"/>
          <w:sz w:val="24"/>
          <w:szCs w:val="24"/>
          <w:lang w:val="en-GB"/>
          <w14:ligatures w14:val="none"/>
        </w:rPr>
        <w:t>Section 1</w:t>
      </w:r>
      <w:r w:rsidR="000046AD" w:rsidRPr="00285F16">
        <w:rPr>
          <w:rFonts w:ascii="Baskerville Old Face" w:hAnsi="Baskerville Old Face" w:cs="Times New Roman"/>
          <w:kern w:val="0"/>
          <w:sz w:val="24"/>
          <w:szCs w:val="24"/>
          <w:lang w:val="en-GB"/>
          <w14:ligatures w14:val="none"/>
        </w:rPr>
        <w:t>A</w:t>
      </w:r>
      <w:r w:rsidRPr="00285F16">
        <w:rPr>
          <w:rFonts w:ascii="Baskerville Old Face" w:hAnsi="Baskerville Old Face" w:cs="Times New Roman"/>
          <w:kern w:val="0"/>
          <w:sz w:val="24"/>
          <w:szCs w:val="24"/>
          <w:lang w:val="en-GB"/>
          <w14:ligatures w14:val="none"/>
        </w:rPr>
        <w:t xml:space="preserve">. </w:t>
      </w:r>
      <w:r w:rsidR="000046AD" w:rsidRPr="00285F16">
        <w:rPr>
          <w:rFonts w:ascii="Baskerville Old Face" w:hAnsi="Baskerville Old Face" w:cs="Times New Roman"/>
          <w:kern w:val="0"/>
          <w:sz w:val="24"/>
          <w:szCs w:val="24"/>
          <w:lang w:val="en-GB"/>
          <w14:ligatures w14:val="none"/>
        </w:rPr>
        <w:t xml:space="preserve">Animal and vegetable oils, fats and </w:t>
      </w:r>
      <w:r w:rsidR="000F2063" w:rsidRPr="00285F16">
        <w:rPr>
          <w:rFonts w:ascii="Baskerville Old Face" w:hAnsi="Baskerville Old Face" w:cs="Times New Roman"/>
          <w:kern w:val="0"/>
          <w:sz w:val="24"/>
          <w:szCs w:val="24"/>
          <w:lang w:val="en-GB"/>
          <w14:ligatures w14:val="none"/>
        </w:rPr>
        <w:t>waxes (</w:t>
      </w:r>
      <w:r w:rsidRPr="00285F16">
        <w:rPr>
          <w:rFonts w:ascii="Baskerville Old Face" w:hAnsi="Baskerville Old Face" w:cs="Times New Roman"/>
          <w:kern w:val="0"/>
          <w:sz w:val="24"/>
          <w:szCs w:val="24"/>
          <w:lang w:val="en-GB"/>
          <w14:ligatures w14:val="none"/>
        </w:rPr>
        <w:t xml:space="preserve">Section </w:t>
      </w:r>
      <w:r w:rsidR="000046AD" w:rsidRPr="00285F16">
        <w:rPr>
          <w:rFonts w:ascii="Baskerville Old Face" w:hAnsi="Baskerville Old Face" w:cs="Times New Roman"/>
          <w:kern w:val="0"/>
          <w:sz w:val="24"/>
          <w:szCs w:val="24"/>
          <w:lang w:val="en-GB"/>
          <w14:ligatures w14:val="none"/>
        </w:rPr>
        <w:t>4</w:t>
      </w:r>
      <w:r w:rsidRPr="00285F16">
        <w:rPr>
          <w:rFonts w:ascii="Baskerville Old Face" w:hAnsi="Baskerville Old Face" w:cs="Times New Roman"/>
          <w:kern w:val="0"/>
          <w:sz w:val="24"/>
          <w:szCs w:val="24"/>
          <w:lang w:val="en-GB"/>
          <w14:ligatures w14:val="none"/>
        </w:rPr>
        <w:t xml:space="preserve">) recorded the highest increase of </w:t>
      </w:r>
      <w:r w:rsidR="000046AD" w:rsidRPr="00285F16">
        <w:rPr>
          <w:rFonts w:ascii="Baskerville Old Face" w:hAnsi="Baskerville Old Face" w:cs="Times New Roman"/>
          <w:kern w:val="0"/>
          <w:sz w:val="24"/>
          <w:szCs w:val="24"/>
          <w:lang w:val="en-GB"/>
          <w14:ligatures w14:val="none"/>
        </w:rPr>
        <w:t>232</w:t>
      </w:r>
      <w:r w:rsidRPr="00285F16">
        <w:rPr>
          <w:rFonts w:ascii="Baskerville Old Face" w:hAnsi="Baskerville Old Face" w:cs="Times New Roman"/>
          <w:kern w:val="0"/>
          <w:sz w:val="24"/>
          <w:szCs w:val="24"/>
          <w:lang w:val="en-GB"/>
          <w14:ligatures w14:val="none"/>
        </w:rPr>
        <w:t>.</w:t>
      </w:r>
      <w:r w:rsidR="000046AD"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 xml:space="preserve">%, followed by </w:t>
      </w:r>
      <w:r w:rsidR="000046AD" w:rsidRPr="00285F16">
        <w:rPr>
          <w:rFonts w:ascii="Baskerville Old Face" w:hAnsi="Baskerville Old Face" w:cs="Times New Roman"/>
          <w:kern w:val="0"/>
          <w:sz w:val="24"/>
          <w:szCs w:val="24"/>
          <w:lang w:val="en-GB"/>
          <w14:ligatures w14:val="none"/>
        </w:rPr>
        <w:t>machinery and transport equipment</w:t>
      </w:r>
      <w:r w:rsidRPr="00285F16">
        <w:rPr>
          <w:rFonts w:ascii="Baskerville Old Face" w:hAnsi="Baskerville Old Face" w:cs="Times New Roman"/>
          <w:kern w:val="0"/>
          <w:sz w:val="24"/>
          <w:szCs w:val="24"/>
          <w:lang w:val="en-GB"/>
          <w14:ligatures w14:val="none"/>
        </w:rPr>
        <w:t xml:space="preserve"> (Section </w:t>
      </w:r>
      <w:r w:rsidR="000046AD" w:rsidRPr="00285F16">
        <w:rPr>
          <w:rFonts w:ascii="Baskerville Old Face" w:hAnsi="Baskerville Old Face" w:cs="Times New Roman"/>
          <w:kern w:val="0"/>
          <w:sz w:val="24"/>
          <w:szCs w:val="24"/>
          <w:lang w:val="en-GB"/>
          <w14:ligatures w14:val="none"/>
        </w:rPr>
        <w:t>7</w:t>
      </w:r>
      <w:r w:rsidRPr="00285F16">
        <w:rPr>
          <w:rFonts w:ascii="Baskerville Old Face" w:hAnsi="Baskerville Old Face" w:cs="Times New Roman"/>
          <w:kern w:val="0"/>
          <w:sz w:val="24"/>
          <w:szCs w:val="24"/>
          <w:lang w:val="en-GB"/>
          <w14:ligatures w14:val="none"/>
        </w:rPr>
        <w:t xml:space="preserve">) with an increase of </w:t>
      </w:r>
      <w:r w:rsidR="000046AD" w:rsidRPr="00285F16">
        <w:rPr>
          <w:rFonts w:ascii="Baskerville Old Face" w:hAnsi="Baskerville Old Face" w:cs="Times New Roman"/>
          <w:kern w:val="0"/>
          <w:sz w:val="24"/>
          <w:szCs w:val="24"/>
          <w:lang w:val="en-GB"/>
          <w14:ligatures w14:val="none"/>
        </w:rPr>
        <w:t>9</w:t>
      </w:r>
      <w:r w:rsidRPr="00285F16">
        <w:rPr>
          <w:rFonts w:ascii="Baskerville Old Face" w:hAnsi="Baskerville Old Face" w:cs="Times New Roman"/>
          <w:kern w:val="0"/>
          <w:sz w:val="24"/>
          <w:szCs w:val="24"/>
          <w:lang w:val="en-GB"/>
          <w14:ligatures w14:val="none"/>
        </w:rPr>
        <w:t xml:space="preserve">4.7%, and then </w:t>
      </w:r>
      <w:r w:rsidR="000046AD" w:rsidRPr="00285F16">
        <w:rPr>
          <w:rFonts w:ascii="Baskerville Old Face" w:hAnsi="Baskerville Old Face" w:cs="Times New Roman"/>
          <w:kern w:val="0"/>
          <w:sz w:val="24"/>
          <w:szCs w:val="24"/>
          <w:lang w:val="en-GB"/>
          <w14:ligatures w14:val="none"/>
        </w:rPr>
        <w:t>miscellaneous manufactured articles (Se</w:t>
      </w:r>
      <w:r w:rsidRPr="00285F16">
        <w:rPr>
          <w:rFonts w:ascii="Baskerville Old Face" w:hAnsi="Baskerville Old Face" w:cs="Times New Roman"/>
          <w:kern w:val="0"/>
          <w:sz w:val="24"/>
          <w:szCs w:val="24"/>
          <w:lang w:val="en-GB"/>
          <w14:ligatures w14:val="none"/>
        </w:rPr>
        <w:t xml:space="preserve">ction </w:t>
      </w:r>
      <w:r w:rsidR="000046AD" w:rsidRPr="00285F16">
        <w:rPr>
          <w:rFonts w:ascii="Baskerville Old Face" w:hAnsi="Baskerville Old Face" w:cs="Times New Roman"/>
          <w:kern w:val="0"/>
          <w:sz w:val="24"/>
          <w:szCs w:val="24"/>
          <w:lang w:val="en-GB"/>
          <w14:ligatures w14:val="none"/>
        </w:rPr>
        <w:t>8</w:t>
      </w:r>
      <w:r w:rsidRPr="00285F16">
        <w:rPr>
          <w:rFonts w:ascii="Baskerville Old Face" w:hAnsi="Baskerville Old Face" w:cs="Times New Roman"/>
          <w:kern w:val="0"/>
          <w:sz w:val="24"/>
          <w:szCs w:val="24"/>
          <w:lang w:val="en-GB"/>
          <w14:ligatures w14:val="none"/>
        </w:rPr>
        <w:t xml:space="preserve">) with an increase of </w:t>
      </w:r>
      <w:r w:rsidR="000F2063" w:rsidRPr="00285F16">
        <w:rPr>
          <w:rFonts w:ascii="Baskerville Old Face" w:hAnsi="Baskerville Old Face" w:cs="Times New Roman"/>
          <w:kern w:val="0"/>
          <w:sz w:val="24"/>
          <w:szCs w:val="24"/>
          <w:lang w:val="en-GB"/>
          <w14:ligatures w14:val="none"/>
        </w:rPr>
        <w:t>88</w:t>
      </w:r>
      <w:r w:rsidRPr="00285F16">
        <w:rPr>
          <w:rFonts w:ascii="Baskerville Old Face" w:hAnsi="Baskerville Old Face" w:cs="Times New Roman"/>
          <w:kern w:val="0"/>
          <w:sz w:val="24"/>
          <w:szCs w:val="24"/>
          <w:lang w:val="en-GB"/>
          <w14:ligatures w14:val="none"/>
        </w:rPr>
        <w:t>.</w:t>
      </w:r>
      <w:r w:rsidR="000F2063" w:rsidRPr="00285F16">
        <w:rPr>
          <w:rFonts w:ascii="Baskerville Old Face" w:hAnsi="Baskerville Old Face" w:cs="Times New Roman"/>
          <w:kern w:val="0"/>
          <w:sz w:val="24"/>
          <w:szCs w:val="24"/>
          <w:lang w:val="en-GB"/>
          <w14:ligatures w14:val="none"/>
        </w:rPr>
        <w:t>2</w:t>
      </w:r>
      <w:r w:rsidRPr="00285F16">
        <w:rPr>
          <w:rFonts w:ascii="Baskerville Old Face" w:hAnsi="Baskerville Old Face" w:cs="Times New Roman"/>
          <w:kern w:val="0"/>
          <w:sz w:val="24"/>
          <w:szCs w:val="24"/>
          <w:lang w:val="en-GB"/>
          <w14:ligatures w14:val="none"/>
        </w:rPr>
        <w:t xml:space="preserve">%. </w:t>
      </w:r>
      <w:r w:rsidR="004F609A" w:rsidRPr="00285F16">
        <w:rPr>
          <w:rFonts w:ascii="Baskerville Old Face" w:hAnsi="Baskerville Old Face" w:cs="Times New Roman"/>
          <w:kern w:val="0"/>
          <w:sz w:val="24"/>
          <w:szCs w:val="24"/>
          <w:lang w:val="en-GB"/>
          <w14:ligatures w14:val="none"/>
        </w:rPr>
        <w:t>Products categorised under Section 3 contributed the highest to dutiable imports at 33.</w:t>
      </w:r>
      <w:r w:rsidR="00CE5583">
        <w:rPr>
          <w:rFonts w:ascii="Baskerville Old Face" w:hAnsi="Baskerville Old Face" w:cs="Times New Roman"/>
          <w:kern w:val="0"/>
          <w:sz w:val="24"/>
          <w:szCs w:val="24"/>
          <w:lang w:val="en-GB"/>
          <w14:ligatures w14:val="none"/>
        </w:rPr>
        <w:t>8</w:t>
      </w:r>
      <w:r w:rsidR="004F609A"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kern w:val="0"/>
          <w:sz w:val="24"/>
          <w:szCs w:val="24"/>
          <w:lang w:val="en-GB"/>
          <w14:ligatures w14:val="none"/>
        </w:rPr>
        <w:t xml:space="preserve">followed by products under Section </w:t>
      </w:r>
      <w:r w:rsidR="004C2B9F" w:rsidRPr="00285F16">
        <w:rPr>
          <w:rFonts w:ascii="Baskerville Old Face" w:hAnsi="Baskerville Old Face" w:cs="Times New Roman"/>
          <w:kern w:val="0"/>
          <w:sz w:val="24"/>
          <w:szCs w:val="24"/>
          <w:lang w:val="en-GB"/>
          <w14:ligatures w14:val="none"/>
        </w:rPr>
        <w:t>7</w:t>
      </w:r>
      <w:r w:rsidRPr="00285F16">
        <w:rPr>
          <w:rFonts w:ascii="Baskerville Old Face" w:hAnsi="Baskerville Old Face" w:cs="Times New Roman"/>
          <w:kern w:val="0"/>
          <w:sz w:val="24"/>
          <w:szCs w:val="24"/>
          <w:lang w:val="en-GB"/>
          <w14:ligatures w14:val="none"/>
        </w:rPr>
        <w:t xml:space="preserve"> (2</w:t>
      </w:r>
      <w:r w:rsidR="004C2B9F"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3</w:t>
      </w:r>
      <w:r w:rsidRPr="00285F16">
        <w:rPr>
          <w:rFonts w:ascii="Baskerville Old Face" w:hAnsi="Baskerville Old Face" w:cs="Times New Roman"/>
          <w:kern w:val="0"/>
          <w:sz w:val="24"/>
          <w:szCs w:val="24"/>
          <w:lang w:val="en-GB"/>
          <w14:ligatures w14:val="none"/>
        </w:rPr>
        <w:t xml:space="preserve">%), and then Section </w:t>
      </w:r>
      <w:r w:rsidR="004C2B9F"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 xml:space="preserve"> (</w:t>
      </w:r>
      <w:r w:rsidR="004C2B9F" w:rsidRPr="00285F16">
        <w:rPr>
          <w:rFonts w:ascii="Baskerville Old Face" w:hAnsi="Baskerville Old Face" w:cs="Times New Roman"/>
          <w:kern w:val="0"/>
          <w:sz w:val="24"/>
          <w:szCs w:val="24"/>
          <w:lang w:val="en-GB"/>
          <w14:ligatures w14:val="none"/>
        </w:rPr>
        <w:t>19</w:t>
      </w:r>
      <w:r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0</w:t>
      </w:r>
      <w:r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b/>
          <w:bCs/>
          <w:kern w:val="0"/>
          <w:sz w:val="24"/>
          <w:szCs w:val="24"/>
          <w:lang w:val="en-GB"/>
          <w14:ligatures w14:val="none"/>
        </w:rPr>
        <w:t xml:space="preserve"> </w:t>
      </w:r>
    </w:p>
    <w:p w14:paraId="0AA5184D" w14:textId="05C7A98E" w:rsidR="00413330" w:rsidRPr="00285F16" w:rsidRDefault="00413330" w:rsidP="00413330">
      <w:pPr>
        <w:rPr>
          <w:rFonts w:ascii="Baskerville Old Face" w:hAnsi="Baskerville Old Face" w:cs="Times New Roman"/>
          <w:b/>
          <w:bCs/>
          <w:i/>
          <w:iCs/>
          <w:kern w:val="0"/>
          <w:sz w:val="24"/>
          <w:szCs w:val="24"/>
          <w:lang w:val="en-GB"/>
          <w14:ligatures w14:val="none"/>
        </w:rPr>
      </w:pPr>
      <w:bookmarkStart w:id="100" w:name="Table24"/>
      <w:r w:rsidRPr="00CE5583">
        <w:rPr>
          <w:rFonts w:ascii="Baskerville Old Face" w:hAnsi="Baskerville Old Face" w:cs="Times New Roman"/>
          <w:b/>
          <w:bCs/>
          <w:i/>
          <w:iCs/>
          <w:kern w:val="0"/>
          <w:sz w:val="24"/>
          <w:szCs w:val="24"/>
          <w:lang w:val="en-GB"/>
          <w14:ligatures w14:val="none"/>
        </w:rPr>
        <w:t xml:space="preserve">Table </w:t>
      </w:r>
      <w:r w:rsidR="00F7531C">
        <w:rPr>
          <w:rFonts w:ascii="Baskerville Old Face" w:hAnsi="Baskerville Old Face" w:cs="Times New Roman"/>
          <w:b/>
          <w:bCs/>
          <w:i/>
          <w:iCs/>
          <w:kern w:val="0"/>
          <w:sz w:val="24"/>
          <w:szCs w:val="24"/>
          <w:lang w:val="en-GB"/>
          <w14:ligatures w14:val="none"/>
        </w:rPr>
        <w:t>2</w:t>
      </w:r>
      <w:r w:rsidR="00AC611D">
        <w:rPr>
          <w:rFonts w:ascii="Baskerville Old Face" w:hAnsi="Baskerville Old Face" w:cs="Times New Roman"/>
          <w:b/>
          <w:bCs/>
          <w:i/>
          <w:iCs/>
          <w:kern w:val="0"/>
          <w:sz w:val="24"/>
          <w:szCs w:val="24"/>
          <w:lang w:val="en-GB"/>
          <w14:ligatures w14:val="none"/>
        </w:rPr>
        <w:t>4</w:t>
      </w:r>
      <w:r w:rsidRPr="00285F16">
        <w:rPr>
          <w:rFonts w:ascii="Baskerville Old Face" w:hAnsi="Baskerville Old Face" w:cs="Times New Roman"/>
          <w:b/>
          <w:bCs/>
          <w:i/>
          <w:iCs/>
          <w:kern w:val="0"/>
          <w:sz w:val="24"/>
          <w:szCs w:val="24"/>
          <w:lang w:val="en-GB"/>
          <w14:ligatures w14:val="none"/>
        </w:rPr>
        <w:t xml:space="preserve">: Dutiable Imports CIF </w:t>
      </w:r>
      <w:r w:rsidR="00BE132F" w:rsidRPr="00285F16">
        <w:rPr>
          <w:rFonts w:ascii="Baskerville Old Face" w:hAnsi="Baskerville Old Face" w:cs="Times New Roman"/>
          <w:b/>
          <w:bCs/>
          <w:i/>
          <w:iCs/>
          <w:kern w:val="0"/>
          <w:sz w:val="24"/>
          <w:szCs w:val="24"/>
          <w:lang w:val="en-GB"/>
          <w14:ligatures w14:val="none"/>
        </w:rPr>
        <w:t xml:space="preserve">Value </w:t>
      </w:r>
      <w:r w:rsidRPr="00285F16">
        <w:rPr>
          <w:rFonts w:ascii="Baskerville Old Face" w:hAnsi="Baskerville Old Face" w:cs="Times New Roman"/>
          <w:b/>
          <w:bCs/>
          <w:i/>
          <w:iCs/>
          <w:kern w:val="0"/>
          <w:sz w:val="24"/>
          <w:szCs w:val="24"/>
          <w:lang w:val="en-GB"/>
          <w14:ligatures w14:val="none"/>
        </w:rPr>
        <w:t>202</w:t>
      </w:r>
      <w:r w:rsidR="00A9006F">
        <w:rPr>
          <w:rFonts w:ascii="Baskerville Old Face" w:hAnsi="Baskerville Old Face" w:cs="Times New Roman"/>
          <w:b/>
          <w:bCs/>
          <w:i/>
          <w:iCs/>
          <w:kern w:val="0"/>
          <w:sz w:val="24"/>
          <w:szCs w:val="24"/>
          <w:lang w:val="en-GB"/>
          <w14:ligatures w14:val="none"/>
        </w:rPr>
        <w:t>3</w:t>
      </w:r>
      <w:r w:rsidRPr="00285F16">
        <w:rPr>
          <w:rFonts w:ascii="Baskerville Old Face" w:hAnsi="Baskerville Old Face" w:cs="Times New Roman"/>
          <w:b/>
          <w:bCs/>
          <w:i/>
          <w:iCs/>
          <w:kern w:val="0"/>
          <w:sz w:val="24"/>
          <w:szCs w:val="24"/>
          <w:lang w:val="en-GB"/>
          <w14:ligatures w14:val="none"/>
        </w:rPr>
        <w:t xml:space="preserve"> and 202</w:t>
      </w:r>
      <w:r w:rsidR="00A9006F">
        <w:rPr>
          <w:rFonts w:ascii="Baskerville Old Face" w:hAnsi="Baskerville Old Face" w:cs="Times New Roman"/>
          <w:b/>
          <w:bCs/>
          <w:i/>
          <w:iCs/>
          <w:kern w:val="0"/>
          <w:sz w:val="24"/>
          <w:szCs w:val="24"/>
          <w:lang w:val="en-GB"/>
          <w14:ligatures w14:val="none"/>
        </w:rPr>
        <w:t>2</w:t>
      </w:r>
      <w:r w:rsidRPr="00285F16">
        <w:rPr>
          <w:rFonts w:ascii="Baskerville Old Face" w:hAnsi="Baskerville Old Face" w:cs="Times New Roman"/>
          <w:b/>
          <w:bCs/>
          <w:i/>
          <w:iCs/>
          <w:kern w:val="0"/>
          <w:sz w:val="24"/>
          <w:szCs w:val="24"/>
          <w:lang w:val="en-GB"/>
          <w14:ligatures w14:val="none"/>
        </w:rPr>
        <w:t xml:space="preserve"> (NLe)</w:t>
      </w:r>
    </w:p>
    <w:tbl>
      <w:tblPr>
        <w:tblStyle w:val="GridTable4-Accent5"/>
        <w:tblW w:w="10435" w:type="dxa"/>
        <w:tblLook w:val="04A0" w:firstRow="1" w:lastRow="0" w:firstColumn="1" w:lastColumn="0" w:noHBand="0" w:noVBand="1"/>
      </w:tblPr>
      <w:tblGrid>
        <w:gridCol w:w="4405"/>
        <w:gridCol w:w="1565"/>
        <w:gridCol w:w="1675"/>
        <w:gridCol w:w="1565"/>
        <w:gridCol w:w="1225"/>
      </w:tblGrid>
      <w:tr w:rsidR="00413330" w:rsidRPr="00AB3D99" w14:paraId="68B3DAFA" w14:textId="77777777" w:rsidTr="0036324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05" w:type="dxa"/>
            <w:noWrap/>
            <w:hideMark/>
          </w:tcPr>
          <w:bookmarkEnd w:id="100"/>
          <w:p w14:paraId="2B81E108" w14:textId="77777777" w:rsidR="00413330" w:rsidRPr="00AB3D99" w:rsidRDefault="00413330" w:rsidP="00413330">
            <w:pPr>
              <w:spacing w:line="276" w:lineRule="auto"/>
              <w:jc w:val="both"/>
              <w:rPr>
                <w:rFonts w:ascii="Baskerville Old Face" w:hAnsi="Baskerville Old Face" w:cs="Times New Roman"/>
                <w:color w:val="auto"/>
              </w:rPr>
            </w:pPr>
            <w:r w:rsidRPr="00AB3D99">
              <w:rPr>
                <w:rFonts w:ascii="Baskerville Old Face" w:hAnsi="Baskerville Old Face" w:cs="Times New Roman"/>
                <w:color w:val="auto"/>
                <w:lang w:val="en-GB"/>
              </w:rPr>
              <w:t> SITC CATEGORY</w:t>
            </w:r>
          </w:p>
        </w:tc>
        <w:tc>
          <w:tcPr>
            <w:tcW w:w="1565" w:type="dxa"/>
            <w:noWrap/>
            <w:hideMark/>
          </w:tcPr>
          <w:p w14:paraId="30A2A8B4" w14:textId="77777777" w:rsidR="00413330" w:rsidRPr="00AB3D99" w:rsidRDefault="00413330"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2022</w:t>
            </w:r>
          </w:p>
        </w:tc>
        <w:tc>
          <w:tcPr>
            <w:tcW w:w="1675" w:type="dxa"/>
            <w:noWrap/>
            <w:hideMark/>
          </w:tcPr>
          <w:p w14:paraId="6B2ECF17" w14:textId="77777777" w:rsidR="00413330" w:rsidRPr="00AB3D99" w:rsidRDefault="00413330"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rPr>
              <w:t>2023</w:t>
            </w:r>
          </w:p>
        </w:tc>
        <w:tc>
          <w:tcPr>
            <w:tcW w:w="1565" w:type="dxa"/>
            <w:noWrap/>
            <w:hideMark/>
          </w:tcPr>
          <w:p w14:paraId="7DCB8D0E" w14:textId="35083393" w:rsidR="00413330" w:rsidRPr="00AB3D99" w:rsidRDefault="00363242"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Pr>
                <w:rFonts w:ascii="Baskerville Old Face" w:hAnsi="Baskerville Old Face" w:cs="Times New Roman"/>
                <w:color w:val="auto"/>
                <w:lang w:val="en-GB"/>
              </w:rPr>
              <w:t>VARIANCE</w:t>
            </w:r>
          </w:p>
        </w:tc>
        <w:tc>
          <w:tcPr>
            <w:tcW w:w="1225" w:type="dxa"/>
            <w:noWrap/>
            <w:hideMark/>
          </w:tcPr>
          <w:p w14:paraId="04EF3AEA" w14:textId="79FA260C" w:rsidR="00413330" w:rsidRPr="00AB3D99" w:rsidRDefault="00363242" w:rsidP="00D7540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 xml:space="preserve">% </w:t>
            </w:r>
            <w:r>
              <w:rPr>
                <w:rFonts w:ascii="Baskerville Old Face" w:hAnsi="Baskerville Old Face" w:cs="Times New Roman"/>
                <w:color w:val="auto"/>
                <w:lang w:val="en-GB"/>
              </w:rPr>
              <w:t xml:space="preserve">VAR </w:t>
            </w:r>
          </w:p>
        </w:tc>
      </w:tr>
      <w:tr w:rsidR="00413330" w:rsidRPr="00AB3D99" w14:paraId="1AF0C3A0"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6E49CF5"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1B - TOBACCO</w:t>
            </w:r>
          </w:p>
        </w:tc>
        <w:tc>
          <w:tcPr>
            <w:tcW w:w="1565" w:type="dxa"/>
            <w:noWrap/>
            <w:hideMark/>
          </w:tcPr>
          <w:p w14:paraId="1B6651AD"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189,206,355</w:t>
            </w:r>
          </w:p>
        </w:tc>
        <w:tc>
          <w:tcPr>
            <w:tcW w:w="1675" w:type="dxa"/>
            <w:noWrap/>
            <w:hideMark/>
          </w:tcPr>
          <w:p w14:paraId="3F581830" w14:textId="2C7ED649"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290,493,047</w:t>
            </w:r>
          </w:p>
        </w:tc>
        <w:tc>
          <w:tcPr>
            <w:tcW w:w="1565" w:type="dxa"/>
            <w:noWrap/>
            <w:hideMark/>
          </w:tcPr>
          <w:p w14:paraId="31A4C813"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101,286,692</w:t>
            </w:r>
          </w:p>
        </w:tc>
        <w:tc>
          <w:tcPr>
            <w:tcW w:w="1225" w:type="dxa"/>
            <w:noWrap/>
            <w:hideMark/>
          </w:tcPr>
          <w:p w14:paraId="199C443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53.53%</w:t>
            </w:r>
          </w:p>
        </w:tc>
      </w:tr>
      <w:tr w:rsidR="00413330" w:rsidRPr="00AB3D99" w14:paraId="3F55EF23"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218D90F7"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0 - FOOD AND LIVE ANIMALS</w:t>
            </w:r>
          </w:p>
        </w:tc>
        <w:tc>
          <w:tcPr>
            <w:tcW w:w="1565" w:type="dxa"/>
            <w:noWrap/>
            <w:hideMark/>
          </w:tcPr>
          <w:p w14:paraId="4EFF2447"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3,894,001,730</w:t>
            </w:r>
          </w:p>
        </w:tc>
        <w:tc>
          <w:tcPr>
            <w:tcW w:w="1675" w:type="dxa"/>
            <w:noWrap/>
            <w:hideMark/>
          </w:tcPr>
          <w:p w14:paraId="2D1F9BC0" w14:textId="352187B2"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5,161,943,978</w:t>
            </w:r>
          </w:p>
        </w:tc>
        <w:tc>
          <w:tcPr>
            <w:tcW w:w="1565" w:type="dxa"/>
            <w:noWrap/>
            <w:hideMark/>
          </w:tcPr>
          <w:p w14:paraId="30A6D41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1,267,942,248</w:t>
            </w:r>
          </w:p>
        </w:tc>
        <w:tc>
          <w:tcPr>
            <w:tcW w:w="1225" w:type="dxa"/>
            <w:noWrap/>
            <w:hideMark/>
          </w:tcPr>
          <w:p w14:paraId="0B22565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32.56%</w:t>
            </w:r>
          </w:p>
        </w:tc>
      </w:tr>
      <w:tr w:rsidR="00413330" w:rsidRPr="00AB3D99" w14:paraId="6B5F74F5"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EC3F4C5"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7 - MACHINERY AND TRANSPORT EQUIPMENT</w:t>
            </w:r>
          </w:p>
        </w:tc>
        <w:tc>
          <w:tcPr>
            <w:tcW w:w="1565" w:type="dxa"/>
            <w:noWrap/>
            <w:hideMark/>
          </w:tcPr>
          <w:p w14:paraId="1E92085A"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2,831,645,570</w:t>
            </w:r>
          </w:p>
        </w:tc>
        <w:tc>
          <w:tcPr>
            <w:tcW w:w="1675" w:type="dxa"/>
            <w:noWrap/>
            <w:hideMark/>
          </w:tcPr>
          <w:p w14:paraId="635735EA" w14:textId="03DA1C05"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5,514,299,723</w:t>
            </w:r>
          </w:p>
        </w:tc>
        <w:tc>
          <w:tcPr>
            <w:tcW w:w="1565" w:type="dxa"/>
            <w:noWrap/>
            <w:hideMark/>
          </w:tcPr>
          <w:p w14:paraId="23BC4E5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2,682,654,153</w:t>
            </w:r>
          </w:p>
        </w:tc>
        <w:tc>
          <w:tcPr>
            <w:tcW w:w="1225" w:type="dxa"/>
            <w:noWrap/>
            <w:hideMark/>
          </w:tcPr>
          <w:p w14:paraId="0A153A05"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94.74%</w:t>
            </w:r>
          </w:p>
        </w:tc>
      </w:tr>
      <w:tr w:rsidR="00413330" w:rsidRPr="00AB3D99" w14:paraId="78BF5AE5"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4816BC1C" w14:textId="4F253C73"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8 - MISCELLANEOUS MANUFACTURED ARTICLES</w:t>
            </w:r>
          </w:p>
        </w:tc>
        <w:tc>
          <w:tcPr>
            <w:tcW w:w="1565" w:type="dxa"/>
            <w:noWrap/>
            <w:hideMark/>
          </w:tcPr>
          <w:p w14:paraId="2B3B6799"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918,664,269</w:t>
            </w:r>
          </w:p>
        </w:tc>
        <w:tc>
          <w:tcPr>
            <w:tcW w:w="1675" w:type="dxa"/>
            <w:noWrap/>
            <w:hideMark/>
          </w:tcPr>
          <w:p w14:paraId="210221DD" w14:textId="5CBCCBA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1,728,910,357</w:t>
            </w:r>
          </w:p>
        </w:tc>
        <w:tc>
          <w:tcPr>
            <w:tcW w:w="1565" w:type="dxa"/>
            <w:noWrap/>
            <w:hideMark/>
          </w:tcPr>
          <w:p w14:paraId="69D9E77C"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810,246,088</w:t>
            </w:r>
          </w:p>
        </w:tc>
        <w:tc>
          <w:tcPr>
            <w:tcW w:w="1225" w:type="dxa"/>
            <w:noWrap/>
            <w:hideMark/>
          </w:tcPr>
          <w:p w14:paraId="679275D5"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88.20%</w:t>
            </w:r>
          </w:p>
        </w:tc>
      </w:tr>
      <w:tr w:rsidR="00413330" w:rsidRPr="00AB3D99" w14:paraId="3A473D15"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600F0052"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1A - BEVERAGES</w:t>
            </w:r>
          </w:p>
        </w:tc>
        <w:tc>
          <w:tcPr>
            <w:tcW w:w="1565" w:type="dxa"/>
            <w:noWrap/>
            <w:hideMark/>
          </w:tcPr>
          <w:p w14:paraId="3A8C30D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95,485,121</w:t>
            </w:r>
          </w:p>
        </w:tc>
        <w:tc>
          <w:tcPr>
            <w:tcW w:w="1675" w:type="dxa"/>
            <w:noWrap/>
            <w:hideMark/>
          </w:tcPr>
          <w:p w14:paraId="2F399266" w14:textId="405697B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77,404,390</w:t>
            </w:r>
          </w:p>
        </w:tc>
        <w:tc>
          <w:tcPr>
            <w:tcW w:w="1565" w:type="dxa"/>
            <w:noWrap/>
            <w:hideMark/>
          </w:tcPr>
          <w:p w14:paraId="4EB2300A"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-18,080,731</w:t>
            </w:r>
          </w:p>
        </w:tc>
        <w:tc>
          <w:tcPr>
            <w:tcW w:w="1225" w:type="dxa"/>
            <w:noWrap/>
            <w:hideMark/>
          </w:tcPr>
          <w:p w14:paraId="24E9D96F"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-18.94%</w:t>
            </w:r>
          </w:p>
        </w:tc>
      </w:tr>
      <w:tr w:rsidR="00413330" w:rsidRPr="00AB3D99" w14:paraId="17D4EBF5"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9FF2C96"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OTHER ITEMS</w:t>
            </w:r>
          </w:p>
        </w:tc>
        <w:tc>
          <w:tcPr>
            <w:tcW w:w="1565" w:type="dxa"/>
            <w:noWrap/>
            <w:hideMark/>
          </w:tcPr>
          <w:p w14:paraId="2D5E6E27"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80,995,563</w:t>
            </w:r>
          </w:p>
        </w:tc>
        <w:tc>
          <w:tcPr>
            <w:tcW w:w="1675" w:type="dxa"/>
            <w:noWrap/>
            <w:hideMark/>
          </w:tcPr>
          <w:p w14:paraId="1AB4AB15" w14:textId="0D037F0F"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127,175,257</w:t>
            </w:r>
          </w:p>
        </w:tc>
        <w:tc>
          <w:tcPr>
            <w:tcW w:w="1565" w:type="dxa"/>
            <w:noWrap/>
            <w:hideMark/>
          </w:tcPr>
          <w:p w14:paraId="20140119"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46,179,694</w:t>
            </w:r>
          </w:p>
        </w:tc>
        <w:tc>
          <w:tcPr>
            <w:tcW w:w="1225" w:type="dxa"/>
            <w:noWrap/>
            <w:hideMark/>
          </w:tcPr>
          <w:p w14:paraId="3A7AE5F6"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57.02%</w:t>
            </w:r>
          </w:p>
        </w:tc>
      </w:tr>
      <w:tr w:rsidR="00413330" w:rsidRPr="00AB3D99" w14:paraId="65DF4D24"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5E6CC475"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4 - ANIMAL AND VEGETABLE OILS, FATS AND WAXES</w:t>
            </w:r>
          </w:p>
        </w:tc>
        <w:tc>
          <w:tcPr>
            <w:tcW w:w="1565" w:type="dxa"/>
            <w:noWrap/>
            <w:hideMark/>
          </w:tcPr>
          <w:p w14:paraId="0DB9AE06"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1,558,746</w:t>
            </w:r>
          </w:p>
        </w:tc>
        <w:tc>
          <w:tcPr>
            <w:tcW w:w="1675" w:type="dxa"/>
            <w:noWrap/>
            <w:hideMark/>
          </w:tcPr>
          <w:p w14:paraId="2755D6C7" w14:textId="37BAF7DD"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5,175,458</w:t>
            </w:r>
          </w:p>
        </w:tc>
        <w:tc>
          <w:tcPr>
            <w:tcW w:w="1565" w:type="dxa"/>
            <w:noWrap/>
            <w:hideMark/>
          </w:tcPr>
          <w:p w14:paraId="231D456B"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3,616,712</w:t>
            </w:r>
          </w:p>
        </w:tc>
        <w:tc>
          <w:tcPr>
            <w:tcW w:w="1225" w:type="dxa"/>
            <w:noWrap/>
            <w:hideMark/>
          </w:tcPr>
          <w:p w14:paraId="34FCEB65"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232.03%</w:t>
            </w:r>
          </w:p>
        </w:tc>
      </w:tr>
      <w:tr w:rsidR="00413330" w:rsidRPr="00AB3D99" w14:paraId="37195ADF"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429F5AE9"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2 - CRUDE MATERIALS, INEDIBLE, EXCEPT FUELS</w:t>
            </w:r>
          </w:p>
        </w:tc>
        <w:tc>
          <w:tcPr>
            <w:tcW w:w="1565" w:type="dxa"/>
            <w:noWrap/>
            <w:hideMark/>
          </w:tcPr>
          <w:p w14:paraId="766F67A5"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179,141,395</w:t>
            </w:r>
          </w:p>
        </w:tc>
        <w:tc>
          <w:tcPr>
            <w:tcW w:w="1675" w:type="dxa"/>
            <w:noWrap/>
            <w:hideMark/>
          </w:tcPr>
          <w:p w14:paraId="2AE81E54" w14:textId="5CCAB1B0"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246,356,143</w:t>
            </w:r>
          </w:p>
        </w:tc>
        <w:tc>
          <w:tcPr>
            <w:tcW w:w="1565" w:type="dxa"/>
            <w:noWrap/>
            <w:hideMark/>
          </w:tcPr>
          <w:p w14:paraId="25E039E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67,214,748</w:t>
            </w:r>
          </w:p>
        </w:tc>
        <w:tc>
          <w:tcPr>
            <w:tcW w:w="1225" w:type="dxa"/>
            <w:noWrap/>
            <w:hideMark/>
          </w:tcPr>
          <w:p w14:paraId="261963E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37.52%</w:t>
            </w:r>
          </w:p>
        </w:tc>
      </w:tr>
      <w:tr w:rsidR="00413330" w:rsidRPr="00AB3D99" w14:paraId="4648AB44"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62BFF653"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6 - MANUFACTURED GOODS CLASSIFIED CHIEFLY BY MATERIAL</w:t>
            </w:r>
          </w:p>
        </w:tc>
        <w:tc>
          <w:tcPr>
            <w:tcW w:w="1565" w:type="dxa"/>
            <w:noWrap/>
            <w:hideMark/>
          </w:tcPr>
          <w:p w14:paraId="7959BBC5"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2,192,932,351</w:t>
            </w:r>
          </w:p>
        </w:tc>
        <w:tc>
          <w:tcPr>
            <w:tcW w:w="1675" w:type="dxa"/>
            <w:noWrap/>
            <w:hideMark/>
          </w:tcPr>
          <w:p w14:paraId="02856ACF" w14:textId="5DAEC40D"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3,327,259,404</w:t>
            </w:r>
          </w:p>
        </w:tc>
        <w:tc>
          <w:tcPr>
            <w:tcW w:w="1565" w:type="dxa"/>
            <w:noWrap/>
            <w:hideMark/>
          </w:tcPr>
          <w:p w14:paraId="535F2C96"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1,134,327,053</w:t>
            </w:r>
          </w:p>
        </w:tc>
        <w:tc>
          <w:tcPr>
            <w:tcW w:w="1225" w:type="dxa"/>
            <w:noWrap/>
            <w:hideMark/>
          </w:tcPr>
          <w:p w14:paraId="053E68D7"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51.73%</w:t>
            </w:r>
          </w:p>
        </w:tc>
      </w:tr>
      <w:tr w:rsidR="00413330" w:rsidRPr="00AB3D99" w14:paraId="4BD7F10F" w14:textId="77777777" w:rsidTr="00363242">
        <w:trPr>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6CDF1B27"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5 - CHEMICALS AND RELATED PRODUCTS, N.E.S.</w:t>
            </w:r>
          </w:p>
        </w:tc>
        <w:tc>
          <w:tcPr>
            <w:tcW w:w="1565" w:type="dxa"/>
            <w:noWrap/>
            <w:hideMark/>
          </w:tcPr>
          <w:p w14:paraId="4621A40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969,833,813</w:t>
            </w:r>
          </w:p>
        </w:tc>
        <w:tc>
          <w:tcPr>
            <w:tcW w:w="1675" w:type="dxa"/>
            <w:noWrap/>
            <w:hideMark/>
          </w:tcPr>
          <w:p w14:paraId="139D5F28" w14:textId="779E8D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1,487,933,800</w:t>
            </w:r>
          </w:p>
        </w:tc>
        <w:tc>
          <w:tcPr>
            <w:tcW w:w="1565" w:type="dxa"/>
            <w:noWrap/>
            <w:hideMark/>
          </w:tcPr>
          <w:p w14:paraId="17583C2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518,099,987</w:t>
            </w:r>
          </w:p>
        </w:tc>
        <w:tc>
          <w:tcPr>
            <w:tcW w:w="1225" w:type="dxa"/>
            <w:noWrap/>
            <w:hideMark/>
          </w:tcPr>
          <w:p w14:paraId="2F07731D"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53.42%</w:t>
            </w:r>
          </w:p>
        </w:tc>
      </w:tr>
      <w:tr w:rsidR="00413330" w:rsidRPr="00AB3D99" w14:paraId="2DAF7B5E" w14:textId="77777777" w:rsidTr="0036324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05" w:type="dxa"/>
            <w:noWrap/>
            <w:hideMark/>
          </w:tcPr>
          <w:p w14:paraId="364797E7" w14:textId="77777777" w:rsidR="00413330" w:rsidRPr="00AB3D99" w:rsidRDefault="00413330" w:rsidP="00D7540C">
            <w:pPr>
              <w:rPr>
                <w:rFonts w:ascii="Baskerville Old Face" w:hAnsi="Baskerville Old Face" w:cs="Times New Roman"/>
                <w:b w:val="0"/>
                <w:bCs w:val="0"/>
              </w:rPr>
            </w:pPr>
            <w:r w:rsidRPr="00AB3D99">
              <w:rPr>
                <w:rFonts w:ascii="Baskerville Old Face" w:hAnsi="Baskerville Old Face" w:cs="Times New Roman"/>
                <w:b w:val="0"/>
                <w:bCs w:val="0"/>
                <w:lang w:val="en-GB"/>
              </w:rPr>
              <w:t>SECTION 3 - MINERAL FUELS, LUBRICANTS AND RELATED MATERIALS</w:t>
            </w:r>
          </w:p>
        </w:tc>
        <w:tc>
          <w:tcPr>
            <w:tcW w:w="1565" w:type="dxa"/>
            <w:noWrap/>
            <w:hideMark/>
          </w:tcPr>
          <w:p w14:paraId="739B4F62"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5,343,114,150</w:t>
            </w:r>
          </w:p>
        </w:tc>
        <w:tc>
          <w:tcPr>
            <w:tcW w:w="1675" w:type="dxa"/>
            <w:noWrap/>
            <w:hideMark/>
          </w:tcPr>
          <w:p w14:paraId="284153F8" w14:textId="35C6A72C"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9,160,572,726</w:t>
            </w:r>
          </w:p>
        </w:tc>
        <w:tc>
          <w:tcPr>
            <w:tcW w:w="1565" w:type="dxa"/>
            <w:noWrap/>
            <w:hideMark/>
          </w:tcPr>
          <w:p w14:paraId="6D3F2430"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3,817,458,576</w:t>
            </w:r>
          </w:p>
        </w:tc>
        <w:tc>
          <w:tcPr>
            <w:tcW w:w="1225" w:type="dxa"/>
            <w:noWrap/>
            <w:hideMark/>
          </w:tcPr>
          <w:p w14:paraId="2A5C3023"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71.45%</w:t>
            </w:r>
          </w:p>
        </w:tc>
      </w:tr>
      <w:tr w:rsidR="00413330" w:rsidRPr="00AB3D99" w14:paraId="3C6CA2EE" w14:textId="77777777" w:rsidTr="00363242">
        <w:trPr>
          <w:trHeight w:val="288"/>
        </w:trPr>
        <w:tc>
          <w:tcPr>
            <w:cnfStyle w:val="001000000000" w:firstRow="0" w:lastRow="0" w:firstColumn="1" w:lastColumn="0" w:oddVBand="0" w:evenVBand="0" w:oddHBand="0" w:evenHBand="0" w:firstRowFirstColumn="0" w:firstRowLastColumn="0" w:lastRowFirstColumn="0" w:lastRowLastColumn="0"/>
            <w:tcW w:w="4405" w:type="dxa"/>
            <w:noWrap/>
            <w:hideMark/>
          </w:tcPr>
          <w:p w14:paraId="401C9805" w14:textId="77777777" w:rsidR="00413330" w:rsidRPr="00AB3D99" w:rsidRDefault="00413330" w:rsidP="00D7540C">
            <w:pPr>
              <w:spacing w:line="276" w:lineRule="auto"/>
              <w:rPr>
                <w:rFonts w:ascii="Baskerville Old Face" w:hAnsi="Baskerville Old Face" w:cs="Times New Roman"/>
              </w:rPr>
            </w:pPr>
            <w:r w:rsidRPr="00AB3D99">
              <w:rPr>
                <w:rFonts w:ascii="Baskerville Old Face" w:hAnsi="Baskerville Old Face" w:cs="Times New Roman"/>
                <w:lang w:val="en-GB"/>
              </w:rPr>
              <w:t>TOTAL</w:t>
            </w:r>
          </w:p>
        </w:tc>
        <w:tc>
          <w:tcPr>
            <w:tcW w:w="1565" w:type="dxa"/>
            <w:noWrap/>
            <w:hideMark/>
          </w:tcPr>
          <w:p w14:paraId="2400CD9D"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rPr>
              <w:t>16,696,579,063</w:t>
            </w:r>
          </w:p>
        </w:tc>
        <w:tc>
          <w:tcPr>
            <w:tcW w:w="1675" w:type="dxa"/>
            <w:noWrap/>
            <w:hideMark/>
          </w:tcPr>
          <w:p w14:paraId="4DDCB2B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rPr>
              <w:t>27,127,524,283</w:t>
            </w:r>
          </w:p>
        </w:tc>
        <w:tc>
          <w:tcPr>
            <w:tcW w:w="1565" w:type="dxa"/>
            <w:noWrap/>
            <w:hideMark/>
          </w:tcPr>
          <w:p w14:paraId="26BFDBB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10,430,945,220</w:t>
            </w:r>
          </w:p>
        </w:tc>
        <w:tc>
          <w:tcPr>
            <w:tcW w:w="1225" w:type="dxa"/>
            <w:noWrap/>
            <w:hideMark/>
          </w:tcPr>
          <w:p w14:paraId="295BA8EF"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31.00%</w:t>
            </w:r>
          </w:p>
        </w:tc>
      </w:tr>
    </w:tbl>
    <w:p w14:paraId="21841F85" w14:textId="77777777" w:rsidR="00413330" w:rsidRPr="00F46DF3" w:rsidRDefault="00413330" w:rsidP="00413330">
      <w:pPr>
        <w:spacing w:line="360" w:lineRule="auto"/>
        <w:jc w:val="both"/>
        <w:rPr>
          <w:rFonts w:ascii="Baskerville Old Face" w:hAnsi="Baskerville Old Face" w:cs="Times New Roman"/>
          <w:i/>
          <w:iCs/>
          <w:kern w:val="0"/>
          <w:sz w:val="18"/>
          <w:szCs w:val="18"/>
          <w:lang w:val="en-GB"/>
          <w14:ligatures w14:val="none"/>
        </w:rPr>
      </w:pPr>
      <w:r w:rsidRPr="00F46DF3">
        <w:rPr>
          <w:rFonts w:ascii="Baskerville Old Face" w:hAnsi="Baskerville Old Face" w:cs="Times New Roman"/>
          <w:i/>
          <w:iCs/>
          <w:kern w:val="0"/>
          <w:sz w:val="18"/>
          <w:szCs w:val="18"/>
          <w:lang w:val="en-GB"/>
          <w14:ligatures w14:val="none"/>
        </w:rPr>
        <w:t>Source: ASYCUDA World</w:t>
      </w:r>
    </w:p>
    <w:p w14:paraId="799A6BA3" w14:textId="0A1838A7" w:rsidR="004C2B9F" w:rsidRDefault="001C035F" w:rsidP="00CB7556">
      <w:pPr>
        <w:spacing w:line="360" w:lineRule="auto"/>
        <w:jc w:val="both"/>
        <w:rPr>
          <w:rFonts w:ascii="Baskerville Old Face" w:hAnsi="Baskerville Old Face" w:cs="Times New Roman"/>
          <w:kern w:val="0"/>
          <w:sz w:val="24"/>
          <w:szCs w:val="24"/>
          <w:lang w:val="en-GB"/>
          <w14:ligatures w14:val="none"/>
        </w:rPr>
      </w:pPr>
      <w:r w:rsidRPr="00285F16">
        <w:rPr>
          <w:rFonts w:ascii="Baskerville Old Face" w:hAnsi="Baskerville Old Face" w:cs="Times New Roman"/>
          <w:kern w:val="0"/>
          <w:sz w:val="24"/>
          <w:szCs w:val="24"/>
          <w:lang w:val="en-GB"/>
          <w14:ligatures w14:val="none"/>
        </w:rPr>
        <w:t>Analysis of</w:t>
      </w:r>
      <w:r w:rsidR="004C2B9F" w:rsidRPr="00285F16">
        <w:rPr>
          <w:rFonts w:ascii="Baskerville Old Face" w:hAnsi="Baskerville Old Face" w:cs="Times New Roman"/>
          <w:kern w:val="0"/>
          <w:sz w:val="24"/>
          <w:szCs w:val="24"/>
          <w:lang w:val="en-GB"/>
          <w14:ligatures w14:val="none"/>
        </w:rPr>
        <w:t xml:space="preserve"> </w:t>
      </w:r>
      <w:r w:rsidR="004C2B9F" w:rsidRPr="00CE5583">
        <w:rPr>
          <w:rFonts w:ascii="Baskerville Old Face" w:hAnsi="Baskerville Old Face" w:cs="Times New Roman"/>
          <w:kern w:val="0"/>
          <w:sz w:val="24"/>
          <w:szCs w:val="24"/>
          <w:lang w:val="en-GB"/>
          <w14:ligatures w14:val="none"/>
        </w:rPr>
        <w:t xml:space="preserve">Table </w:t>
      </w:r>
      <w:r w:rsidR="00CE5583">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5</w:t>
      </w:r>
      <w:r w:rsidRPr="00285F16">
        <w:rPr>
          <w:rFonts w:ascii="Baskerville Old Face" w:hAnsi="Baskerville Old Face" w:cs="Times New Roman"/>
          <w:kern w:val="0"/>
          <w:sz w:val="24"/>
          <w:szCs w:val="24"/>
          <w:lang w:val="en-GB"/>
          <w14:ligatures w14:val="none"/>
        </w:rPr>
        <w:t xml:space="preserve"> reveals</w:t>
      </w:r>
      <w:r w:rsidR="004C2B9F" w:rsidRPr="00285F16">
        <w:rPr>
          <w:rFonts w:ascii="Baskerville Old Face" w:hAnsi="Baskerville Old Face" w:cs="Times New Roman"/>
          <w:kern w:val="0"/>
          <w:sz w:val="24"/>
          <w:szCs w:val="24"/>
          <w:lang w:val="en-GB"/>
          <w14:ligatures w14:val="none"/>
        </w:rPr>
        <w:t xml:space="preserve"> a decline in the imports value of products </w:t>
      </w:r>
      <w:r w:rsidRPr="00285F16">
        <w:rPr>
          <w:rFonts w:ascii="Baskerville Old Face" w:hAnsi="Baskerville Old Face" w:cs="Times New Roman"/>
          <w:kern w:val="0"/>
          <w:sz w:val="24"/>
          <w:szCs w:val="24"/>
          <w:lang w:val="en-GB"/>
          <w14:ligatures w14:val="none"/>
        </w:rPr>
        <w:t>classified under</w:t>
      </w:r>
      <w:r w:rsidR="004C2B9F" w:rsidRPr="00285F16">
        <w:rPr>
          <w:rFonts w:ascii="Baskerville Old Face" w:hAnsi="Baskerville Old Face" w:cs="Times New Roman"/>
          <w:kern w:val="0"/>
          <w:sz w:val="24"/>
          <w:szCs w:val="24"/>
          <w:lang w:val="en-GB"/>
          <w14:ligatures w14:val="none"/>
        </w:rPr>
        <w:t xml:space="preserve"> Sections </w:t>
      </w:r>
      <w:r w:rsidR="00E6406C" w:rsidRPr="00285F16">
        <w:rPr>
          <w:rFonts w:ascii="Baskerville Old Face" w:hAnsi="Baskerville Old Face" w:cs="Times New Roman"/>
          <w:kern w:val="0"/>
          <w:sz w:val="24"/>
          <w:szCs w:val="24"/>
          <w:lang w:val="en-GB"/>
          <w14:ligatures w14:val="none"/>
        </w:rPr>
        <w:t>1B,</w:t>
      </w:r>
      <w:r w:rsidR="004C2B9F" w:rsidRPr="00285F16">
        <w:rPr>
          <w:rFonts w:ascii="Baskerville Old Face" w:hAnsi="Baskerville Old Face" w:cs="Times New Roman"/>
          <w:kern w:val="0"/>
          <w:sz w:val="24"/>
          <w:szCs w:val="24"/>
          <w:lang w:val="en-GB"/>
          <w14:ligatures w14:val="none"/>
        </w:rPr>
        <w:t xml:space="preserve"> </w:t>
      </w:r>
      <w:r w:rsidR="00E6406C" w:rsidRPr="00285F16">
        <w:rPr>
          <w:rFonts w:ascii="Baskerville Old Face" w:hAnsi="Baskerville Old Face" w:cs="Times New Roman"/>
          <w:kern w:val="0"/>
          <w:sz w:val="24"/>
          <w:szCs w:val="24"/>
          <w:lang w:val="en-GB"/>
          <w14:ligatures w14:val="none"/>
        </w:rPr>
        <w:t xml:space="preserve">1A, Section 7 </w:t>
      </w:r>
      <w:r w:rsidR="004C2B9F" w:rsidRPr="00285F16">
        <w:rPr>
          <w:rFonts w:ascii="Baskerville Old Face" w:hAnsi="Baskerville Old Face" w:cs="Times New Roman"/>
          <w:kern w:val="0"/>
          <w:sz w:val="24"/>
          <w:szCs w:val="24"/>
          <w:lang w:val="en-GB"/>
          <w14:ligatures w14:val="none"/>
        </w:rPr>
        <w:t xml:space="preserve">and </w:t>
      </w:r>
      <w:r w:rsidR="00E6406C" w:rsidRPr="00285F16">
        <w:rPr>
          <w:rFonts w:ascii="Baskerville Old Face" w:hAnsi="Baskerville Old Face" w:cs="Times New Roman"/>
          <w:kern w:val="0"/>
          <w:sz w:val="24"/>
          <w:szCs w:val="24"/>
          <w:lang w:val="en-GB"/>
          <w14:ligatures w14:val="none"/>
        </w:rPr>
        <w:t xml:space="preserve">“Other </w:t>
      </w:r>
      <w:r w:rsidRPr="00285F16">
        <w:rPr>
          <w:rFonts w:ascii="Baskerville Old Face" w:hAnsi="Baskerville Old Face" w:cs="Times New Roman"/>
          <w:kern w:val="0"/>
          <w:sz w:val="24"/>
          <w:szCs w:val="24"/>
          <w:lang w:val="en-GB"/>
          <w14:ligatures w14:val="none"/>
        </w:rPr>
        <w:t>I</w:t>
      </w:r>
      <w:r w:rsidR="00E6406C" w:rsidRPr="00285F16">
        <w:rPr>
          <w:rFonts w:ascii="Baskerville Old Face" w:hAnsi="Baskerville Old Face" w:cs="Times New Roman"/>
          <w:kern w:val="0"/>
          <w:sz w:val="24"/>
          <w:szCs w:val="24"/>
          <w:lang w:val="en-GB"/>
          <w14:ligatures w14:val="none"/>
        </w:rPr>
        <w:t>tems”</w:t>
      </w:r>
      <w:r w:rsidR="004C2B9F" w:rsidRPr="00285F16">
        <w:rPr>
          <w:rFonts w:ascii="Baskerville Old Face" w:hAnsi="Baskerville Old Face" w:cs="Times New Roman"/>
          <w:kern w:val="0"/>
          <w:sz w:val="24"/>
          <w:szCs w:val="24"/>
          <w:lang w:val="en-GB"/>
          <w14:ligatures w14:val="none"/>
        </w:rPr>
        <w:t xml:space="preserve">. Beverages (Section </w:t>
      </w:r>
      <w:r w:rsidR="00E6406C" w:rsidRPr="00285F16">
        <w:rPr>
          <w:rFonts w:ascii="Baskerville Old Face" w:hAnsi="Baskerville Old Face" w:cs="Times New Roman"/>
          <w:kern w:val="0"/>
          <w:sz w:val="24"/>
          <w:szCs w:val="24"/>
          <w:lang w:val="en-GB"/>
          <w14:ligatures w14:val="none"/>
        </w:rPr>
        <w:t>8</w:t>
      </w:r>
      <w:r w:rsidR="004C2B9F" w:rsidRPr="00285F16">
        <w:rPr>
          <w:rFonts w:ascii="Baskerville Old Face" w:hAnsi="Baskerville Old Face" w:cs="Times New Roman"/>
          <w:kern w:val="0"/>
          <w:sz w:val="24"/>
          <w:szCs w:val="24"/>
          <w:lang w:val="en-GB"/>
          <w14:ligatures w14:val="none"/>
        </w:rPr>
        <w:t>) recorded the highest increase</w:t>
      </w:r>
      <w:r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 xml:space="preserve"> followed by </w:t>
      </w:r>
      <w:r w:rsidR="004C2B9F" w:rsidRPr="00285F16">
        <w:rPr>
          <w:rFonts w:ascii="Baskerville Old Face" w:hAnsi="Baskerville Old Face" w:cs="Times New Roman"/>
          <w:kern w:val="0"/>
          <w:sz w:val="24"/>
          <w:szCs w:val="24"/>
          <w:lang w:val="en-GB"/>
          <w14:ligatures w14:val="none"/>
        </w:rPr>
        <w:lastRenderedPageBreak/>
        <w:t>products under Section 3</w:t>
      </w:r>
      <w:r w:rsidR="00E6406C" w:rsidRPr="00285F16">
        <w:rPr>
          <w:rFonts w:ascii="Baskerville Old Face" w:hAnsi="Baskerville Old Face" w:cs="Times New Roman"/>
          <w:kern w:val="0"/>
          <w:sz w:val="24"/>
          <w:szCs w:val="24"/>
          <w:lang w:val="en-GB"/>
          <w14:ligatures w14:val="none"/>
        </w:rPr>
        <w:t>.</w:t>
      </w:r>
      <w:r w:rsidR="004C2B9F"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kern w:val="0"/>
          <w:sz w:val="24"/>
          <w:szCs w:val="24"/>
          <w:lang w:val="en-GB"/>
          <w14:ligatures w14:val="none"/>
        </w:rPr>
        <w:t>Machinery and Transport Equipment (Section 7) constituted the highest value in non-dutiable imports at 26.</w:t>
      </w:r>
      <w:r w:rsidR="004C7309">
        <w:rPr>
          <w:rFonts w:ascii="Baskerville Old Face" w:hAnsi="Baskerville Old Face" w:cs="Times New Roman"/>
          <w:kern w:val="0"/>
          <w:sz w:val="24"/>
          <w:szCs w:val="24"/>
          <w:lang w:val="en-GB"/>
          <w14:ligatures w14:val="none"/>
        </w:rPr>
        <w:t>5</w:t>
      </w:r>
      <w:r w:rsidRPr="00285F16">
        <w:rPr>
          <w:rFonts w:ascii="Baskerville Old Face" w:hAnsi="Baskerville Old Face" w:cs="Times New Roman"/>
          <w:kern w:val="0"/>
          <w:sz w:val="24"/>
          <w:szCs w:val="24"/>
          <w:lang w:val="en-GB"/>
          <w14:ligatures w14:val="none"/>
        </w:rPr>
        <w:t>% in 2023</w:t>
      </w:r>
      <w:r w:rsidR="004C2B9F" w:rsidRPr="00285F16">
        <w:rPr>
          <w:rFonts w:ascii="Baskerville Old Face" w:hAnsi="Baskerville Old Face" w:cs="Times New Roman"/>
          <w:kern w:val="0"/>
          <w:sz w:val="24"/>
          <w:szCs w:val="24"/>
          <w:lang w:val="en-GB"/>
          <w14:ligatures w14:val="none"/>
        </w:rPr>
        <w:t xml:space="preserve">, followed by products under Section </w:t>
      </w:r>
      <w:r w:rsidR="00E6406C" w:rsidRPr="00285F16">
        <w:rPr>
          <w:rFonts w:ascii="Baskerville Old Face" w:hAnsi="Baskerville Old Face" w:cs="Times New Roman"/>
          <w:kern w:val="0"/>
          <w:sz w:val="24"/>
          <w:szCs w:val="24"/>
          <w:lang w:val="en-GB"/>
          <w14:ligatures w14:val="none"/>
        </w:rPr>
        <w:t>8</w:t>
      </w:r>
      <w:r w:rsidR="004C2B9F" w:rsidRPr="00285F16">
        <w:rPr>
          <w:rFonts w:ascii="Baskerville Old Face" w:hAnsi="Baskerville Old Face" w:cs="Times New Roman"/>
          <w:kern w:val="0"/>
          <w:sz w:val="24"/>
          <w:szCs w:val="24"/>
          <w:lang w:val="en-GB"/>
          <w14:ligatures w14:val="none"/>
        </w:rPr>
        <w:t xml:space="preserve"> (</w:t>
      </w:r>
      <w:r w:rsidR="00E6406C" w:rsidRPr="00285F16">
        <w:rPr>
          <w:rFonts w:ascii="Baskerville Old Face" w:hAnsi="Baskerville Old Face" w:cs="Times New Roman"/>
          <w:kern w:val="0"/>
          <w:sz w:val="24"/>
          <w:szCs w:val="24"/>
          <w:lang w:val="en-GB"/>
          <w14:ligatures w14:val="none"/>
        </w:rPr>
        <w:t>22</w:t>
      </w:r>
      <w:r w:rsidR="004C2B9F" w:rsidRPr="00285F16">
        <w:rPr>
          <w:rFonts w:ascii="Baskerville Old Face" w:hAnsi="Baskerville Old Face" w:cs="Times New Roman"/>
          <w:kern w:val="0"/>
          <w:sz w:val="24"/>
          <w:szCs w:val="24"/>
          <w:lang w:val="en-GB"/>
          <w14:ligatures w14:val="none"/>
        </w:rPr>
        <w:t>.</w:t>
      </w:r>
      <w:r w:rsidR="004C7309">
        <w:rPr>
          <w:rFonts w:ascii="Baskerville Old Face" w:hAnsi="Baskerville Old Face" w:cs="Times New Roman"/>
          <w:kern w:val="0"/>
          <w:sz w:val="24"/>
          <w:szCs w:val="24"/>
          <w:lang w:val="en-GB"/>
          <w14:ligatures w14:val="none"/>
        </w:rPr>
        <w:t>3</w:t>
      </w:r>
      <w:r w:rsidR="004C2B9F" w:rsidRPr="00285F16">
        <w:rPr>
          <w:rFonts w:ascii="Baskerville Old Face" w:hAnsi="Baskerville Old Face" w:cs="Times New Roman"/>
          <w:kern w:val="0"/>
          <w:sz w:val="24"/>
          <w:szCs w:val="24"/>
          <w:lang w:val="en-GB"/>
          <w14:ligatures w14:val="none"/>
        </w:rPr>
        <w:t xml:space="preserve">%) and Section </w:t>
      </w:r>
      <w:r w:rsidR="00E6406C" w:rsidRPr="00285F16">
        <w:rPr>
          <w:rFonts w:ascii="Baskerville Old Face" w:hAnsi="Baskerville Old Face" w:cs="Times New Roman"/>
          <w:kern w:val="0"/>
          <w:sz w:val="24"/>
          <w:szCs w:val="24"/>
          <w:lang w:val="en-GB"/>
          <w14:ligatures w14:val="none"/>
        </w:rPr>
        <w:t>5</w:t>
      </w:r>
      <w:r w:rsidR="004C2B9F" w:rsidRPr="00285F16">
        <w:rPr>
          <w:rFonts w:ascii="Baskerville Old Face" w:hAnsi="Baskerville Old Face" w:cs="Times New Roman"/>
          <w:kern w:val="0"/>
          <w:sz w:val="24"/>
          <w:szCs w:val="24"/>
          <w:lang w:val="en-GB"/>
          <w14:ligatures w14:val="none"/>
        </w:rPr>
        <w:t xml:space="preserve"> (1</w:t>
      </w:r>
      <w:r w:rsidR="00E6406C" w:rsidRPr="00285F16">
        <w:rPr>
          <w:rFonts w:ascii="Baskerville Old Face" w:hAnsi="Baskerville Old Face" w:cs="Times New Roman"/>
          <w:kern w:val="0"/>
          <w:sz w:val="24"/>
          <w:szCs w:val="24"/>
          <w:lang w:val="en-GB"/>
          <w14:ligatures w14:val="none"/>
        </w:rPr>
        <w:t>7</w:t>
      </w:r>
      <w:r w:rsidR="004C2B9F" w:rsidRPr="00285F16">
        <w:rPr>
          <w:rFonts w:ascii="Baskerville Old Face" w:hAnsi="Baskerville Old Face" w:cs="Times New Roman"/>
          <w:kern w:val="0"/>
          <w:sz w:val="24"/>
          <w:szCs w:val="24"/>
          <w:lang w:val="en-GB"/>
          <w14:ligatures w14:val="none"/>
        </w:rPr>
        <w:t>.</w:t>
      </w:r>
      <w:r w:rsidR="004C7309">
        <w:rPr>
          <w:rFonts w:ascii="Baskerville Old Face" w:hAnsi="Baskerville Old Face" w:cs="Times New Roman"/>
          <w:kern w:val="0"/>
          <w:sz w:val="24"/>
          <w:szCs w:val="24"/>
          <w:lang w:val="en-GB"/>
          <w14:ligatures w14:val="none"/>
        </w:rPr>
        <w:t>2</w:t>
      </w:r>
      <w:r w:rsidR="004C2B9F" w:rsidRPr="00285F16">
        <w:rPr>
          <w:rFonts w:ascii="Baskerville Old Face" w:hAnsi="Baskerville Old Face" w:cs="Times New Roman"/>
          <w:kern w:val="0"/>
          <w:sz w:val="24"/>
          <w:szCs w:val="24"/>
          <w:lang w:val="en-GB"/>
          <w14:ligatures w14:val="none"/>
        </w:rPr>
        <w:t xml:space="preserve">%) respectively.  </w:t>
      </w:r>
    </w:p>
    <w:p w14:paraId="587C26BC" w14:textId="277CCA17" w:rsidR="00413330" w:rsidRPr="00285F16" w:rsidRDefault="00413330" w:rsidP="00413330">
      <w:pPr>
        <w:spacing w:line="240" w:lineRule="auto"/>
        <w:rPr>
          <w:rFonts w:ascii="Baskerville Old Face" w:hAnsi="Baskerville Old Face" w:cs="Times New Roman"/>
          <w:b/>
          <w:bCs/>
          <w:i/>
          <w:iCs/>
          <w:kern w:val="0"/>
          <w:sz w:val="24"/>
          <w:szCs w:val="24"/>
          <w:lang w:val="en-GB"/>
          <w14:ligatures w14:val="none"/>
        </w:rPr>
      </w:pPr>
      <w:bookmarkStart w:id="101" w:name="Table25"/>
      <w:r w:rsidRPr="00CE5583">
        <w:rPr>
          <w:rFonts w:ascii="Baskerville Old Face" w:hAnsi="Baskerville Old Face" w:cs="Times New Roman"/>
          <w:b/>
          <w:bCs/>
          <w:i/>
          <w:iCs/>
          <w:kern w:val="0"/>
          <w:sz w:val="24"/>
          <w:szCs w:val="24"/>
          <w:lang w:val="en-GB"/>
          <w14:ligatures w14:val="none"/>
        </w:rPr>
        <w:t xml:space="preserve">Table </w:t>
      </w:r>
      <w:r w:rsidR="00F7531C">
        <w:rPr>
          <w:rFonts w:ascii="Baskerville Old Face" w:hAnsi="Baskerville Old Face" w:cs="Times New Roman"/>
          <w:b/>
          <w:bCs/>
          <w:i/>
          <w:iCs/>
          <w:kern w:val="0"/>
          <w:sz w:val="24"/>
          <w:szCs w:val="24"/>
          <w:lang w:val="en-GB"/>
          <w14:ligatures w14:val="none"/>
        </w:rPr>
        <w:t>2</w:t>
      </w:r>
      <w:r w:rsidR="00AC611D">
        <w:rPr>
          <w:rFonts w:ascii="Baskerville Old Face" w:hAnsi="Baskerville Old Face" w:cs="Times New Roman"/>
          <w:b/>
          <w:bCs/>
          <w:i/>
          <w:iCs/>
          <w:kern w:val="0"/>
          <w:sz w:val="24"/>
          <w:szCs w:val="24"/>
          <w:lang w:val="en-GB"/>
          <w14:ligatures w14:val="none"/>
        </w:rPr>
        <w:t>5</w:t>
      </w:r>
      <w:r w:rsidRPr="00285F16">
        <w:rPr>
          <w:rFonts w:ascii="Baskerville Old Face" w:hAnsi="Baskerville Old Face" w:cs="Times New Roman"/>
          <w:b/>
          <w:bCs/>
          <w:i/>
          <w:iCs/>
          <w:kern w:val="0"/>
          <w:sz w:val="24"/>
          <w:szCs w:val="24"/>
          <w:lang w:val="en-GB"/>
          <w14:ligatures w14:val="none"/>
        </w:rPr>
        <w:t xml:space="preserve">: Non-Dutiable Imports CIF </w:t>
      </w:r>
      <w:r w:rsidR="00BE132F" w:rsidRPr="00285F16">
        <w:rPr>
          <w:rFonts w:ascii="Baskerville Old Face" w:hAnsi="Baskerville Old Face" w:cs="Times New Roman"/>
          <w:b/>
          <w:bCs/>
          <w:i/>
          <w:iCs/>
          <w:kern w:val="0"/>
          <w:sz w:val="24"/>
          <w:szCs w:val="24"/>
          <w:lang w:val="en-GB"/>
          <w14:ligatures w14:val="none"/>
        </w:rPr>
        <w:t xml:space="preserve">Value </w:t>
      </w:r>
      <w:r w:rsidRPr="00285F16">
        <w:rPr>
          <w:rFonts w:ascii="Baskerville Old Face" w:hAnsi="Baskerville Old Face" w:cs="Times New Roman"/>
          <w:b/>
          <w:bCs/>
          <w:i/>
          <w:iCs/>
          <w:kern w:val="0"/>
          <w:sz w:val="24"/>
          <w:szCs w:val="24"/>
          <w:lang w:val="en-GB"/>
          <w14:ligatures w14:val="none"/>
        </w:rPr>
        <w:t>202</w:t>
      </w:r>
      <w:r w:rsidR="00A9006F">
        <w:rPr>
          <w:rFonts w:ascii="Baskerville Old Face" w:hAnsi="Baskerville Old Face" w:cs="Times New Roman"/>
          <w:b/>
          <w:bCs/>
          <w:i/>
          <w:iCs/>
          <w:kern w:val="0"/>
          <w:sz w:val="24"/>
          <w:szCs w:val="24"/>
          <w:lang w:val="en-GB"/>
          <w14:ligatures w14:val="none"/>
        </w:rPr>
        <w:t>3</w:t>
      </w:r>
      <w:r w:rsidRPr="00285F16">
        <w:rPr>
          <w:rFonts w:ascii="Baskerville Old Face" w:hAnsi="Baskerville Old Face" w:cs="Times New Roman"/>
          <w:b/>
          <w:bCs/>
          <w:i/>
          <w:iCs/>
          <w:kern w:val="0"/>
          <w:sz w:val="24"/>
          <w:szCs w:val="24"/>
          <w:lang w:val="en-GB"/>
          <w14:ligatures w14:val="none"/>
        </w:rPr>
        <w:t xml:space="preserve"> and 202</w:t>
      </w:r>
      <w:r w:rsidR="00A9006F">
        <w:rPr>
          <w:rFonts w:ascii="Baskerville Old Face" w:hAnsi="Baskerville Old Face" w:cs="Times New Roman"/>
          <w:b/>
          <w:bCs/>
          <w:i/>
          <w:iCs/>
          <w:kern w:val="0"/>
          <w:sz w:val="24"/>
          <w:szCs w:val="24"/>
          <w:lang w:val="en-GB"/>
          <w14:ligatures w14:val="none"/>
        </w:rPr>
        <w:t>2</w:t>
      </w:r>
      <w:r w:rsidRPr="00285F16">
        <w:rPr>
          <w:rFonts w:ascii="Baskerville Old Face" w:hAnsi="Baskerville Old Face" w:cs="Times New Roman"/>
          <w:b/>
          <w:bCs/>
          <w:i/>
          <w:iCs/>
          <w:kern w:val="0"/>
          <w:sz w:val="24"/>
          <w:szCs w:val="24"/>
          <w:lang w:val="en-GB"/>
          <w14:ligatures w14:val="none"/>
        </w:rPr>
        <w:t xml:space="preserve"> (NLe)</w:t>
      </w:r>
    </w:p>
    <w:tbl>
      <w:tblPr>
        <w:tblStyle w:val="GridTable4-Accent6"/>
        <w:tblW w:w="10495" w:type="dxa"/>
        <w:tblLook w:val="04A0" w:firstRow="1" w:lastRow="0" w:firstColumn="1" w:lastColumn="0" w:noHBand="0" w:noVBand="1"/>
      </w:tblPr>
      <w:tblGrid>
        <w:gridCol w:w="4495"/>
        <w:gridCol w:w="1457"/>
        <w:gridCol w:w="1710"/>
        <w:gridCol w:w="1573"/>
        <w:gridCol w:w="1260"/>
      </w:tblGrid>
      <w:tr w:rsidR="00F5379C" w:rsidRPr="00AB3D99" w14:paraId="461BAB1F" w14:textId="77777777" w:rsidTr="00F5379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bookmarkEnd w:id="101"/>
          <w:p w14:paraId="3C66F9A8" w14:textId="77777777" w:rsidR="00F5379C" w:rsidRPr="00AB3D99" w:rsidRDefault="00F5379C" w:rsidP="00F5379C">
            <w:pPr>
              <w:spacing w:line="276" w:lineRule="auto"/>
              <w:jc w:val="both"/>
              <w:rPr>
                <w:rFonts w:ascii="Baskerville Old Face" w:hAnsi="Baskerville Old Face" w:cs="Times New Roman"/>
                <w:color w:val="auto"/>
              </w:rPr>
            </w:pPr>
            <w:r w:rsidRPr="00AB3D99">
              <w:rPr>
                <w:rFonts w:ascii="Baskerville Old Face" w:hAnsi="Baskerville Old Face" w:cs="Times New Roman"/>
                <w:color w:val="auto"/>
                <w:lang w:val="en-GB"/>
              </w:rPr>
              <w:t> SITC CATEGORY</w:t>
            </w:r>
          </w:p>
        </w:tc>
        <w:tc>
          <w:tcPr>
            <w:tcW w:w="1457" w:type="dxa"/>
            <w:noWrap/>
            <w:hideMark/>
          </w:tcPr>
          <w:p w14:paraId="5584823D" w14:textId="77777777"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2022</w:t>
            </w:r>
          </w:p>
        </w:tc>
        <w:tc>
          <w:tcPr>
            <w:tcW w:w="1710" w:type="dxa"/>
            <w:noWrap/>
            <w:hideMark/>
          </w:tcPr>
          <w:p w14:paraId="578540B1" w14:textId="77777777"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rPr>
              <w:t>2023</w:t>
            </w:r>
          </w:p>
        </w:tc>
        <w:tc>
          <w:tcPr>
            <w:tcW w:w="1573" w:type="dxa"/>
            <w:noWrap/>
            <w:hideMark/>
          </w:tcPr>
          <w:p w14:paraId="2E0F9AAC" w14:textId="24B926F9"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Pr>
                <w:rFonts w:ascii="Baskerville Old Face" w:hAnsi="Baskerville Old Face" w:cs="Times New Roman"/>
                <w:color w:val="auto"/>
                <w:lang w:val="en-GB"/>
              </w:rPr>
              <w:t>VARIANCE</w:t>
            </w:r>
          </w:p>
        </w:tc>
        <w:tc>
          <w:tcPr>
            <w:tcW w:w="1260" w:type="dxa"/>
            <w:noWrap/>
            <w:hideMark/>
          </w:tcPr>
          <w:p w14:paraId="27AD8031" w14:textId="4EA6F108" w:rsidR="00F5379C" w:rsidRPr="00AB3D99" w:rsidRDefault="00F5379C" w:rsidP="00F5379C">
            <w:pPr>
              <w:spacing w:line="276"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 xml:space="preserve">% </w:t>
            </w:r>
            <w:r>
              <w:rPr>
                <w:rFonts w:ascii="Baskerville Old Face" w:hAnsi="Baskerville Old Face" w:cs="Times New Roman"/>
                <w:color w:val="auto"/>
                <w:lang w:val="en-GB"/>
              </w:rPr>
              <w:t xml:space="preserve">VAR </w:t>
            </w:r>
          </w:p>
        </w:tc>
      </w:tr>
      <w:tr w:rsidR="00413330" w:rsidRPr="00AB3D99" w14:paraId="2B0353D3"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E809D81"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1B - TOBACCO</w:t>
            </w:r>
          </w:p>
        </w:tc>
        <w:tc>
          <w:tcPr>
            <w:tcW w:w="1457" w:type="dxa"/>
            <w:noWrap/>
            <w:hideMark/>
          </w:tcPr>
          <w:p w14:paraId="17271E28"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1,946,682</w:t>
            </w:r>
          </w:p>
        </w:tc>
        <w:tc>
          <w:tcPr>
            <w:tcW w:w="1710" w:type="dxa"/>
            <w:noWrap/>
            <w:hideMark/>
          </w:tcPr>
          <w:p w14:paraId="52BC9229" w14:textId="494F5DBB"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61,878</w:t>
            </w:r>
          </w:p>
        </w:tc>
        <w:tc>
          <w:tcPr>
            <w:tcW w:w="1573" w:type="dxa"/>
            <w:noWrap/>
            <w:hideMark/>
          </w:tcPr>
          <w:p w14:paraId="2740207D"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-1,884,804</w:t>
            </w:r>
          </w:p>
        </w:tc>
        <w:tc>
          <w:tcPr>
            <w:tcW w:w="1260" w:type="dxa"/>
            <w:noWrap/>
            <w:hideMark/>
          </w:tcPr>
          <w:p w14:paraId="622B1CF8"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-96.82%</w:t>
            </w:r>
          </w:p>
        </w:tc>
      </w:tr>
      <w:tr w:rsidR="00413330" w:rsidRPr="00AB3D99" w14:paraId="1D137093"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9B3978D"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0 - FOOD AND LIVE ANIMALS</w:t>
            </w:r>
          </w:p>
        </w:tc>
        <w:tc>
          <w:tcPr>
            <w:tcW w:w="1457" w:type="dxa"/>
            <w:noWrap/>
            <w:hideMark/>
          </w:tcPr>
          <w:p w14:paraId="39C9C428"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231,117,854</w:t>
            </w:r>
          </w:p>
        </w:tc>
        <w:tc>
          <w:tcPr>
            <w:tcW w:w="1710" w:type="dxa"/>
            <w:noWrap/>
            <w:hideMark/>
          </w:tcPr>
          <w:p w14:paraId="0C76F466" w14:textId="36F839A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346,577,692</w:t>
            </w:r>
          </w:p>
        </w:tc>
        <w:tc>
          <w:tcPr>
            <w:tcW w:w="1573" w:type="dxa"/>
            <w:noWrap/>
            <w:hideMark/>
          </w:tcPr>
          <w:p w14:paraId="4A8A939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115,459,838</w:t>
            </w:r>
          </w:p>
        </w:tc>
        <w:tc>
          <w:tcPr>
            <w:tcW w:w="1260" w:type="dxa"/>
            <w:noWrap/>
            <w:hideMark/>
          </w:tcPr>
          <w:p w14:paraId="414C0974"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49.96%</w:t>
            </w:r>
          </w:p>
        </w:tc>
      </w:tr>
      <w:tr w:rsidR="00413330" w:rsidRPr="00AB3D99" w14:paraId="172D2EEF"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DD26B2E"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7 - MACHINERY AND TRANSPORT EQUIPMENT</w:t>
            </w:r>
          </w:p>
        </w:tc>
        <w:tc>
          <w:tcPr>
            <w:tcW w:w="1457" w:type="dxa"/>
            <w:noWrap/>
            <w:hideMark/>
          </w:tcPr>
          <w:p w14:paraId="5C668AE4"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2,358,661,595</w:t>
            </w:r>
          </w:p>
        </w:tc>
        <w:tc>
          <w:tcPr>
            <w:tcW w:w="1710" w:type="dxa"/>
            <w:noWrap/>
            <w:hideMark/>
          </w:tcPr>
          <w:p w14:paraId="64EB3C18" w14:textId="28C2ED88"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2,094,592,801</w:t>
            </w:r>
          </w:p>
        </w:tc>
        <w:tc>
          <w:tcPr>
            <w:tcW w:w="1573" w:type="dxa"/>
            <w:noWrap/>
            <w:hideMark/>
          </w:tcPr>
          <w:p w14:paraId="2F6D5ACF"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-264,068,794</w:t>
            </w:r>
          </w:p>
        </w:tc>
        <w:tc>
          <w:tcPr>
            <w:tcW w:w="1260" w:type="dxa"/>
            <w:noWrap/>
            <w:hideMark/>
          </w:tcPr>
          <w:p w14:paraId="114174DE"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-11.20%</w:t>
            </w:r>
          </w:p>
        </w:tc>
      </w:tr>
      <w:tr w:rsidR="00413330" w:rsidRPr="00AB3D99" w14:paraId="6012EDE1"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B6E48D6"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8 - MISCELLANEOUS MANUFACTURED ARTICLES</w:t>
            </w:r>
          </w:p>
        </w:tc>
        <w:tc>
          <w:tcPr>
            <w:tcW w:w="1457" w:type="dxa"/>
            <w:noWrap/>
            <w:hideMark/>
          </w:tcPr>
          <w:p w14:paraId="10ED148F"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486,521,208</w:t>
            </w:r>
          </w:p>
        </w:tc>
        <w:tc>
          <w:tcPr>
            <w:tcW w:w="1710" w:type="dxa"/>
            <w:noWrap/>
            <w:hideMark/>
          </w:tcPr>
          <w:p w14:paraId="723A6B1E" w14:textId="709A0DBD"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1,760,376,42</w:t>
            </w:r>
            <w:r w:rsidR="007E0409">
              <w:rPr>
                <w:rFonts w:ascii="Baskerville Old Face" w:hAnsi="Baskerville Old Face" w:cs="Times New Roman"/>
              </w:rPr>
              <w:t>8</w:t>
            </w:r>
          </w:p>
        </w:tc>
        <w:tc>
          <w:tcPr>
            <w:tcW w:w="1573" w:type="dxa"/>
            <w:noWrap/>
            <w:hideMark/>
          </w:tcPr>
          <w:p w14:paraId="462C4E71"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1,273,855,220</w:t>
            </w:r>
          </w:p>
        </w:tc>
        <w:tc>
          <w:tcPr>
            <w:tcW w:w="1260" w:type="dxa"/>
            <w:noWrap/>
            <w:hideMark/>
          </w:tcPr>
          <w:p w14:paraId="2CCA184C"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261.83%</w:t>
            </w:r>
          </w:p>
        </w:tc>
      </w:tr>
      <w:tr w:rsidR="00413330" w:rsidRPr="00AB3D99" w14:paraId="0EAF609F"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513CBB83"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1A - BEVERAGES</w:t>
            </w:r>
          </w:p>
        </w:tc>
        <w:tc>
          <w:tcPr>
            <w:tcW w:w="1457" w:type="dxa"/>
            <w:noWrap/>
            <w:hideMark/>
          </w:tcPr>
          <w:p w14:paraId="21F26436"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77,703,177</w:t>
            </w:r>
          </w:p>
        </w:tc>
        <w:tc>
          <w:tcPr>
            <w:tcW w:w="1710" w:type="dxa"/>
            <w:noWrap/>
            <w:hideMark/>
          </w:tcPr>
          <w:p w14:paraId="6AFB3A5D" w14:textId="0A4A7DB3"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17,228,89</w:t>
            </w:r>
            <w:r w:rsidR="007E0409">
              <w:rPr>
                <w:rFonts w:ascii="Baskerville Old Face" w:hAnsi="Baskerville Old Face" w:cs="Times New Roman"/>
              </w:rPr>
              <w:t>3</w:t>
            </w:r>
          </w:p>
        </w:tc>
        <w:tc>
          <w:tcPr>
            <w:tcW w:w="1573" w:type="dxa"/>
            <w:noWrap/>
            <w:hideMark/>
          </w:tcPr>
          <w:p w14:paraId="42FAFE51"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-60,474,284</w:t>
            </w:r>
          </w:p>
        </w:tc>
        <w:tc>
          <w:tcPr>
            <w:tcW w:w="1260" w:type="dxa"/>
            <w:noWrap/>
            <w:hideMark/>
          </w:tcPr>
          <w:p w14:paraId="31FB3F12"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-77.83%</w:t>
            </w:r>
          </w:p>
        </w:tc>
      </w:tr>
      <w:tr w:rsidR="00413330" w:rsidRPr="00AB3D99" w14:paraId="17E69A09"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91A6762"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OTHER ITEMS</w:t>
            </w:r>
          </w:p>
        </w:tc>
        <w:tc>
          <w:tcPr>
            <w:tcW w:w="1457" w:type="dxa"/>
            <w:noWrap/>
            <w:hideMark/>
          </w:tcPr>
          <w:p w14:paraId="04FD2094"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39,411,345</w:t>
            </w:r>
          </w:p>
        </w:tc>
        <w:tc>
          <w:tcPr>
            <w:tcW w:w="1710" w:type="dxa"/>
            <w:noWrap/>
            <w:hideMark/>
          </w:tcPr>
          <w:p w14:paraId="7DD7788C" w14:textId="058F1D18"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31,714,711</w:t>
            </w:r>
          </w:p>
        </w:tc>
        <w:tc>
          <w:tcPr>
            <w:tcW w:w="1573" w:type="dxa"/>
            <w:noWrap/>
            <w:hideMark/>
          </w:tcPr>
          <w:p w14:paraId="4E38883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-7,696,634</w:t>
            </w:r>
          </w:p>
        </w:tc>
        <w:tc>
          <w:tcPr>
            <w:tcW w:w="1260" w:type="dxa"/>
            <w:noWrap/>
            <w:hideMark/>
          </w:tcPr>
          <w:p w14:paraId="69CDD16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-19.53%</w:t>
            </w:r>
          </w:p>
        </w:tc>
      </w:tr>
      <w:tr w:rsidR="00413330" w:rsidRPr="00AB3D99" w14:paraId="240C5C8A"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4B0014C"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4 - ANIMAL AND VEGETABLE OILS, FATS AND WAXES</w:t>
            </w:r>
          </w:p>
        </w:tc>
        <w:tc>
          <w:tcPr>
            <w:tcW w:w="1457" w:type="dxa"/>
            <w:noWrap/>
            <w:hideMark/>
          </w:tcPr>
          <w:p w14:paraId="6F2E72A9"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93,167,884</w:t>
            </w:r>
          </w:p>
        </w:tc>
        <w:tc>
          <w:tcPr>
            <w:tcW w:w="1710" w:type="dxa"/>
            <w:noWrap/>
            <w:hideMark/>
          </w:tcPr>
          <w:p w14:paraId="63F1A41F" w14:textId="556C3FC4"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177,782,90</w:t>
            </w:r>
            <w:r w:rsidR="007E0409">
              <w:rPr>
                <w:rFonts w:ascii="Baskerville Old Face" w:hAnsi="Baskerville Old Face" w:cs="Times New Roman"/>
              </w:rPr>
              <w:t>6</w:t>
            </w:r>
          </w:p>
        </w:tc>
        <w:tc>
          <w:tcPr>
            <w:tcW w:w="1573" w:type="dxa"/>
            <w:noWrap/>
            <w:hideMark/>
          </w:tcPr>
          <w:p w14:paraId="4832144D"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84,615,022</w:t>
            </w:r>
          </w:p>
        </w:tc>
        <w:tc>
          <w:tcPr>
            <w:tcW w:w="1260" w:type="dxa"/>
            <w:noWrap/>
            <w:hideMark/>
          </w:tcPr>
          <w:p w14:paraId="44419C0C"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90.82%</w:t>
            </w:r>
          </w:p>
        </w:tc>
      </w:tr>
      <w:tr w:rsidR="00413330" w:rsidRPr="00AB3D99" w14:paraId="673850A6"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946EE5B"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2 - CRUDE MATERIALS, INEDIBLE, EXCEPT FUELS</w:t>
            </w:r>
          </w:p>
        </w:tc>
        <w:tc>
          <w:tcPr>
            <w:tcW w:w="1457" w:type="dxa"/>
            <w:noWrap/>
            <w:hideMark/>
          </w:tcPr>
          <w:p w14:paraId="0132D2D5"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53,813,919</w:t>
            </w:r>
          </w:p>
        </w:tc>
        <w:tc>
          <w:tcPr>
            <w:tcW w:w="1710" w:type="dxa"/>
            <w:noWrap/>
            <w:hideMark/>
          </w:tcPr>
          <w:p w14:paraId="15CEEA95" w14:textId="6C5C4F6A"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104,144,73</w:t>
            </w:r>
            <w:r w:rsidR="007E0409">
              <w:rPr>
                <w:rFonts w:ascii="Baskerville Old Face" w:hAnsi="Baskerville Old Face" w:cs="Times New Roman"/>
              </w:rPr>
              <w:t>2</w:t>
            </w:r>
          </w:p>
        </w:tc>
        <w:tc>
          <w:tcPr>
            <w:tcW w:w="1573" w:type="dxa"/>
            <w:noWrap/>
            <w:hideMark/>
          </w:tcPr>
          <w:p w14:paraId="3E0A084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50,330,813</w:t>
            </w:r>
          </w:p>
        </w:tc>
        <w:tc>
          <w:tcPr>
            <w:tcW w:w="1260" w:type="dxa"/>
            <w:noWrap/>
            <w:hideMark/>
          </w:tcPr>
          <w:p w14:paraId="21EB9ED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93.53%</w:t>
            </w:r>
          </w:p>
        </w:tc>
      </w:tr>
      <w:tr w:rsidR="00413330" w:rsidRPr="00AB3D99" w14:paraId="542C3E29"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67AEE42"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6 - MANUFACTURED GOODS CLASSIFIED CHIEFLY BY MATERIAL</w:t>
            </w:r>
          </w:p>
        </w:tc>
        <w:tc>
          <w:tcPr>
            <w:tcW w:w="1457" w:type="dxa"/>
            <w:noWrap/>
            <w:hideMark/>
          </w:tcPr>
          <w:p w14:paraId="651340C7"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854,289,600</w:t>
            </w:r>
          </w:p>
        </w:tc>
        <w:tc>
          <w:tcPr>
            <w:tcW w:w="1710" w:type="dxa"/>
            <w:noWrap/>
            <w:hideMark/>
          </w:tcPr>
          <w:p w14:paraId="2EA8F43A" w14:textId="6FDC392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1,160,351,258</w:t>
            </w:r>
          </w:p>
        </w:tc>
        <w:tc>
          <w:tcPr>
            <w:tcW w:w="1573" w:type="dxa"/>
            <w:noWrap/>
            <w:hideMark/>
          </w:tcPr>
          <w:p w14:paraId="22AE180F"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306,061,658</w:t>
            </w:r>
          </w:p>
        </w:tc>
        <w:tc>
          <w:tcPr>
            <w:tcW w:w="1260" w:type="dxa"/>
            <w:noWrap/>
            <w:hideMark/>
          </w:tcPr>
          <w:p w14:paraId="0BDDB9C4"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35.83%</w:t>
            </w:r>
          </w:p>
        </w:tc>
      </w:tr>
      <w:tr w:rsidR="00413330" w:rsidRPr="00AB3D99" w14:paraId="347E14B3" w14:textId="77777777" w:rsidTr="00F5379C">
        <w:trPr>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4059A04F"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5 - CHEMICALS AND RELATED PRODUCTS, N.E.S.</w:t>
            </w:r>
          </w:p>
        </w:tc>
        <w:tc>
          <w:tcPr>
            <w:tcW w:w="1457" w:type="dxa"/>
            <w:noWrap/>
            <w:hideMark/>
          </w:tcPr>
          <w:p w14:paraId="4967C26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1,103,210,430</w:t>
            </w:r>
          </w:p>
        </w:tc>
        <w:tc>
          <w:tcPr>
            <w:tcW w:w="1710" w:type="dxa"/>
            <w:noWrap/>
            <w:hideMark/>
          </w:tcPr>
          <w:p w14:paraId="2C98C840" w14:textId="0CE5B795"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1,357,660,09</w:t>
            </w:r>
            <w:r w:rsidR="007E0409">
              <w:rPr>
                <w:rFonts w:ascii="Baskerville Old Face" w:hAnsi="Baskerville Old Face" w:cs="Times New Roman"/>
              </w:rPr>
              <w:t>4</w:t>
            </w:r>
          </w:p>
        </w:tc>
        <w:tc>
          <w:tcPr>
            <w:tcW w:w="1573" w:type="dxa"/>
            <w:noWrap/>
            <w:hideMark/>
          </w:tcPr>
          <w:p w14:paraId="7C46FDE3"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254,449,664</w:t>
            </w:r>
          </w:p>
        </w:tc>
        <w:tc>
          <w:tcPr>
            <w:tcW w:w="1260" w:type="dxa"/>
            <w:noWrap/>
            <w:hideMark/>
          </w:tcPr>
          <w:p w14:paraId="4A86E7F9"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23.06%</w:t>
            </w:r>
          </w:p>
        </w:tc>
      </w:tr>
      <w:tr w:rsidR="00413330" w:rsidRPr="00AB3D99" w14:paraId="0546DB96" w14:textId="77777777" w:rsidTr="00F5379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495" w:type="dxa"/>
            <w:noWrap/>
            <w:hideMark/>
          </w:tcPr>
          <w:p w14:paraId="63ECD750" w14:textId="77777777" w:rsidR="00413330" w:rsidRPr="00AB3D99" w:rsidRDefault="00413330" w:rsidP="00D7540C">
            <w:pPr>
              <w:spacing w:line="276" w:lineRule="auto"/>
              <w:rPr>
                <w:rFonts w:ascii="Baskerville Old Face" w:hAnsi="Baskerville Old Face" w:cs="Times New Roman"/>
                <w:b w:val="0"/>
                <w:bCs w:val="0"/>
              </w:rPr>
            </w:pPr>
            <w:r w:rsidRPr="00AB3D99">
              <w:rPr>
                <w:rFonts w:ascii="Baskerville Old Face" w:hAnsi="Baskerville Old Face" w:cs="Times New Roman"/>
                <w:b w:val="0"/>
                <w:bCs w:val="0"/>
                <w:lang w:val="en-GB"/>
              </w:rPr>
              <w:t>SECTION 3 - MINERAL FUELS, LUBRICANTS AND RELATED MATERIALS</w:t>
            </w:r>
          </w:p>
        </w:tc>
        <w:tc>
          <w:tcPr>
            <w:tcW w:w="1457" w:type="dxa"/>
            <w:noWrap/>
            <w:hideMark/>
          </w:tcPr>
          <w:p w14:paraId="100D126C"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274,953,760</w:t>
            </w:r>
          </w:p>
        </w:tc>
        <w:tc>
          <w:tcPr>
            <w:tcW w:w="1710" w:type="dxa"/>
            <w:noWrap/>
            <w:hideMark/>
          </w:tcPr>
          <w:p w14:paraId="60888476" w14:textId="02C3D9D6"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856,529,75</w:t>
            </w:r>
            <w:r w:rsidR="007E0409">
              <w:rPr>
                <w:rFonts w:ascii="Baskerville Old Face" w:hAnsi="Baskerville Old Face" w:cs="Times New Roman"/>
              </w:rPr>
              <w:t>7</w:t>
            </w:r>
          </w:p>
        </w:tc>
        <w:tc>
          <w:tcPr>
            <w:tcW w:w="1573" w:type="dxa"/>
            <w:noWrap/>
            <w:hideMark/>
          </w:tcPr>
          <w:p w14:paraId="704E8ACA"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581,575,997</w:t>
            </w:r>
          </w:p>
        </w:tc>
        <w:tc>
          <w:tcPr>
            <w:tcW w:w="1260" w:type="dxa"/>
            <w:noWrap/>
            <w:hideMark/>
          </w:tcPr>
          <w:p w14:paraId="102F651E" w14:textId="77777777" w:rsidR="00413330" w:rsidRPr="00AB3D99" w:rsidRDefault="00413330" w:rsidP="00D7540C">
            <w:pPr>
              <w:spacing w:line="276"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211.52%</w:t>
            </w:r>
          </w:p>
        </w:tc>
      </w:tr>
      <w:tr w:rsidR="00413330" w:rsidRPr="00AB3D99" w14:paraId="68EF2C8E" w14:textId="77777777" w:rsidTr="00F5379C">
        <w:trPr>
          <w:trHeight w:val="288"/>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A62B900" w14:textId="77777777" w:rsidR="00413330" w:rsidRPr="00AB3D99" w:rsidRDefault="00413330" w:rsidP="00D7540C">
            <w:pPr>
              <w:spacing w:line="276" w:lineRule="auto"/>
              <w:rPr>
                <w:rFonts w:ascii="Baskerville Old Face" w:hAnsi="Baskerville Old Face" w:cs="Times New Roman"/>
              </w:rPr>
            </w:pPr>
            <w:r w:rsidRPr="00AB3D99">
              <w:rPr>
                <w:rFonts w:ascii="Baskerville Old Face" w:hAnsi="Baskerville Old Face" w:cs="Times New Roman"/>
                <w:lang w:val="en-GB"/>
              </w:rPr>
              <w:t>TOTAL</w:t>
            </w:r>
          </w:p>
        </w:tc>
        <w:tc>
          <w:tcPr>
            <w:tcW w:w="1457" w:type="dxa"/>
            <w:noWrap/>
            <w:hideMark/>
          </w:tcPr>
          <w:p w14:paraId="085FEEA0"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5,574,797,454</w:t>
            </w:r>
          </w:p>
        </w:tc>
        <w:tc>
          <w:tcPr>
            <w:tcW w:w="1710" w:type="dxa"/>
            <w:noWrap/>
            <w:hideMark/>
          </w:tcPr>
          <w:p w14:paraId="63521763"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rPr>
              <w:t>7,907,021,149</w:t>
            </w:r>
          </w:p>
        </w:tc>
        <w:tc>
          <w:tcPr>
            <w:tcW w:w="1573" w:type="dxa"/>
            <w:noWrap/>
            <w:hideMark/>
          </w:tcPr>
          <w:p w14:paraId="5F5811B2"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2,332,223,695</w:t>
            </w:r>
          </w:p>
        </w:tc>
        <w:tc>
          <w:tcPr>
            <w:tcW w:w="1260" w:type="dxa"/>
            <w:noWrap/>
            <w:hideMark/>
          </w:tcPr>
          <w:p w14:paraId="50ABC69C" w14:textId="77777777" w:rsidR="00413330" w:rsidRPr="00AB3D99" w:rsidRDefault="00413330" w:rsidP="00D7540C">
            <w:pPr>
              <w:spacing w:line="276"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41.84%</w:t>
            </w:r>
          </w:p>
        </w:tc>
      </w:tr>
    </w:tbl>
    <w:p w14:paraId="6144BEDD" w14:textId="77777777" w:rsidR="00413330" w:rsidRPr="00F774FD" w:rsidRDefault="00413330" w:rsidP="00413330">
      <w:pPr>
        <w:spacing w:line="360" w:lineRule="auto"/>
        <w:jc w:val="both"/>
        <w:rPr>
          <w:rFonts w:ascii="Baskerville Old Face" w:hAnsi="Baskerville Old Face" w:cs="Times New Roman"/>
          <w:kern w:val="0"/>
          <w:sz w:val="18"/>
          <w:szCs w:val="18"/>
          <w:lang w:val="en-GB"/>
          <w14:ligatures w14:val="none"/>
        </w:rPr>
      </w:pPr>
      <w:r w:rsidRPr="00F774FD">
        <w:rPr>
          <w:rFonts w:ascii="Baskerville Old Face" w:hAnsi="Baskerville Old Face" w:cs="Times New Roman"/>
          <w:i/>
          <w:iCs/>
          <w:kern w:val="0"/>
          <w:sz w:val="18"/>
          <w:szCs w:val="18"/>
          <w:lang w:val="en-GB"/>
          <w14:ligatures w14:val="none"/>
        </w:rPr>
        <w:t>Source: ASYCUDA World</w:t>
      </w:r>
      <w:r w:rsidRPr="00F774FD">
        <w:rPr>
          <w:rFonts w:ascii="Baskerville Old Face" w:hAnsi="Baskerville Old Face" w:cs="Times New Roman"/>
          <w:kern w:val="0"/>
          <w:sz w:val="18"/>
          <w:szCs w:val="18"/>
          <w:lang w:val="en-GB"/>
          <w14:ligatures w14:val="none"/>
        </w:rPr>
        <w:t xml:space="preserve"> </w:t>
      </w:r>
    </w:p>
    <w:p w14:paraId="0C66E3F2" w14:textId="304849A9" w:rsidR="00D85BB5" w:rsidRDefault="001C035F" w:rsidP="00CB7556">
      <w:pPr>
        <w:spacing w:line="360" w:lineRule="auto"/>
        <w:jc w:val="both"/>
        <w:rPr>
          <w:rFonts w:ascii="Baskerville Old Face" w:hAnsi="Baskerville Old Face" w:cs="Times New Roman"/>
          <w:kern w:val="0"/>
          <w:sz w:val="24"/>
          <w:szCs w:val="24"/>
          <w:lang w:val="en-GB"/>
          <w14:ligatures w14:val="none"/>
        </w:rPr>
      </w:pPr>
      <w:r w:rsidRPr="004C7309">
        <w:rPr>
          <w:rFonts w:ascii="Baskerville Old Face" w:hAnsi="Baskerville Old Face" w:cs="Times New Roman"/>
          <w:kern w:val="0"/>
          <w:sz w:val="24"/>
          <w:szCs w:val="24"/>
          <w:lang w:val="en-GB"/>
          <w14:ligatures w14:val="none"/>
        </w:rPr>
        <w:t xml:space="preserve">Table </w:t>
      </w:r>
      <w:r w:rsidR="004C7309">
        <w:rPr>
          <w:rFonts w:ascii="Baskerville Old Face" w:hAnsi="Baskerville Old Face" w:cs="Times New Roman"/>
          <w:kern w:val="0"/>
          <w:sz w:val="24"/>
          <w:szCs w:val="24"/>
          <w:lang w:val="en-GB"/>
          <w14:ligatures w14:val="none"/>
        </w:rPr>
        <w:t>2</w:t>
      </w:r>
      <w:r w:rsidR="00AC611D">
        <w:rPr>
          <w:rFonts w:ascii="Baskerville Old Face" w:hAnsi="Baskerville Old Face" w:cs="Times New Roman"/>
          <w:kern w:val="0"/>
          <w:sz w:val="24"/>
          <w:szCs w:val="24"/>
          <w:lang w:val="en-GB"/>
          <w14:ligatures w14:val="none"/>
        </w:rPr>
        <w:t>6</w:t>
      </w:r>
      <w:r w:rsidRPr="00285F16">
        <w:rPr>
          <w:rFonts w:ascii="Baskerville Old Face" w:hAnsi="Baskerville Old Face" w:cs="Times New Roman"/>
          <w:kern w:val="0"/>
          <w:sz w:val="24"/>
          <w:szCs w:val="24"/>
          <w:lang w:val="en-GB"/>
          <w14:ligatures w14:val="none"/>
        </w:rPr>
        <w:t xml:space="preserve"> provides a</w:t>
      </w:r>
      <w:r w:rsidR="00FD2ED7" w:rsidRPr="00285F16">
        <w:rPr>
          <w:rFonts w:ascii="Baskerville Old Face" w:hAnsi="Baskerville Old Face" w:cs="Times New Roman"/>
          <w:kern w:val="0"/>
          <w:sz w:val="24"/>
          <w:szCs w:val="24"/>
          <w:lang w:val="en-GB"/>
          <w14:ligatures w14:val="none"/>
        </w:rPr>
        <w:t xml:space="preserve">n </w:t>
      </w:r>
      <w:r w:rsidRPr="00285F16">
        <w:rPr>
          <w:rFonts w:ascii="Baskerville Old Face" w:hAnsi="Baskerville Old Face" w:cs="Times New Roman"/>
          <w:kern w:val="0"/>
          <w:sz w:val="24"/>
          <w:szCs w:val="24"/>
          <w:lang w:val="en-GB"/>
          <w14:ligatures w14:val="none"/>
        </w:rPr>
        <w:t xml:space="preserve">overview of the top ten exporting countries to Sierra Leone based on CIF value. Notably, among the top ten exporters to Sierra Leone in 2022, Senegal has been replaced by the Republic of South Africa in 2023. </w:t>
      </w:r>
      <w:r w:rsidR="00954D2E" w:rsidRPr="00285F16">
        <w:rPr>
          <w:rFonts w:ascii="Baskerville Old Face" w:hAnsi="Baskerville Old Face" w:cs="Times New Roman"/>
          <w:kern w:val="0"/>
          <w:sz w:val="24"/>
          <w:szCs w:val="24"/>
          <w:lang w:val="en-GB"/>
          <w14:ligatures w14:val="none"/>
        </w:rPr>
        <w:t xml:space="preserve"> The top ten exporting countries to Sierra Leone in 202</w:t>
      </w:r>
      <w:r w:rsidR="00557244" w:rsidRPr="00285F16">
        <w:rPr>
          <w:rFonts w:ascii="Baskerville Old Face" w:hAnsi="Baskerville Old Face" w:cs="Times New Roman"/>
          <w:kern w:val="0"/>
          <w:sz w:val="24"/>
          <w:szCs w:val="24"/>
          <w:lang w:val="en-GB"/>
          <w14:ligatures w14:val="none"/>
        </w:rPr>
        <w:t>2</w:t>
      </w:r>
      <w:r w:rsidR="00954D2E" w:rsidRPr="00285F16">
        <w:rPr>
          <w:rFonts w:ascii="Baskerville Old Face" w:hAnsi="Baskerville Old Face" w:cs="Times New Roman"/>
          <w:kern w:val="0"/>
          <w:sz w:val="24"/>
          <w:szCs w:val="24"/>
          <w:lang w:val="en-GB"/>
          <w14:ligatures w14:val="none"/>
        </w:rPr>
        <w:t xml:space="preserve"> accounted for </w:t>
      </w:r>
      <w:r w:rsidR="00557244" w:rsidRPr="00285F16">
        <w:rPr>
          <w:rFonts w:ascii="Baskerville Old Face" w:hAnsi="Baskerville Old Face" w:cs="Times New Roman"/>
          <w:kern w:val="0"/>
          <w:sz w:val="24"/>
          <w:szCs w:val="24"/>
          <w:lang w:val="en-GB"/>
          <w14:ligatures w14:val="none"/>
        </w:rPr>
        <w:t>78</w:t>
      </w:r>
      <w:r w:rsidR="00954D2E" w:rsidRPr="00285F16">
        <w:rPr>
          <w:rFonts w:ascii="Baskerville Old Face" w:hAnsi="Baskerville Old Face" w:cs="Times New Roman"/>
          <w:kern w:val="0"/>
          <w:sz w:val="24"/>
          <w:szCs w:val="24"/>
          <w:lang w:val="en-GB"/>
          <w14:ligatures w14:val="none"/>
        </w:rPr>
        <w:t>.</w:t>
      </w:r>
      <w:r w:rsidR="004C7309">
        <w:rPr>
          <w:rFonts w:ascii="Baskerville Old Face" w:hAnsi="Baskerville Old Face" w:cs="Times New Roman"/>
          <w:kern w:val="0"/>
          <w:sz w:val="24"/>
          <w:szCs w:val="24"/>
          <w:lang w:val="en-GB"/>
          <w14:ligatures w14:val="none"/>
        </w:rPr>
        <w:t>1</w:t>
      </w:r>
      <w:r w:rsidR="00954D2E" w:rsidRPr="00285F16">
        <w:rPr>
          <w:rFonts w:ascii="Baskerville Old Face" w:hAnsi="Baskerville Old Face" w:cs="Times New Roman"/>
          <w:kern w:val="0"/>
          <w:sz w:val="24"/>
          <w:szCs w:val="24"/>
          <w:lang w:val="en-GB"/>
          <w14:ligatures w14:val="none"/>
        </w:rPr>
        <w:t xml:space="preserve">% of Sierra Leones </w:t>
      </w:r>
      <w:r w:rsidR="00BC2087" w:rsidRPr="00285F16">
        <w:rPr>
          <w:rFonts w:ascii="Baskerville Old Face" w:hAnsi="Baskerville Old Face" w:cs="Times New Roman"/>
          <w:kern w:val="0"/>
          <w:sz w:val="24"/>
          <w:szCs w:val="24"/>
          <w:lang w:val="en-GB"/>
          <w14:ligatures w14:val="none"/>
        </w:rPr>
        <w:t xml:space="preserve">total </w:t>
      </w:r>
      <w:r w:rsidR="00954D2E" w:rsidRPr="00285F16">
        <w:rPr>
          <w:rFonts w:ascii="Baskerville Old Face" w:hAnsi="Baskerville Old Face" w:cs="Times New Roman"/>
          <w:kern w:val="0"/>
          <w:sz w:val="24"/>
          <w:szCs w:val="24"/>
          <w:lang w:val="en-GB"/>
          <w14:ligatures w14:val="none"/>
        </w:rPr>
        <w:t xml:space="preserve">imports compared to </w:t>
      </w:r>
      <w:r w:rsidR="00E216D2" w:rsidRPr="00285F16">
        <w:rPr>
          <w:rFonts w:ascii="Baskerville Old Face" w:hAnsi="Baskerville Old Face" w:cs="Times New Roman"/>
          <w:kern w:val="0"/>
          <w:sz w:val="24"/>
          <w:szCs w:val="24"/>
          <w:lang w:val="en-GB"/>
          <w14:ligatures w14:val="none"/>
        </w:rPr>
        <w:t>81</w:t>
      </w:r>
      <w:r w:rsidR="00954D2E" w:rsidRPr="00285F16">
        <w:rPr>
          <w:rFonts w:ascii="Baskerville Old Face" w:hAnsi="Baskerville Old Face" w:cs="Times New Roman"/>
          <w:kern w:val="0"/>
          <w:sz w:val="24"/>
          <w:szCs w:val="24"/>
          <w:lang w:val="en-GB"/>
          <w14:ligatures w14:val="none"/>
        </w:rPr>
        <w:t>.</w:t>
      </w:r>
      <w:r w:rsidR="00E216D2" w:rsidRPr="00285F16">
        <w:rPr>
          <w:rFonts w:ascii="Baskerville Old Face" w:hAnsi="Baskerville Old Face" w:cs="Times New Roman"/>
          <w:kern w:val="0"/>
          <w:sz w:val="24"/>
          <w:szCs w:val="24"/>
          <w:lang w:val="en-GB"/>
          <w14:ligatures w14:val="none"/>
        </w:rPr>
        <w:t>8</w:t>
      </w:r>
      <w:r w:rsidR="00954D2E" w:rsidRPr="00285F16">
        <w:rPr>
          <w:rFonts w:ascii="Baskerville Old Face" w:hAnsi="Baskerville Old Face" w:cs="Times New Roman"/>
          <w:kern w:val="0"/>
          <w:sz w:val="24"/>
          <w:szCs w:val="24"/>
          <w:lang w:val="en-GB"/>
          <w14:ligatures w14:val="none"/>
        </w:rPr>
        <w:t>% in 202</w:t>
      </w:r>
      <w:r w:rsidR="00E216D2" w:rsidRPr="00285F16">
        <w:rPr>
          <w:rFonts w:ascii="Baskerville Old Face" w:hAnsi="Baskerville Old Face" w:cs="Times New Roman"/>
          <w:kern w:val="0"/>
          <w:sz w:val="24"/>
          <w:szCs w:val="24"/>
          <w:lang w:val="en-GB"/>
          <w14:ligatures w14:val="none"/>
        </w:rPr>
        <w:t>3</w:t>
      </w:r>
      <w:r w:rsidR="00954D2E" w:rsidRPr="00285F16">
        <w:rPr>
          <w:rFonts w:ascii="Baskerville Old Face" w:hAnsi="Baskerville Old Face" w:cs="Times New Roman"/>
          <w:kern w:val="0"/>
          <w:sz w:val="24"/>
          <w:szCs w:val="24"/>
          <w:lang w:val="en-GB"/>
          <w14:ligatures w14:val="none"/>
        </w:rPr>
        <w:t xml:space="preserve">. </w:t>
      </w:r>
      <w:r w:rsidRPr="00285F16">
        <w:rPr>
          <w:rFonts w:ascii="Baskerville Old Face" w:hAnsi="Baskerville Old Face" w:cs="Times New Roman"/>
          <w:kern w:val="0"/>
          <w:sz w:val="24"/>
          <w:szCs w:val="24"/>
          <w:lang w:val="en-GB"/>
          <w14:ligatures w14:val="none"/>
        </w:rPr>
        <w:t>While Switzerland remains the predominant exporter to Sierra Leone in both 2022 and 2023, its primary export comprises petroleum products, distinguishing it from other exporting countries with a more diversified range of export products constituting a higher percentage of their total exports to Sierra Leone.</w:t>
      </w:r>
    </w:p>
    <w:p w14:paraId="457E6B7A" w14:textId="77777777" w:rsidR="00AC7B56" w:rsidRDefault="00AC7B56" w:rsidP="00CB7556">
      <w:pPr>
        <w:spacing w:line="360" w:lineRule="auto"/>
        <w:jc w:val="both"/>
        <w:rPr>
          <w:rFonts w:ascii="Baskerville Old Face" w:hAnsi="Baskerville Old Face" w:cs="Times New Roman"/>
          <w:kern w:val="0"/>
          <w:sz w:val="24"/>
          <w:szCs w:val="24"/>
          <w:lang w:val="en-GB"/>
          <w14:ligatures w14:val="none"/>
        </w:rPr>
      </w:pPr>
    </w:p>
    <w:p w14:paraId="0E4D7250" w14:textId="77777777" w:rsidR="00AC7B56" w:rsidRDefault="00AC7B56" w:rsidP="00CB7556">
      <w:pPr>
        <w:spacing w:line="360" w:lineRule="auto"/>
        <w:jc w:val="both"/>
        <w:rPr>
          <w:rFonts w:ascii="Baskerville Old Face" w:hAnsi="Baskerville Old Face" w:cs="Times New Roman"/>
          <w:kern w:val="0"/>
          <w:sz w:val="24"/>
          <w:szCs w:val="24"/>
          <w:lang w:val="en-GB"/>
          <w14:ligatures w14:val="none"/>
        </w:rPr>
      </w:pPr>
    </w:p>
    <w:p w14:paraId="17C683CF" w14:textId="5ED2CA48" w:rsidR="008D2DA5" w:rsidRPr="00285F16" w:rsidRDefault="00164AD1" w:rsidP="001C035F">
      <w:pPr>
        <w:spacing w:line="276" w:lineRule="auto"/>
        <w:jc w:val="both"/>
        <w:rPr>
          <w:rFonts w:ascii="Baskerville Old Face" w:hAnsi="Baskerville Old Face" w:cs="Times New Roman"/>
          <w:kern w:val="0"/>
          <w:sz w:val="24"/>
          <w:szCs w:val="24"/>
          <w:lang w:val="en-GB"/>
          <w14:ligatures w14:val="none"/>
        </w:rPr>
      </w:pPr>
      <w:bookmarkStart w:id="102" w:name="Table26"/>
      <w:r w:rsidRPr="004C7309">
        <w:rPr>
          <w:rFonts w:ascii="Baskerville Old Face" w:hAnsi="Baskerville Old Face" w:cs="Times New Roman"/>
          <w:b/>
          <w:bCs/>
          <w:i/>
          <w:iCs/>
          <w:kern w:val="0"/>
          <w:sz w:val="24"/>
          <w:szCs w:val="24"/>
          <w:lang w:val="en-GB"/>
          <w14:ligatures w14:val="none"/>
        </w:rPr>
        <w:lastRenderedPageBreak/>
        <w:t xml:space="preserve">Table </w:t>
      </w:r>
      <w:r w:rsidR="004C7309">
        <w:rPr>
          <w:rFonts w:ascii="Baskerville Old Face" w:hAnsi="Baskerville Old Face" w:cs="Times New Roman"/>
          <w:b/>
          <w:bCs/>
          <w:i/>
          <w:iCs/>
          <w:kern w:val="0"/>
          <w:sz w:val="24"/>
          <w:szCs w:val="24"/>
          <w:lang w:val="en-GB"/>
          <w14:ligatures w14:val="none"/>
        </w:rPr>
        <w:t>2</w:t>
      </w:r>
      <w:r w:rsidR="00AC611D">
        <w:rPr>
          <w:rFonts w:ascii="Baskerville Old Face" w:hAnsi="Baskerville Old Face" w:cs="Times New Roman"/>
          <w:b/>
          <w:bCs/>
          <w:i/>
          <w:iCs/>
          <w:kern w:val="0"/>
          <w:sz w:val="24"/>
          <w:szCs w:val="24"/>
          <w:lang w:val="en-GB"/>
          <w14:ligatures w14:val="none"/>
        </w:rPr>
        <w:t>6</w:t>
      </w:r>
      <w:r w:rsidRPr="00285F16">
        <w:rPr>
          <w:rFonts w:ascii="Baskerville Old Face" w:hAnsi="Baskerville Old Face" w:cs="Times New Roman"/>
          <w:b/>
          <w:bCs/>
          <w:i/>
          <w:iCs/>
          <w:kern w:val="0"/>
          <w:sz w:val="24"/>
          <w:szCs w:val="24"/>
          <w:lang w:val="en-GB"/>
          <w14:ligatures w14:val="none"/>
        </w:rPr>
        <w:t>: Major Imports Origin* 202</w:t>
      </w:r>
      <w:r w:rsidR="00A9006F">
        <w:rPr>
          <w:rFonts w:ascii="Baskerville Old Face" w:hAnsi="Baskerville Old Face" w:cs="Times New Roman"/>
          <w:b/>
          <w:bCs/>
          <w:i/>
          <w:iCs/>
          <w:kern w:val="0"/>
          <w:sz w:val="24"/>
          <w:szCs w:val="24"/>
          <w:lang w:val="en-GB"/>
          <w14:ligatures w14:val="none"/>
        </w:rPr>
        <w:t>3</w:t>
      </w:r>
      <w:r w:rsidRPr="00285F16">
        <w:rPr>
          <w:rFonts w:ascii="Baskerville Old Face" w:hAnsi="Baskerville Old Face" w:cs="Times New Roman"/>
          <w:b/>
          <w:bCs/>
          <w:i/>
          <w:iCs/>
          <w:kern w:val="0"/>
          <w:sz w:val="24"/>
          <w:szCs w:val="24"/>
          <w:lang w:val="en-GB"/>
          <w14:ligatures w14:val="none"/>
        </w:rPr>
        <w:t xml:space="preserve"> and 202</w:t>
      </w:r>
      <w:r w:rsidR="00A9006F">
        <w:rPr>
          <w:rFonts w:ascii="Baskerville Old Face" w:hAnsi="Baskerville Old Face" w:cs="Times New Roman"/>
          <w:b/>
          <w:bCs/>
          <w:i/>
          <w:iCs/>
          <w:kern w:val="0"/>
          <w:sz w:val="24"/>
          <w:szCs w:val="24"/>
          <w:lang w:val="en-GB"/>
          <w14:ligatures w14:val="none"/>
        </w:rPr>
        <w:t>2</w:t>
      </w:r>
      <w:r w:rsidRPr="00285F16">
        <w:rPr>
          <w:rFonts w:ascii="Baskerville Old Face" w:hAnsi="Baskerville Old Face" w:cs="Times New Roman"/>
          <w:b/>
          <w:bCs/>
          <w:i/>
          <w:iCs/>
          <w:kern w:val="0"/>
          <w:sz w:val="24"/>
          <w:szCs w:val="24"/>
          <w:lang w:val="en-GB"/>
          <w14:ligatures w14:val="none"/>
        </w:rPr>
        <w:t xml:space="preserve"> (NLe)</w:t>
      </w:r>
    </w:p>
    <w:tbl>
      <w:tblPr>
        <w:tblStyle w:val="GridTable4-Accent3"/>
        <w:tblW w:w="9895" w:type="dxa"/>
        <w:tblLook w:val="04A0" w:firstRow="1" w:lastRow="0" w:firstColumn="1" w:lastColumn="0" w:noHBand="0" w:noVBand="1"/>
      </w:tblPr>
      <w:tblGrid>
        <w:gridCol w:w="625"/>
        <w:gridCol w:w="2340"/>
        <w:gridCol w:w="2250"/>
        <w:gridCol w:w="2700"/>
        <w:gridCol w:w="1980"/>
      </w:tblGrid>
      <w:tr w:rsidR="0087519F" w:rsidRPr="00AB3D99" w14:paraId="4C38E202" w14:textId="77777777" w:rsidTr="00F774F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bookmarkEnd w:id="102"/>
          <w:p w14:paraId="214CF1EC" w14:textId="77777777" w:rsidR="00164AD1" w:rsidRPr="00AB3D99" w:rsidRDefault="00164AD1" w:rsidP="00164AD1">
            <w:pPr>
              <w:jc w:val="center"/>
              <w:rPr>
                <w:rFonts w:ascii="Baskerville Old Face" w:hAnsi="Baskerville Old Face" w:cs="Times New Roman"/>
                <w:color w:val="auto"/>
              </w:rPr>
            </w:pPr>
            <w:r w:rsidRPr="00AB3D99">
              <w:rPr>
                <w:rFonts w:ascii="Baskerville Old Face" w:hAnsi="Baskerville Old Face" w:cs="Times New Roman"/>
                <w:color w:val="auto"/>
                <w:lang w:val="en-GB"/>
              </w:rPr>
              <w:t>NO.</w:t>
            </w:r>
          </w:p>
        </w:tc>
        <w:tc>
          <w:tcPr>
            <w:tcW w:w="4590" w:type="dxa"/>
            <w:gridSpan w:val="2"/>
            <w:noWrap/>
            <w:hideMark/>
          </w:tcPr>
          <w:p w14:paraId="1FE9BD3C" w14:textId="77777777" w:rsidR="00164AD1" w:rsidRPr="00AB3D99" w:rsidRDefault="00164AD1" w:rsidP="00164AD1">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2022</w:t>
            </w:r>
          </w:p>
        </w:tc>
        <w:tc>
          <w:tcPr>
            <w:tcW w:w="4680" w:type="dxa"/>
            <w:gridSpan w:val="2"/>
            <w:noWrap/>
            <w:hideMark/>
          </w:tcPr>
          <w:p w14:paraId="650D59BF" w14:textId="77777777" w:rsidR="00164AD1" w:rsidRPr="00AB3D99" w:rsidRDefault="00164AD1" w:rsidP="00164AD1">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AB3D99">
              <w:rPr>
                <w:rFonts w:ascii="Baskerville Old Face" w:hAnsi="Baskerville Old Face" w:cs="Times New Roman"/>
                <w:color w:val="auto"/>
                <w:lang w:val="en-GB"/>
              </w:rPr>
              <w:t>2023</w:t>
            </w:r>
          </w:p>
        </w:tc>
      </w:tr>
      <w:tr w:rsidR="00164AD1" w:rsidRPr="00AB3D99" w14:paraId="0E7674B1"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D43369A" w14:textId="77777777" w:rsidR="00164AD1" w:rsidRPr="00AB3D99" w:rsidRDefault="00164AD1">
            <w:pPr>
              <w:rPr>
                <w:rFonts w:ascii="Baskerville Old Face" w:hAnsi="Baskerville Old Face" w:cs="Times New Roman"/>
              </w:rPr>
            </w:pPr>
            <w:r w:rsidRPr="00AB3D99">
              <w:rPr>
                <w:rFonts w:ascii="Baskerville Old Face" w:hAnsi="Baskerville Old Face" w:cs="Times New Roman"/>
                <w:lang w:val="en-GB"/>
              </w:rPr>
              <w:t> </w:t>
            </w:r>
          </w:p>
        </w:tc>
        <w:tc>
          <w:tcPr>
            <w:tcW w:w="2340" w:type="dxa"/>
            <w:noWrap/>
            <w:hideMark/>
          </w:tcPr>
          <w:p w14:paraId="56927D8C"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 xml:space="preserve"> ORIGIN COUNTRY </w:t>
            </w:r>
          </w:p>
        </w:tc>
        <w:tc>
          <w:tcPr>
            <w:tcW w:w="2250" w:type="dxa"/>
            <w:noWrap/>
            <w:hideMark/>
          </w:tcPr>
          <w:p w14:paraId="4CE74843" w14:textId="337D1DC8"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CIFVALUE</w:t>
            </w:r>
          </w:p>
        </w:tc>
        <w:tc>
          <w:tcPr>
            <w:tcW w:w="2700" w:type="dxa"/>
            <w:noWrap/>
            <w:hideMark/>
          </w:tcPr>
          <w:p w14:paraId="5FCC1B76"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 xml:space="preserve"> ORIGIN COUNTRY </w:t>
            </w:r>
          </w:p>
        </w:tc>
        <w:tc>
          <w:tcPr>
            <w:tcW w:w="1980" w:type="dxa"/>
            <w:noWrap/>
            <w:hideMark/>
          </w:tcPr>
          <w:p w14:paraId="34467800" w14:textId="43B2A67B"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rPr>
            </w:pPr>
            <w:r w:rsidRPr="00AB3D99">
              <w:rPr>
                <w:rFonts w:ascii="Baskerville Old Face" w:hAnsi="Baskerville Old Face" w:cs="Times New Roman"/>
                <w:b/>
                <w:bCs/>
                <w:lang w:val="en-GB"/>
              </w:rPr>
              <w:t>CIFVALUE</w:t>
            </w:r>
          </w:p>
        </w:tc>
      </w:tr>
      <w:tr w:rsidR="00081D02" w:rsidRPr="00AB3D99" w14:paraId="12F6AC51"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716751DC"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1</w:t>
            </w:r>
          </w:p>
        </w:tc>
        <w:tc>
          <w:tcPr>
            <w:tcW w:w="2340" w:type="dxa"/>
            <w:noWrap/>
            <w:hideMark/>
          </w:tcPr>
          <w:p w14:paraId="23BC6188"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SWITZERLAND </w:t>
            </w:r>
          </w:p>
        </w:tc>
        <w:tc>
          <w:tcPr>
            <w:tcW w:w="2250" w:type="dxa"/>
            <w:noWrap/>
            <w:hideMark/>
          </w:tcPr>
          <w:p w14:paraId="0CF65495"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4,201,570,289</w:t>
            </w:r>
          </w:p>
        </w:tc>
        <w:tc>
          <w:tcPr>
            <w:tcW w:w="2700" w:type="dxa"/>
            <w:noWrap/>
            <w:hideMark/>
          </w:tcPr>
          <w:p w14:paraId="6117981E"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SWITZERLAND</w:t>
            </w:r>
          </w:p>
        </w:tc>
        <w:tc>
          <w:tcPr>
            <w:tcW w:w="1980" w:type="dxa"/>
            <w:noWrap/>
            <w:hideMark/>
          </w:tcPr>
          <w:p w14:paraId="61339562" w14:textId="75C88640"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7,781,654,84</w:t>
            </w:r>
            <w:r w:rsidR="007E0409">
              <w:rPr>
                <w:rFonts w:ascii="Baskerville Old Face" w:hAnsi="Baskerville Old Face" w:cs="Times New Roman"/>
              </w:rPr>
              <w:t>1</w:t>
            </w:r>
          </w:p>
        </w:tc>
      </w:tr>
      <w:tr w:rsidR="00164AD1" w:rsidRPr="00AB3D99" w14:paraId="7C67AB08"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1C3D5F7E"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2</w:t>
            </w:r>
          </w:p>
        </w:tc>
        <w:tc>
          <w:tcPr>
            <w:tcW w:w="2340" w:type="dxa"/>
            <w:noWrap/>
            <w:hideMark/>
          </w:tcPr>
          <w:p w14:paraId="798523DC"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CHINA </w:t>
            </w:r>
          </w:p>
        </w:tc>
        <w:tc>
          <w:tcPr>
            <w:tcW w:w="2250" w:type="dxa"/>
            <w:noWrap/>
            <w:hideMark/>
          </w:tcPr>
          <w:p w14:paraId="03BDACE1"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3,426,879,516</w:t>
            </w:r>
          </w:p>
        </w:tc>
        <w:tc>
          <w:tcPr>
            <w:tcW w:w="2700" w:type="dxa"/>
            <w:noWrap/>
            <w:hideMark/>
          </w:tcPr>
          <w:p w14:paraId="1E9DF441"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CHINA</w:t>
            </w:r>
          </w:p>
        </w:tc>
        <w:tc>
          <w:tcPr>
            <w:tcW w:w="1980" w:type="dxa"/>
            <w:noWrap/>
            <w:hideMark/>
          </w:tcPr>
          <w:p w14:paraId="2CB02427" w14:textId="6BAFE530"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5,380,794,64</w:t>
            </w:r>
            <w:r w:rsidR="007E0409">
              <w:rPr>
                <w:rFonts w:ascii="Baskerville Old Face" w:hAnsi="Baskerville Old Face" w:cs="Times New Roman"/>
              </w:rPr>
              <w:t>1</w:t>
            </w:r>
          </w:p>
        </w:tc>
      </w:tr>
      <w:tr w:rsidR="00081D02" w:rsidRPr="00AB3D99" w14:paraId="11F75586"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0193AF5"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3</w:t>
            </w:r>
          </w:p>
        </w:tc>
        <w:tc>
          <w:tcPr>
            <w:tcW w:w="2340" w:type="dxa"/>
            <w:noWrap/>
            <w:hideMark/>
          </w:tcPr>
          <w:p w14:paraId="52F795F4"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INDIA </w:t>
            </w:r>
          </w:p>
        </w:tc>
        <w:tc>
          <w:tcPr>
            <w:tcW w:w="2250" w:type="dxa"/>
            <w:noWrap/>
            <w:hideMark/>
          </w:tcPr>
          <w:p w14:paraId="7F40A062"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2,054,416,401</w:t>
            </w:r>
          </w:p>
        </w:tc>
        <w:tc>
          <w:tcPr>
            <w:tcW w:w="2700" w:type="dxa"/>
            <w:noWrap/>
            <w:hideMark/>
          </w:tcPr>
          <w:p w14:paraId="6D55BB45"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INDIA</w:t>
            </w:r>
          </w:p>
        </w:tc>
        <w:tc>
          <w:tcPr>
            <w:tcW w:w="1980" w:type="dxa"/>
            <w:noWrap/>
            <w:hideMark/>
          </w:tcPr>
          <w:p w14:paraId="0CFE4705" w14:textId="167E76D0"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4,569,618,84</w:t>
            </w:r>
            <w:r w:rsidR="007E0409">
              <w:rPr>
                <w:rFonts w:ascii="Baskerville Old Face" w:hAnsi="Baskerville Old Face" w:cs="Times New Roman"/>
              </w:rPr>
              <w:t>3</w:t>
            </w:r>
          </w:p>
        </w:tc>
      </w:tr>
      <w:tr w:rsidR="00164AD1" w:rsidRPr="00AB3D99" w14:paraId="5839913B"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5898ACD3"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4</w:t>
            </w:r>
          </w:p>
        </w:tc>
        <w:tc>
          <w:tcPr>
            <w:tcW w:w="2340" w:type="dxa"/>
            <w:noWrap/>
            <w:hideMark/>
          </w:tcPr>
          <w:p w14:paraId="742B0EDD"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TURKEY </w:t>
            </w:r>
          </w:p>
        </w:tc>
        <w:tc>
          <w:tcPr>
            <w:tcW w:w="2250" w:type="dxa"/>
            <w:noWrap/>
            <w:hideMark/>
          </w:tcPr>
          <w:p w14:paraId="32E629EC"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1,940,734,244</w:t>
            </w:r>
          </w:p>
        </w:tc>
        <w:tc>
          <w:tcPr>
            <w:tcW w:w="2700" w:type="dxa"/>
            <w:noWrap/>
            <w:hideMark/>
          </w:tcPr>
          <w:p w14:paraId="42E32378"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UNITED KINGDOM</w:t>
            </w:r>
          </w:p>
        </w:tc>
        <w:tc>
          <w:tcPr>
            <w:tcW w:w="1980" w:type="dxa"/>
            <w:noWrap/>
            <w:hideMark/>
          </w:tcPr>
          <w:p w14:paraId="1ED4792E" w14:textId="07F59F76"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1,783,055,6</w:t>
            </w:r>
            <w:r w:rsidR="007E0409">
              <w:rPr>
                <w:rFonts w:ascii="Baskerville Old Face" w:hAnsi="Baskerville Old Face" w:cs="Times New Roman"/>
              </w:rPr>
              <w:t>90</w:t>
            </w:r>
          </w:p>
        </w:tc>
      </w:tr>
      <w:tr w:rsidR="00081D02" w:rsidRPr="00AB3D99" w14:paraId="1C795A47"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33857520"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5</w:t>
            </w:r>
          </w:p>
        </w:tc>
        <w:tc>
          <w:tcPr>
            <w:tcW w:w="2340" w:type="dxa"/>
            <w:noWrap/>
            <w:hideMark/>
          </w:tcPr>
          <w:p w14:paraId="21EB2DA9"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UNITED ARAB EMIRATES </w:t>
            </w:r>
          </w:p>
        </w:tc>
        <w:tc>
          <w:tcPr>
            <w:tcW w:w="2250" w:type="dxa"/>
            <w:noWrap/>
            <w:hideMark/>
          </w:tcPr>
          <w:p w14:paraId="5643687C"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1,374,551,700</w:t>
            </w:r>
          </w:p>
        </w:tc>
        <w:tc>
          <w:tcPr>
            <w:tcW w:w="2700" w:type="dxa"/>
            <w:noWrap/>
            <w:hideMark/>
          </w:tcPr>
          <w:p w14:paraId="730C50CF"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FRANCE</w:t>
            </w:r>
          </w:p>
        </w:tc>
        <w:tc>
          <w:tcPr>
            <w:tcW w:w="1980" w:type="dxa"/>
            <w:noWrap/>
            <w:hideMark/>
          </w:tcPr>
          <w:p w14:paraId="3A850764" w14:textId="08A4F671"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1,771,147,772</w:t>
            </w:r>
          </w:p>
        </w:tc>
      </w:tr>
      <w:tr w:rsidR="00164AD1" w:rsidRPr="00AB3D99" w14:paraId="1D412FBD"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76890C30"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6</w:t>
            </w:r>
          </w:p>
        </w:tc>
        <w:tc>
          <w:tcPr>
            <w:tcW w:w="2340" w:type="dxa"/>
            <w:noWrap/>
            <w:hideMark/>
          </w:tcPr>
          <w:p w14:paraId="02A588B3"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FRANCE </w:t>
            </w:r>
          </w:p>
        </w:tc>
        <w:tc>
          <w:tcPr>
            <w:tcW w:w="2250" w:type="dxa"/>
            <w:noWrap/>
            <w:hideMark/>
          </w:tcPr>
          <w:p w14:paraId="2379E6DD"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1,281,616,995</w:t>
            </w:r>
          </w:p>
        </w:tc>
        <w:tc>
          <w:tcPr>
            <w:tcW w:w="2700" w:type="dxa"/>
            <w:noWrap/>
            <w:hideMark/>
          </w:tcPr>
          <w:p w14:paraId="169A69BB"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UNITED ARAB EMIRATES</w:t>
            </w:r>
          </w:p>
        </w:tc>
        <w:tc>
          <w:tcPr>
            <w:tcW w:w="1980" w:type="dxa"/>
            <w:noWrap/>
            <w:hideMark/>
          </w:tcPr>
          <w:p w14:paraId="3CD6F351" w14:textId="5DBDD199"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1,731,925,101</w:t>
            </w:r>
          </w:p>
        </w:tc>
      </w:tr>
      <w:tr w:rsidR="00081D02" w:rsidRPr="00AB3D99" w14:paraId="79C84890"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68D119CF"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7</w:t>
            </w:r>
          </w:p>
        </w:tc>
        <w:tc>
          <w:tcPr>
            <w:tcW w:w="2340" w:type="dxa"/>
            <w:noWrap/>
            <w:hideMark/>
          </w:tcPr>
          <w:p w14:paraId="38D80439"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UNITED STATES </w:t>
            </w:r>
          </w:p>
        </w:tc>
        <w:tc>
          <w:tcPr>
            <w:tcW w:w="2250" w:type="dxa"/>
            <w:noWrap/>
            <w:hideMark/>
          </w:tcPr>
          <w:p w14:paraId="5226D95F"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923,325,567</w:t>
            </w:r>
          </w:p>
        </w:tc>
        <w:tc>
          <w:tcPr>
            <w:tcW w:w="2700" w:type="dxa"/>
            <w:noWrap/>
            <w:hideMark/>
          </w:tcPr>
          <w:p w14:paraId="376DE31C"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UNITED STATES</w:t>
            </w:r>
          </w:p>
        </w:tc>
        <w:tc>
          <w:tcPr>
            <w:tcW w:w="1980" w:type="dxa"/>
            <w:noWrap/>
            <w:hideMark/>
          </w:tcPr>
          <w:p w14:paraId="0DAE7B99" w14:textId="1F776261"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1,580,351,787</w:t>
            </w:r>
          </w:p>
        </w:tc>
      </w:tr>
      <w:tr w:rsidR="00164AD1" w:rsidRPr="00AB3D99" w14:paraId="5660A900" w14:textId="77777777" w:rsidTr="00F774F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1394AE0F"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8</w:t>
            </w:r>
          </w:p>
        </w:tc>
        <w:tc>
          <w:tcPr>
            <w:tcW w:w="2340" w:type="dxa"/>
            <w:noWrap/>
            <w:hideMark/>
          </w:tcPr>
          <w:p w14:paraId="49E61EBC"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BELGIUM </w:t>
            </w:r>
          </w:p>
        </w:tc>
        <w:tc>
          <w:tcPr>
            <w:tcW w:w="2250" w:type="dxa"/>
            <w:noWrap/>
            <w:hideMark/>
          </w:tcPr>
          <w:p w14:paraId="1C35EF5C"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921,622,263</w:t>
            </w:r>
          </w:p>
        </w:tc>
        <w:tc>
          <w:tcPr>
            <w:tcW w:w="2700" w:type="dxa"/>
            <w:noWrap/>
            <w:hideMark/>
          </w:tcPr>
          <w:p w14:paraId="5C2C66D3"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BELGIUM</w:t>
            </w:r>
          </w:p>
        </w:tc>
        <w:tc>
          <w:tcPr>
            <w:tcW w:w="1980" w:type="dxa"/>
            <w:noWrap/>
            <w:hideMark/>
          </w:tcPr>
          <w:p w14:paraId="2E7194A7" w14:textId="3B663A0C"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1,453,966,182</w:t>
            </w:r>
          </w:p>
        </w:tc>
      </w:tr>
      <w:tr w:rsidR="00081D02" w:rsidRPr="00AB3D99" w14:paraId="0956A215" w14:textId="77777777" w:rsidTr="00F774FD">
        <w:trPr>
          <w:trHeight w:val="276"/>
        </w:trPr>
        <w:tc>
          <w:tcPr>
            <w:cnfStyle w:val="001000000000" w:firstRow="0" w:lastRow="0" w:firstColumn="1" w:lastColumn="0" w:oddVBand="0" w:evenVBand="0" w:oddHBand="0" w:evenHBand="0" w:firstRowFirstColumn="0" w:firstRowLastColumn="0" w:lastRowFirstColumn="0" w:lastRowLastColumn="0"/>
            <w:tcW w:w="625" w:type="dxa"/>
            <w:noWrap/>
            <w:hideMark/>
          </w:tcPr>
          <w:p w14:paraId="55405923"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9</w:t>
            </w:r>
          </w:p>
        </w:tc>
        <w:tc>
          <w:tcPr>
            <w:tcW w:w="2340" w:type="dxa"/>
            <w:noWrap/>
            <w:hideMark/>
          </w:tcPr>
          <w:p w14:paraId="20A88263"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UNITED KINGDOM </w:t>
            </w:r>
          </w:p>
        </w:tc>
        <w:tc>
          <w:tcPr>
            <w:tcW w:w="2250" w:type="dxa"/>
            <w:noWrap/>
            <w:hideMark/>
          </w:tcPr>
          <w:p w14:paraId="7B9ECE4D" w14:textId="77777777"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636,142,347</w:t>
            </w:r>
          </w:p>
        </w:tc>
        <w:tc>
          <w:tcPr>
            <w:tcW w:w="2700" w:type="dxa"/>
            <w:noWrap/>
            <w:hideMark/>
          </w:tcPr>
          <w:p w14:paraId="165D64F9" w14:textId="77777777" w:rsidR="00164AD1" w:rsidRPr="00AB3D99" w:rsidRDefault="00164AD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REPUBLIC OF SOUTH AFRICA</w:t>
            </w:r>
          </w:p>
        </w:tc>
        <w:tc>
          <w:tcPr>
            <w:tcW w:w="1980" w:type="dxa"/>
            <w:noWrap/>
            <w:hideMark/>
          </w:tcPr>
          <w:p w14:paraId="17F767D2" w14:textId="4894DD48" w:rsidR="00164AD1" w:rsidRPr="00AB3D99" w:rsidRDefault="00164AD1" w:rsidP="00081D02">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1,416,797,088</w:t>
            </w:r>
          </w:p>
        </w:tc>
      </w:tr>
      <w:tr w:rsidR="00164AD1" w:rsidRPr="00AB3D99" w14:paraId="7B1EC299" w14:textId="77777777" w:rsidTr="00F774F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 w:type="dxa"/>
            <w:noWrap/>
            <w:hideMark/>
          </w:tcPr>
          <w:p w14:paraId="5B94BB58" w14:textId="77777777" w:rsidR="00164AD1" w:rsidRPr="00AB3D99" w:rsidRDefault="00164AD1" w:rsidP="00164AD1">
            <w:pPr>
              <w:rPr>
                <w:rFonts w:ascii="Baskerville Old Face" w:hAnsi="Baskerville Old Face" w:cs="Times New Roman"/>
              </w:rPr>
            </w:pPr>
            <w:r w:rsidRPr="00AB3D99">
              <w:rPr>
                <w:rFonts w:ascii="Baskerville Old Face" w:hAnsi="Baskerville Old Face" w:cs="Times New Roman"/>
                <w:lang w:val="en-GB"/>
              </w:rPr>
              <w:t>10</w:t>
            </w:r>
          </w:p>
        </w:tc>
        <w:tc>
          <w:tcPr>
            <w:tcW w:w="2340" w:type="dxa"/>
            <w:noWrap/>
            <w:hideMark/>
          </w:tcPr>
          <w:p w14:paraId="73E41640"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 xml:space="preserve">SENEGAL </w:t>
            </w:r>
          </w:p>
        </w:tc>
        <w:tc>
          <w:tcPr>
            <w:tcW w:w="2250" w:type="dxa"/>
            <w:noWrap/>
            <w:hideMark/>
          </w:tcPr>
          <w:p w14:paraId="10369C0D" w14:textId="77777777"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lang w:val="en-GB"/>
              </w:rPr>
              <w:t>622,826,767</w:t>
            </w:r>
          </w:p>
        </w:tc>
        <w:tc>
          <w:tcPr>
            <w:tcW w:w="2700" w:type="dxa"/>
            <w:noWrap/>
            <w:hideMark/>
          </w:tcPr>
          <w:p w14:paraId="1A0D4982" w14:textId="77777777" w:rsidR="00164AD1" w:rsidRPr="00AB3D99" w:rsidRDefault="00164AD1">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TURKEY</w:t>
            </w:r>
          </w:p>
        </w:tc>
        <w:tc>
          <w:tcPr>
            <w:tcW w:w="1980" w:type="dxa"/>
            <w:noWrap/>
            <w:hideMark/>
          </w:tcPr>
          <w:p w14:paraId="0AC9CF34" w14:textId="6558B7D0" w:rsidR="00164AD1" w:rsidRPr="00AB3D99" w:rsidRDefault="00164AD1" w:rsidP="00081D02">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rPr>
            </w:pPr>
            <w:r w:rsidRPr="00AB3D99">
              <w:rPr>
                <w:rFonts w:ascii="Baskerville Old Face" w:hAnsi="Baskerville Old Face" w:cs="Times New Roman"/>
              </w:rPr>
              <w:t>1,196,027,856</w:t>
            </w:r>
          </w:p>
        </w:tc>
      </w:tr>
    </w:tbl>
    <w:p w14:paraId="75351F81" w14:textId="4C0B642A" w:rsidR="004D5FD6" w:rsidRPr="004E201A" w:rsidRDefault="00164AD1" w:rsidP="004E201A">
      <w:pPr>
        <w:spacing w:line="240" w:lineRule="auto"/>
        <w:rPr>
          <w:rFonts w:ascii="Baskerville Old Face" w:hAnsi="Baskerville Old Face" w:cs="Times New Roman"/>
          <w:bCs/>
          <w:i/>
          <w:iCs/>
          <w:kern w:val="0"/>
          <w:sz w:val="18"/>
          <w:szCs w:val="18"/>
          <w:lang w:val="en-GB"/>
          <w14:ligatures w14:val="none"/>
        </w:rPr>
      </w:pPr>
      <w:r w:rsidRPr="00F774FD">
        <w:rPr>
          <w:rFonts w:ascii="Baskerville Old Face" w:hAnsi="Baskerville Old Face" w:cs="Times New Roman"/>
          <w:b/>
          <w:bCs/>
          <w:i/>
          <w:iCs/>
          <w:kern w:val="0"/>
          <w:sz w:val="18"/>
          <w:szCs w:val="18"/>
          <w:lang w:val="en-GB"/>
          <w14:ligatures w14:val="none"/>
        </w:rPr>
        <w:t>*</w:t>
      </w:r>
      <w:r w:rsidRPr="00F774FD">
        <w:rPr>
          <w:rFonts w:ascii="Baskerville Old Face" w:hAnsi="Baskerville Old Face" w:cs="Times New Roman"/>
          <w:bCs/>
          <w:i/>
          <w:iCs/>
          <w:kern w:val="0"/>
          <w:sz w:val="18"/>
          <w:szCs w:val="18"/>
          <w:lang w:val="en-GB"/>
          <w14:ligatures w14:val="none"/>
        </w:rPr>
        <w:t>IM4 (</w:t>
      </w:r>
      <w:r w:rsidR="006A0033" w:rsidRPr="00F774FD">
        <w:rPr>
          <w:rFonts w:ascii="Baskerville Old Face" w:hAnsi="Baskerville Old Face" w:cs="Times New Roman"/>
          <w:bCs/>
          <w:i/>
          <w:iCs/>
          <w:kern w:val="0"/>
          <w:sz w:val="18"/>
          <w:szCs w:val="18"/>
          <w:lang w:val="en-GB"/>
          <w14:ligatures w14:val="none"/>
        </w:rPr>
        <w:t>I</w:t>
      </w:r>
      <w:r w:rsidRPr="00F774FD">
        <w:rPr>
          <w:rFonts w:ascii="Baskerville Old Face" w:hAnsi="Baskerville Old Face" w:cs="Times New Roman"/>
          <w:bCs/>
          <w:i/>
          <w:iCs/>
          <w:kern w:val="0"/>
          <w:sz w:val="18"/>
          <w:szCs w:val="18"/>
          <w:lang w:val="en-GB"/>
          <w14:ligatures w14:val="none"/>
        </w:rPr>
        <w:t xml:space="preserve">mports for home consumption), SD4 (Simplified Declaration), PP4 (Percel Post), and PB4 (Passenger </w:t>
      </w:r>
      <w:r w:rsidR="00D85BB5" w:rsidRPr="00F774FD">
        <w:rPr>
          <w:rFonts w:ascii="Baskerville Old Face" w:hAnsi="Baskerville Old Face" w:cs="Times New Roman"/>
          <w:bCs/>
          <w:i/>
          <w:iCs/>
          <w:kern w:val="0"/>
          <w:sz w:val="18"/>
          <w:szCs w:val="18"/>
          <w:lang w:val="en-GB"/>
          <w14:ligatures w14:val="none"/>
        </w:rPr>
        <w:t>Baggage)</w:t>
      </w:r>
      <w:r w:rsidR="00D85BB5">
        <w:rPr>
          <w:rFonts w:ascii="Baskerville Old Face" w:hAnsi="Baskerville Old Face" w:cs="Times New Roman"/>
          <w:bCs/>
          <w:i/>
          <w:iCs/>
          <w:kern w:val="0"/>
          <w:sz w:val="18"/>
          <w:szCs w:val="18"/>
          <w:lang w:val="en-GB"/>
          <w14:ligatures w14:val="none"/>
        </w:rPr>
        <w:t xml:space="preserve">.              </w:t>
      </w:r>
      <w:r w:rsidR="004D5FD6" w:rsidRPr="00F774FD">
        <w:rPr>
          <w:rFonts w:ascii="Baskerville Old Face" w:hAnsi="Baskerville Old Face" w:cs="Times New Roman"/>
          <w:i/>
          <w:iCs/>
          <w:kern w:val="0"/>
          <w:sz w:val="20"/>
          <w:szCs w:val="20"/>
          <w:lang w:val="en-GB"/>
          <w14:ligatures w14:val="none"/>
        </w:rPr>
        <w:t xml:space="preserve">Source: </w:t>
      </w:r>
      <w:r w:rsidR="004D5FD6" w:rsidRPr="00F774FD">
        <w:rPr>
          <w:rFonts w:ascii="Baskerville Old Face" w:hAnsi="Baskerville Old Face" w:cs="Times New Roman"/>
          <w:i/>
          <w:iCs/>
          <w:kern w:val="0"/>
          <w:sz w:val="18"/>
          <w:szCs w:val="18"/>
          <w:lang w:val="en-GB"/>
          <w14:ligatures w14:val="none"/>
        </w:rPr>
        <w:t>ASYCUDA World</w:t>
      </w:r>
    </w:p>
    <w:p w14:paraId="6675BBD3" w14:textId="77777777" w:rsidR="002725A1" w:rsidRDefault="002725A1" w:rsidP="002725A1">
      <w:pPr>
        <w:pStyle w:val="Heading2"/>
      </w:pPr>
    </w:p>
    <w:p w14:paraId="2CDD766E" w14:textId="29A4C329" w:rsidR="00896C19" w:rsidRPr="00896C19" w:rsidRDefault="00BA0DB9" w:rsidP="002725A1">
      <w:pPr>
        <w:pStyle w:val="Heading2"/>
      </w:pPr>
      <w:bookmarkStart w:id="103" w:name="_Toc198205717"/>
      <w:r>
        <w:t xml:space="preserve">4.11: </w:t>
      </w:r>
      <w:r w:rsidR="00116D56" w:rsidRPr="00896C19">
        <w:t>CONTAINER INSPECTION/EXAMINATION UNIT</w:t>
      </w:r>
      <w:bookmarkEnd w:id="103"/>
    </w:p>
    <w:p w14:paraId="4C5C63F6" w14:textId="77777777" w:rsidR="002725A1" w:rsidRDefault="002725A1" w:rsidP="00896C19">
      <w:pPr>
        <w:spacing w:line="360" w:lineRule="auto"/>
        <w:jc w:val="both"/>
        <w:rPr>
          <w:rFonts w:ascii="Baskerville Old Face" w:hAnsi="Baskerville Old Face" w:cs="Times New Roman"/>
          <w:sz w:val="24"/>
          <w:szCs w:val="24"/>
        </w:rPr>
      </w:pPr>
    </w:p>
    <w:p w14:paraId="47151514" w14:textId="64C0F104" w:rsidR="00896C19" w:rsidRPr="00896C19" w:rsidRDefault="00896C19" w:rsidP="00896C19">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In 2023</w:t>
      </w:r>
      <w:r w:rsidRPr="00896C19">
        <w:rPr>
          <w:rFonts w:ascii="Baskerville Old Face" w:hAnsi="Baskerville Old Face" w:cs="Times New Roman"/>
          <w:sz w:val="24"/>
          <w:szCs w:val="24"/>
        </w:rPr>
        <w:t>, the Container Unit processed and cleared a total of 13,979 declarations, marking a notable increase of 31.2% compared to the previous year's figure of 10,653</w:t>
      </w:r>
      <w:r w:rsidR="006618DA">
        <w:rPr>
          <w:rFonts w:ascii="Baskerville Old Face" w:hAnsi="Baskerville Old Face" w:cs="Times New Roman"/>
          <w:sz w:val="24"/>
          <w:szCs w:val="24"/>
        </w:rPr>
        <w:t xml:space="preserve"> (Table 2</w:t>
      </w:r>
      <w:r w:rsidR="00AA0A51">
        <w:rPr>
          <w:rFonts w:ascii="Baskerville Old Face" w:hAnsi="Baskerville Old Face" w:cs="Times New Roman"/>
          <w:sz w:val="24"/>
          <w:szCs w:val="24"/>
        </w:rPr>
        <w:t>7</w:t>
      </w:r>
      <w:r w:rsidR="006618DA">
        <w:rPr>
          <w:rFonts w:ascii="Baskerville Old Face" w:hAnsi="Baskerville Old Face" w:cs="Times New Roman"/>
          <w:sz w:val="24"/>
          <w:szCs w:val="24"/>
        </w:rPr>
        <w:t>)</w:t>
      </w:r>
      <w:r w:rsidRPr="00896C19">
        <w:rPr>
          <w:rFonts w:ascii="Baskerville Old Face" w:hAnsi="Baskerville Old Face" w:cs="Times New Roman"/>
          <w:sz w:val="24"/>
          <w:szCs w:val="24"/>
        </w:rPr>
        <w:t xml:space="preserve">. Notably, in 2023, 96.0% of these declarations underwent processing under the Red Selectivity Lane, a significant rise from 80.8% observed in 2022. </w:t>
      </w:r>
      <w:r>
        <w:rPr>
          <w:rFonts w:ascii="Baskerville Old Face" w:hAnsi="Baskerville Old Face" w:cs="Times New Roman"/>
          <w:sz w:val="24"/>
          <w:szCs w:val="24"/>
        </w:rPr>
        <w:t>In addition</w:t>
      </w:r>
      <w:r w:rsidRPr="00896C19">
        <w:rPr>
          <w:rFonts w:ascii="Baskerville Old Face" w:hAnsi="Baskerville Old Face" w:cs="Times New Roman"/>
          <w:sz w:val="24"/>
          <w:szCs w:val="24"/>
        </w:rPr>
        <w:t xml:space="preserve">, the total number of containers examined and cleared also experienced a surge in 2023, with an increase of 3,134 </w:t>
      </w:r>
      <w:r>
        <w:rPr>
          <w:rFonts w:ascii="Baskerville Old Face" w:hAnsi="Baskerville Old Face" w:cs="Times New Roman"/>
          <w:sz w:val="24"/>
          <w:szCs w:val="24"/>
        </w:rPr>
        <w:t>from</w:t>
      </w:r>
      <w:r w:rsidRPr="00896C19">
        <w:rPr>
          <w:rFonts w:ascii="Baskerville Old Face" w:hAnsi="Baskerville Old Face" w:cs="Times New Roman"/>
          <w:sz w:val="24"/>
          <w:szCs w:val="24"/>
        </w:rPr>
        <w:t xml:space="preserve"> 20,866 reported in 2022. </w:t>
      </w:r>
    </w:p>
    <w:p w14:paraId="337208ED" w14:textId="370FE663" w:rsidR="00D85BB5" w:rsidRDefault="00896C19" w:rsidP="00896C19">
      <w:pPr>
        <w:spacing w:line="360" w:lineRule="auto"/>
        <w:jc w:val="both"/>
        <w:rPr>
          <w:rFonts w:ascii="Baskerville Old Face" w:hAnsi="Baskerville Old Face" w:cs="Times New Roman"/>
          <w:sz w:val="24"/>
          <w:szCs w:val="24"/>
        </w:rPr>
      </w:pPr>
      <w:r w:rsidRPr="00896C19">
        <w:rPr>
          <w:rFonts w:ascii="Baskerville Old Face" w:hAnsi="Baskerville Old Face" w:cs="Times New Roman"/>
          <w:sz w:val="24"/>
          <w:szCs w:val="24"/>
        </w:rPr>
        <w:t>It is worth mentioning that while conducting physical inspections and verification procedures, the Container Unit identified discrepancies leading to the recovery of additional revenues amounting to NLe 1,149 million. This figure represents a decrease of 21.6% compared to the NLe 1,466 million recovered in the previous year.</w:t>
      </w:r>
    </w:p>
    <w:p w14:paraId="240D1D07" w14:textId="77777777" w:rsidR="00AC7B56" w:rsidRDefault="00AC7B56" w:rsidP="00896C19">
      <w:pPr>
        <w:spacing w:line="360" w:lineRule="auto"/>
        <w:jc w:val="both"/>
        <w:rPr>
          <w:rFonts w:ascii="Baskerville Old Face" w:hAnsi="Baskerville Old Face" w:cs="Times New Roman"/>
          <w:sz w:val="24"/>
          <w:szCs w:val="24"/>
        </w:rPr>
      </w:pPr>
    </w:p>
    <w:p w14:paraId="46B7E195" w14:textId="77777777" w:rsidR="00AC7B56" w:rsidRDefault="00AC7B56" w:rsidP="00896C19">
      <w:pPr>
        <w:spacing w:line="360" w:lineRule="auto"/>
        <w:jc w:val="both"/>
        <w:rPr>
          <w:rFonts w:ascii="Baskerville Old Face" w:hAnsi="Baskerville Old Face" w:cs="Times New Roman"/>
          <w:sz w:val="24"/>
          <w:szCs w:val="24"/>
        </w:rPr>
      </w:pPr>
    </w:p>
    <w:p w14:paraId="5717D82C" w14:textId="77777777" w:rsidR="00A6675A" w:rsidRDefault="00A6675A" w:rsidP="00896C19">
      <w:pPr>
        <w:spacing w:line="360" w:lineRule="auto"/>
        <w:jc w:val="both"/>
        <w:rPr>
          <w:rFonts w:ascii="Baskerville Old Face" w:hAnsi="Baskerville Old Face" w:cs="Times New Roman"/>
          <w:sz w:val="24"/>
          <w:szCs w:val="24"/>
        </w:rPr>
      </w:pPr>
    </w:p>
    <w:p w14:paraId="33F89145" w14:textId="77777777" w:rsidR="00D85BB5" w:rsidRDefault="00D85BB5" w:rsidP="00896C19">
      <w:pPr>
        <w:spacing w:line="360" w:lineRule="auto"/>
        <w:jc w:val="both"/>
        <w:rPr>
          <w:rFonts w:ascii="Baskerville Old Face" w:hAnsi="Baskerville Old Face" w:cs="Times New Roman"/>
          <w:sz w:val="24"/>
          <w:szCs w:val="24"/>
        </w:rPr>
      </w:pPr>
    </w:p>
    <w:p w14:paraId="6F24A651" w14:textId="5B3387D0" w:rsidR="00896C19" w:rsidRPr="0062044A" w:rsidRDefault="00896C19" w:rsidP="00896C19">
      <w:pPr>
        <w:spacing w:line="240" w:lineRule="auto"/>
        <w:jc w:val="both"/>
        <w:rPr>
          <w:rFonts w:ascii="Baskerville Old Face" w:hAnsi="Baskerville Old Face" w:cs="Times New Roman"/>
          <w:i/>
          <w:iCs/>
          <w:sz w:val="24"/>
          <w:szCs w:val="24"/>
          <w:lang w:val="en-GB"/>
        </w:rPr>
      </w:pPr>
      <w:bookmarkStart w:id="104" w:name="Table27"/>
      <w:r w:rsidRPr="004C7309">
        <w:rPr>
          <w:rFonts w:ascii="Baskerville Old Face" w:hAnsi="Baskerville Old Face" w:cs="Times New Roman"/>
          <w:b/>
          <w:bCs/>
          <w:i/>
          <w:iCs/>
          <w:sz w:val="24"/>
          <w:szCs w:val="24"/>
          <w:lang w:val="en-GB"/>
        </w:rPr>
        <w:lastRenderedPageBreak/>
        <w:t xml:space="preserve">Table </w:t>
      </w:r>
      <w:r w:rsidR="004C7309">
        <w:rPr>
          <w:rFonts w:ascii="Baskerville Old Face" w:hAnsi="Baskerville Old Face" w:cs="Times New Roman"/>
          <w:b/>
          <w:bCs/>
          <w:i/>
          <w:iCs/>
          <w:sz w:val="24"/>
          <w:szCs w:val="24"/>
          <w:lang w:val="en-GB"/>
        </w:rPr>
        <w:t>2</w:t>
      </w:r>
      <w:r w:rsidR="00AA0A51">
        <w:rPr>
          <w:rFonts w:ascii="Baskerville Old Face" w:hAnsi="Baskerville Old Face" w:cs="Times New Roman"/>
          <w:b/>
          <w:bCs/>
          <w:i/>
          <w:iCs/>
          <w:sz w:val="24"/>
          <w:szCs w:val="24"/>
          <w:lang w:val="en-GB"/>
        </w:rPr>
        <w:t>7</w:t>
      </w:r>
      <w:r w:rsidRPr="0062044A">
        <w:rPr>
          <w:rFonts w:ascii="Baskerville Old Face" w:hAnsi="Baskerville Old Face" w:cs="Times New Roman"/>
          <w:b/>
          <w:bCs/>
          <w:i/>
          <w:iCs/>
          <w:sz w:val="24"/>
          <w:szCs w:val="24"/>
          <w:lang w:val="en-GB"/>
        </w:rPr>
        <w:t>: Containers Examined and Released 2023 and 2022 by the Container Unit</w:t>
      </w:r>
    </w:p>
    <w:tbl>
      <w:tblPr>
        <w:tblStyle w:val="GridTable6Colorful-Accent4"/>
        <w:tblW w:w="0" w:type="auto"/>
        <w:tblLook w:val="04A0" w:firstRow="1" w:lastRow="0" w:firstColumn="1" w:lastColumn="0" w:noHBand="0" w:noVBand="1"/>
      </w:tblPr>
      <w:tblGrid>
        <w:gridCol w:w="3320"/>
        <w:gridCol w:w="2120"/>
        <w:gridCol w:w="1640"/>
        <w:gridCol w:w="2220"/>
      </w:tblGrid>
      <w:tr w:rsidR="00896C19" w:rsidRPr="0062044A" w14:paraId="201F8709" w14:textId="77777777" w:rsidTr="003459B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bookmarkEnd w:id="104"/>
          <w:p w14:paraId="6C0D5E4B" w14:textId="38F491C3" w:rsidR="00896C19" w:rsidRPr="003459BA" w:rsidRDefault="00E41C30"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color w:val="auto"/>
                <w:lang w:val="en-GB"/>
              </w:rPr>
              <w:t>Category</w:t>
            </w:r>
          </w:p>
        </w:tc>
        <w:tc>
          <w:tcPr>
            <w:tcW w:w="2120" w:type="dxa"/>
            <w:hideMark/>
          </w:tcPr>
          <w:p w14:paraId="57E7609A" w14:textId="2C5C9CD6" w:rsidR="00896C19" w:rsidRPr="003459BA"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3459BA">
              <w:rPr>
                <w:rFonts w:ascii="Baskerville Old Face" w:hAnsi="Baskerville Old Face" w:cs="Times New Roman"/>
                <w:color w:val="auto"/>
                <w:lang w:val="en-GB"/>
              </w:rPr>
              <w:t>2023</w:t>
            </w:r>
          </w:p>
        </w:tc>
        <w:tc>
          <w:tcPr>
            <w:tcW w:w="1640" w:type="dxa"/>
            <w:hideMark/>
          </w:tcPr>
          <w:p w14:paraId="6271C970" w14:textId="39B82927" w:rsidR="00896C19" w:rsidRPr="003459BA"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3459BA">
              <w:rPr>
                <w:rFonts w:ascii="Baskerville Old Face" w:hAnsi="Baskerville Old Face" w:cs="Times New Roman"/>
                <w:color w:val="auto"/>
                <w:lang w:val="en-GB"/>
              </w:rPr>
              <w:t>2022</w:t>
            </w:r>
          </w:p>
        </w:tc>
        <w:tc>
          <w:tcPr>
            <w:tcW w:w="2220" w:type="dxa"/>
            <w:hideMark/>
          </w:tcPr>
          <w:p w14:paraId="4249B131" w14:textId="134C99FE" w:rsidR="00896C19" w:rsidRPr="003459BA" w:rsidRDefault="00E41C30" w:rsidP="00E41C30">
            <w:pPr>
              <w:spacing w:line="360" w:lineRule="auto"/>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3459BA">
              <w:rPr>
                <w:rFonts w:ascii="Baskerville Old Face" w:hAnsi="Baskerville Old Face" w:cs="Times New Roman"/>
                <w:color w:val="auto"/>
                <w:lang w:val="en-GB"/>
              </w:rPr>
              <w:t>Variance</w:t>
            </w:r>
          </w:p>
        </w:tc>
      </w:tr>
      <w:tr w:rsidR="00896C19" w:rsidRPr="0062044A" w14:paraId="0E005240"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748C1CC3" w14:textId="77777777" w:rsidR="00896C19" w:rsidRPr="003459BA" w:rsidRDefault="00896C19" w:rsidP="00F9112B">
            <w:pPr>
              <w:spacing w:line="360" w:lineRule="auto"/>
              <w:jc w:val="both"/>
              <w:rPr>
                <w:rFonts w:ascii="Baskerville Old Face" w:hAnsi="Baskerville Old Face" w:cs="Times New Roman"/>
                <w:color w:val="auto"/>
              </w:rPr>
            </w:pPr>
            <w:r w:rsidRPr="003459BA">
              <w:rPr>
                <w:rFonts w:ascii="Baskerville Old Face" w:hAnsi="Baskerville Old Face" w:cs="Times New Roman"/>
                <w:color w:val="auto"/>
                <w:lang w:val="en-GB"/>
              </w:rPr>
              <w:t>TOTAL SCDs PROCESSED</w:t>
            </w:r>
          </w:p>
        </w:tc>
        <w:tc>
          <w:tcPr>
            <w:tcW w:w="2120" w:type="dxa"/>
            <w:hideMark/>
          </w:tcPr>
          <w:p w14:paraId="3E386365"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13,979</w:t>
            </w:r>
          </w:p>
        </w:tc>
        <w:tc>
          <w:tcPr>
            <w:tcW w:w="1640" w:type="dxa"/>
            <w:hideMark/>
          </w:tcPr>
          <w:p w14:paraId="1449EB97"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10,653</w:t>
            </w:r>
          </w:p>
        </w:tc>
        <w:tc>
          <w:tcPr>
            <w:tcW w:w="2220" w:type="dxa"/>
            <w:hideMark/>
          </w:tcPr>
          <w:p w14:paraId="72DFC7C9"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3,326</w:t>
            </w:r>
          </w:p>
        </w:tc>
      </w:tr>
      <w:tr w:rsidR="00896C19" w:rsidRPr="0062044A" w14:paraId="544B5D15"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D6007D7"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Red Lane</w:t>
            </w:r>
          </w:p>
        </w:tc>
        <w:tc>
          <w:tcPr>
            <w:tcW w:w="2120" w:type="dxa"/>
            <w:hideMark/>
          </w:tcPr>
          <w:p w14:paraId="28198B7D"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rPr>
              <w:t>13,421</w:t>
            </w:r>
          </w:p>
        </w:tc>
        <w:tc>
          <w:tcPr>
            <w:tcW w:w="1640" w:type="dxa"/>
            <w:hideMark/>
          </w:tcPr>
          <w:p w14:paraId="7708FFB7"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8,376</w:t>
            </w:r>
          </w:p>
        </w:tc>
        <w:tc>
          <w:tcPr>
            <w:tcW w:w="2220" w:type="dxa"/>
            <w:hideMark/>
          </w:tcPr>
          <w:p w14:paraId="2F47105C"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5,045</w:t>
            </w:r>
          </w:p>
        </w:tc>
      </w:tr>
      <w:tr w:rsidR="00896C19" w:rsidRPr="0062044A" w14:paraId="742781B9"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6A3EC94A"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Green Lane</w:t>
            </w:r>
          </w:p>
        </w:tc>
        <w:tc>
          <w:tcPr>
            <w:tcW w:w="2120" w:type="dxa"/>
            <w:hideMark/>
          </w:tcPr>
          <w:p w14:paraId="05BD13D9" w14:textId="78FAC795"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c>
          <w:tcPr>
            <w:tcW w:w="1640" w:type="dxa"/>
            <w:hideMark/>
          </w:tcPr>
          <w:p w14:paraId="41AF17E4"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254</w:t>
            </w:r>
          </w:p>
        </w:tc>
        <w:tc>
          <w:tcPr>
            <w:tcW w:w="2220" w:type="dxa"/>
            <w:hideMark/>
          </w:tcPr>
          <w:p w14:paraId="7534582C"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-254</w:t>
            </w:r>
          </w:p>
        </w:tc>
      </w:tr>
      <w:tr w:rsidR="00896C19" w:rsidRPr="0062044A" w14:paraId="1FF53F84"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2AA88C39"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Blue Lane</w:t>
            </w:r>
          </w:p>
        </w:tc>
        <w:tc>
          <w:tcPr>
            <w:tcW w:w="2120" w:type="dxa"/>
            <w:hideMark/>
          </w:tcPr>
          <w:p w14:paraId="1F181D7B" w14:textId="47C7A20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p>
        </w:tc>
        <w:tc>
          <w:tcPr>
            <w:tcW w:w="1640" w:type="dxa"/>
            <w:hideMark/>
          </w:tcPr>
          <w:p w14:paraId="7B2FC90D"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2,023</w:t>
            </w:r>
          </w:p>
        </w:tc>
        <w:tc>
          <w:tcPr>
            <w:tcW w:w="2220" w:type="dxa"/>
            <w:hideMark/>
          </w:tcPr>
          <w:p w14:paraId="734101F6"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-2,023</w:t>
            </w:r>
          </w:p>
        </w:tc>
      </w:tr>
      <w:tr w:rsidR="00896C19" w:rsidRPr="0062044A" w14:paraId="1CA35D50"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1E927C41"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rPr>
              <w:t>Yellow Lane</w:t>
            </w:r>
          </w:p>
        </w:tc>
        <w:tc>
          <w:tcPr>
            <w:tcW w:w="2120" w:type="dxa"/>
            <w:hideMark/>
          </w:tcPr>
          <w:p w14:paraId="74B58028"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rPr>
              <w:t>558</w:t>
            </w:r>
          </w:p>
        </w:tc>
        <w:tc>
          <w:tcPr>
            <w:tcW w:w="1640" w:type="dxa"/>
            <w:hideMark/>
          </w:tcPr>
          <w:p w14:paraId="720287B9" w14:textId="509FCCF8"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p>
        </w:tc>
        <w:tc>
          <w:tcPr>
            <w:tcW w:w="2220" w:type="dxa"/>
            <w:hideMark/>
          </w:tcPr>
          <w:p w14:paraId="661DB486"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rPr>
              <w:t>558</w:t>
            </w:r>
          </w:p>
        </w:tc>
      </w:tr>
      <w:tr w:rsidR="00896C19" w:rsidRPr="0062044A" w14:paraId="6614A8A9"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423F775E" w14:textId="77777777" w:rsidR="00896C19" w:rsidRPr="003459BA" w:rsidRDefault="00896C19" w:rsidP="00F9112B">
            <w:pPr>
              <w:spacing w:line="360" w:lineRule="auto"/>
              <w:jc w:val="both"/>
              <w:rPr>
                <w:rFonts w:ascii="Baskerville Old Face" w:hAnsi="Baskerville Old Face" w:cs="Times New Roman"/>
                <w:color w:val="auto"/>
              </w:rPr>
            </w:pPr>
            <w:r w:rsidRPr="003459BA">
              <w:rPr>
                <w:rFonts w:ascii="Baskerville Old Face" w:hAnsi="Baskerville Old Face" w:cs="Times New Roman"/>
                <w:color w:val="auto"/>
                <w:lang w:val="en-GB"/>
              </w:rPr>
              <w:t>TOTAL CONTAINERS</w:t>
            </w:r>
          </w:p>
        </w:tc>
        <w:tc>
          <w:tcPr>
            <w:tcW w:w="2120" w:type="dxa"/>
            <w:hideMark/>
          </w:tcPr>
          <w:p w14:paraId="17D3188F" w14:textId="77777777" w:rsidR="00896C19" w:rsidRPr="00C16759"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16759">
              <w:rPr>
                <w:rFonts w:ascii="Baskerville Old Face" w:hAnsi="Baskerville Old Face" w:cs="Times New Roman"/>
                <w:b/>
                <w:bCs/>
                <w:color w:val="auto"/>
              </w:rPr>
              <w:t>24,000</w:t>
            </w:r>
          </w:p>
        </w:tc>
        <w:tc>
          <w:tcPr>
            <w:tcW w:w="1640" w:type="dxa"/>
            <w:hideMark/>
          </w:tcPr>
          <w:p w14:paraId="1861DD66"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20,866</w:t>
            </w:r>
          </w:p>
        </w:tc>
        <w:tc>
          <w:tcPr>
            <w:tcW w:w="2220" w:type="dxa"/>
            <w:hideMark/>
          </w:tcPr>
          <w:p w14:paraId="7D775569"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lang w:val="en-GB"/>
              </w:rPr>
              <w:t>3,134</w:t>
            </w:r>
          </w:p>
        </w:tc>
      </w:tr>
      <w:tr w:rsidR="00896C19" w:rsidRPr="0062044A" w14:paraId="4F102202"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41973DA0"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 xml:space="preserve">20’ft </w:t>
            </w:r>
          </w:p>
        </w:tc>
        <w:tc>
          <w:tcPr>
            <w:tcW w:w="2120" w:type="dxa"/>
            <w:hideMark/>
          </w:tcPr>
          <w:p w14:paraId="622401FC" w14:textId="77777777" w:rsidR="00896C19" w:rsidRPr="00C16759"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16759">
              <w:rPr>
                <w:rFonts w:ascii="Baskerville Old Face" w:hAnsi="Baskerville Old Face" w:cs="Times New Roman"/>
                <w:color w:val="auto"/>
              </w:rPr>
              <w:t>12,800</w:t>
            </w:r>
          </w:p>
        </w:tc>
        <w:tc>
          <w:tcPr>
            <w:tcW w:w="1640" w:type="dxa"/>
            <w:hideMark/>
          </w:tcPr>
          <w:p w14:paraId="1A6CF8BD"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12,298</w:t>
            </w:r>
          </w:p>
        </w:tc>
        <w:tc>
          <w:tcPr>
            <w:tcW w:w="2220" w:type="dxa"/>
            <w:hideMark/>
          </w:tcPr>
          <w:p w14:paraId="618F3C7B"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502</w:t>
            </w:r>
          </w:p>
        </w:tc>
      </w:tr>
      <w:tr w:rsidR="00896C19" w:rsidRPr="0062044A" w14:paraId="3F4C684B" w14:textId="77777777" w:rsidTr="003459BA">
        <w:trPr>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38F59313" w14:textId="77777777" w:rsidR="00896C19" w:rsidRPr="003459BA" w:rsidRDefault="00896C19" w:rsidP="00F9112B">
            <w:pPr>
              <w:spacing w:line="360" w:lineRule="auto"/>
              <w:jc w:val="both"/>
              <w:rPr>
                <w:rFonts w:ascii="Baskerville Old Face" w:hAnsi="Baskerville Old Face" w:cs="Times New Roman"/>
                <w:b w:val="0"/>
                <w:bCs w:val="0"/>
                <w:color w:val="auto"/>
              </w:rPr>
            </w:pPr>
            <w:r w:rsidRPr="003459BA">
              <w:rPr>
                <w:rFonts w:ascii="Baskerville Old Face" w:hAnsi="Baskerville Old Face" w:cs="Times New Roman"/>
                <w:b w:val="0"/>
                <w:bCs w:val="0"/>
                <w:color w:val="auto"/>
                <w:lang w:val="en-GB"/>
              </w:rPr>
              <w:t xml:space="preserve">40’ft </w:t>
            </w:r>
          </w:p>
        </w:tc>
        <w:tc>
          <w:tcPr>
            <w:tcW w:w="2120" w:type="dxa"/>
            <w:hideMark/>
          </w:tcPr>
          <w:p w14:paraId="40180C68" w14:textId="77777777" w:rsidR="00896C19" w:rsidRPr="00C16759"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16759">
              <w:rPr>
                <w:rFonts w:ascii="Baskerville Old Face" w:hAnsi="Baskerville Old Face" w:cs="Times New Roman"/>
                <w:color w:val="auto"/>
              </w:rPr>
              <w:t>11,200</w:t>
            </w:r>
          </w:p>
        </w:tc>
        <w:tc>
          <w:tcPr>
            <w:tcW w:w="1640" w:type="dxa"/>
            <w:hideMark/>
          </w:tcPr>
          <w:p w14:paraId="75A0B6B6"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8,568</w:t>
            </w:r>
          </w:p>
        </w:tc>
        <w:tc>
          <w:tcPr>
            <w:tcW w:w="2220" w:type="dxa"/>
            <w:hideMark/>
          </w:tcPr>
          <w:p w14:paraId="318E6884" w14:textId="77777777" w:rsidR="00896C19" w:rsidRPr="003459BA" w:rsidRDefault="00896C19" w:rsidP="00E41C30">
            <w:pPr>
              <w:spacing w:line="360" w:lineRule="auto"/>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3459BA">
              <w:rPr>
                <w:rFonts w:ascii="Baskerville Old Face" w:hAnsi="Baskerville Old Face" w:cs="Times New Roman"/>
                <w:color w:val="auto"/>
                <w:lang w:val="en-GB"/>
              </w:rPr>
              <w:t>2,632</w:t>
            </w:r>
          </w:p>
        </w:tc>
      </w:tr>
      <w:tr w:rsidR="00896C19" w:rsidRPr="0062044A" w14:paraId="229949C1" w14:textId="77777777" w:rsidTr="003459B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20" w:type="dxa"/>
            <w:hideMark/>
          </w:tcPr>
          <w:p w14:paraId="52F9EA03" w14:textId="77777777" w:rsidR="00896C19" w:rsidRPr="003459BA" w:rsidRDefault="00896C19" w:rsidP="00F9112B">
            <w:pPr>
              <w:spacing w:line="360" w:lineRule="auto"/>
              <w:jc w:val="both"/>
              <w:rPr>
                <w:rFonts w:ascii="Baskerville Old Face" w:hAnsi="Baskerville Old Face" w:cs="Times New Roman"/>
                <w:color w:val="auto"/>
              </w:rPr>
            </w:pPr>
            <w:r w:rsidRPr="003459BA">
              <w:rPr>
                <w:rFonts w:ascii="Baskerville Old Face" w:hAnsi="Baskerville Old Face" w:cs="Times New Roman"/>
                <w:color w:val="auto"/>
              </w:rPr>
              <w:t>RECOVERY</w:t>
            </w:r>
          </w:p>
        </w:tc>
        <w:tc>
          <w:tcPr>
            <w:tcW w:w="2120" w:type="dxa"/>
            <w:noWrap/>
            <w:hideMark/>
          </w:tcPr>
          <w:p w14:paraId="589361F6" w14:textId="659E7173"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1,148,987.94</w:t>
            </w:r>
          </w:p>
        </w:tc>
        <w:tc>
          <w:tcPr>
            <w:tcW w:w="1640" w:type="dxa"/>
            <w:noWrap/>
            <w:hideMark/>
          </w:tcPr>
          <w:p w14:paraId="2921F149" w14:textId="7FF522B1"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1,466,383.08</w:t>
            </w:r>
          </w:p>
        </w:tc>
        <w:tc>
          <w:tcPr>
            <w:tcW w:w="2220" w:type="dxa"/>
            <w:hideMark/>
          </w:tcPr>
          <w:p w14:paraId="16324BF9" w14:textId="77777777" w:rsidR="00896C19" w:rsidRPr="003459BA" w:rsidRDefault="00896C19" w:rsidP="00E41C30">
            <w:pPr>
              <w:spacing w:line="360" w:lineRule="auto"/>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3459BA">
              <w:rPr>
                <w:rFonts w:ascii="Baskerville Old Face" w:hAnsi="Baskerville Old Face" w:cs="Times New Roman"/>
                <w:b/>
                <w:bCs/>
                <w:color w:val="auto"/>
              </w:rPr>
              <w:t>-317,395</w:t>
            </w:r>
          </w:p>
        </w:tc>
      </w:tr>
    </w:tbl>
    <w:p w14:paraId="558094BD"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6982F47F" w14:textId="77777777" w:rsidR="002725A1" w:rsidRDefault="002725A1" w:rsidP="002725A1">
      <w:pPr>
        <w:pStyle w:val="Heading2"/>
      </w:pPr>
    </w:p>
    <w:p w14:paraId="62C4799B" w14:textId="22BC70BB" w:rsidR="007532D0" w:rsidRPr="007532D0" w:rsidRDefault="00BA0DB9" w:rsidP="002725A1">
      <w:pPr>
        <w:pStyle w:val="Heading2"/>
      </w:pPr>
      <w:bookmarkStart w:id="105" w:name="_Toc198205718"/>
      <w:r>
        <w:t xml:space="preserve">4.12: </w:t>
      </w:r>
      <w:r w:rsidR="00116D56" w:rsidRPr="007532D0">
        <w:t>PORT BAGGAGE UNIT</w:t>
      </w:r>
      <w:bookmarkEnd w:id="105"/>
    </w:p>
    <w:p w14:paraId="6D4E436D" w14:textId="77777777" w:rsidR="002725A1" w:rsidRDefault="002725A1" w:rsidP="007532D0">
      <w:pPr>
        <w:spacing w:line="360" w:lineRule="auto"/>
        <w:jc w:val="both"/>
        <w:rPr>
          <w:rFonts w:ascii="Baskerville Old Face" w:hAnsi="Baskerville Old Face" w:cs="Times New Roman"/>
          <w:sz w:val="24"/>
          <w:szCs w:val="24"/>
        </w:rPr>
      </w:pPr>
    </w:p>
    <w:p w14:paraId="68C86DC2" w14:textId="4C76B7E6" w:rsidR="007532D0" w:rsidRDefault="007532D0" w:rsidP="007532D0">
      <w:pPr>
        <w:spacing w:line="360" w:lineRule="auto"/>
        <w:jc w:val="both"/>
        <w:rPr>
          <w:rFonts w:ascii="Baskerville Old Face" w:hAnsi="Baskerville Old Face" w:cs="Times New Roman"/>
          <w:sz w:val="24"/>
          <w:szCs w:val="24"/>
        </w:rPr>
      </w:pPr>
      <w:r w:rsidRPr="00C154D5">
        <w:rPr>
          <w:rFonts w:ascii="Baskerville Old Face" w:hAnsi="Baskerville Old Face" w:cs="Times New Roman"/>
          <w:sz w:val="24"/>
          <w:szCs w:val="24"/>
        </w:rPr>
        <w:t xml:space="preserve">Table </w:t>
      </w:r>
      <w:r w:rsidR="00C154D5">
        <w:rPr>
          <w:rFonts w:ascii="Baskerville Old Face" w:hAnsi="Baskerville Old Face" w:cs="Times New Roman"/>
          <w:sz w:val="24"/>
          <w:szCs w:val="24"/>
        </w:rPr>
        <w:t>2</w:t>
      </w:r>
      <w:r w:rsidR="00AA0A51">
        <w:rPr>
          <w:rFonts w:ascii="Baskerville Old Face" w:hAnsi="Baskerville Old Face" w:cs="Times New Roman"/>
          <w:sz w:val="24"/>
          <w:szCs w:val="24"/>
        </w:rPr>
        <w:t>8</w:t>
      </w:r>
      <w:r w:rsidRPr="007532D0">
        <w:rPr>
          <w:rFonts w:ascii="Baskerville Old Face" w:hAnsi="Baskerville Old Face" w:cs="Times New Roman"/>
          <w:sz w:val="24"/>
          <w:szCs w:val="24"/>
        </w:rPr>
        <w:t xml:space="preserve"> presents a summary of the total declarations, containers, and packages processed and released in 2023 compared to 2022 by the Baggage Unit. The total number of declarations processed by the Baggage Unit increased by 611, reaching 6,837 in 2023. In 2023, a total of 4,883 containers underwent examination and clearance by the Unit, with 97.1% of them being 40-foot containers. However, there was a decrease of 618 containers released by the Unit in 2023 compared to 2022, when the figure stood at 5,501.</w:t>
      </w:r>
      <w:r>
        <w:rPr>
          <w:rFonts w:ascii="Baskerville Old Face" w:hAnsi="Baskerville Old Face" w:cs="Times New Roman"/>
          <w:sz w:val="24"/>
          <w:szCs w:val="24"/>
        </w:rPr>
        <w:t xml:space="preserve"> </w:t>
      </w:r>
      <w:r w:rsidRPr="007532D0">
        <w:rPr>
          <w:rFonts w:ascii="Baskerville Old Face" w:hAnsi="Baskerville Old Face" w:cs="Times New Roman"/>
          <w:sz w:val="24"/>
          <w:szCs w:val="24"/>
        </w:rPr>
        <w:t>Additionally, the Baggage Unit examined and released a total of 1,849 packages or pallets in 2023, with 75.6% of them being dutiable packages.</w:t>
      </w:r>
    </w:p>
    <w:p w14:paraId="06E2C393" w14:textId="77777777" w:rsidR="00FE46BC" w:rsidRDefault="00FE46BC" w:rsidP="00FE46BC">
      <w:pPr>
        <w:spacing w:line="360" w:lineRule="auto"/>
        <w:jc w:val="both"/>
        <w:rPr>
          <w:rFonts w:ascii="Baskerville Old Face" w:hAnsi="Baskerville Old Face" w:cs="Times New Roman"/>
          <w:sz w:val="24"/>
          <w:szCs w:val="24"/>
        </w:rPr>
      </w:pPr>
      <w:r w:rsidRPr="007532D0">
        <w:rPr>
          <w:rFonts w:ascii="Baskerville Old Face" w:hAnsi="Baskerville Old Face" w:cs="Times New Roman"/>
          <w:sz w:val="24"/>
          <w:szCs w:val="24"/>
        </w:rPr>
        <w:t>During the physical examinations and verification processes conducted by the Baggage Unit, discrepancies were detected, resulting in the recovery of additional revenues totaling NLe 323.663 thousand. This amount represents a decrease from the NLe 982.854 thousand recovered as additional revenue in the previous year.</w:t>
      </w:r>
    </w:p>
    <w:p w14:paraId="24CC00AD" w14:textId="77777777" w:rsidR="00AC7B56" w:rsidRDefault="00AC7B56" w:rsidP="00FE46BC">
      <w:pPr>
        <w:spacing w:line="360" w:lineRule="auto"/>
        <w:jc w:val="both"/>
        <w:rPr>
          <w:rFonts w:ascii="Baskerville Old Face" w:hAnsi="Baskerville Old Face" w:cs="Times New Roman"/>
          <w:sz w:val="24"/>
          <w:szCs w:val="24"/>
        </w:rPr>
      </w:pPr>
    </w:p>
    <w:p w14:paraId="38183345" w14:textId="77777777" w:rsidR="00AC7B56" w:rsidRDefault="00AC7B56" w:rsidP="00FE46BC">
      <w:pPr>
        <w:spacing w:line="360" w:lineRule="auto"/>
        <w:jc w:val="both"/>
        <w:rPr>
          <w:rFonts w:ascii="Baskerville Old Face" w:hAnsi="Baskerville Old Face" w:cs="Times New Roman"/>
          <w:sz w:val="24"/>
          <w:szCs w:val="24"/>
        </w:rPr>
      </w:pPr>
    </w:p>
    <w:p w14:paraId="31E557F5" w14:textId="77777777" w:rsidR="00AC7B56" w:rsidRDefault="00AC7B56" w:rsidP="00FE46BC">
      <w:pPr>
        <w:spacing w:line="360" w:lineRule="auto"/>
        <w:jc w:val="both"/>
        <w:rPr>
          <w:rFonts w:ascii="Baskerville Old Face" w:hAnsi="Baskerville Old Face" w:cs="Times New Roman"/>
          <w:sz w:val="24"/>
          <w:szCs w:val="24"/>
        </w:rPr>
      </w:pPr>
    </w:p>
    <w:p w14:paraId="59475290" w14:textId="77777777" w:rsidR="00AC7B56" w:rsidRDefault="00AC7B56" w:rsidP="00FE46BC">
      <w:pPr>
        <w:spacing w:line="360" w:lineRule="auto"/>
        <w:jc w:val="both"/>
        <w:rPr>
          <w:rFonts w:ascii="Baskerville Old Face" w:hAnsi="Baskerville Old Face" w:cs="Times New Roman"/>
          <w:sz w:val="24"/>
          <w:szCs w:val="24"/>
        </w:rPr>
      </w:pPr>
    </w:p>
    <w:p w14:paraId="3C5F4948" w14:textId="37DF9929" w:rsidR="007532D0" w:rsidRPr="0062044A" w:rsidRDefault="007532D0" w:rsidP="007532D0">
      <w:pPr>
        <w:jc w:val="both"/>
        <w:rPr>
          <w:rFonts w:ascii="Baskerville Old Face" w:hAnsi="Baskerville Old Face"/>
          <w:b/>
          <w:bCs/>
        </w:rPr>
      </w:pPr>
      <w:bookmarkStart w:id="106" w:name="Table28"/>
      <w:r w:rsidRPr="00C154D5">
        <w:rPr>
          <w:rFonts w:ascii="Baskerville Old Face" w:hAnsi="Baskerville Old Face"/>
          <w:b/>
          <w:bCs/>
        </w:rPr>
        <w:lastRenderedPageBreak/>
        <w:t xml:space="preserve">Table </w:t>
      </w:r>
      <w:r w:rsidR="00C154D5">
        <w:rPr>
          <w:rFonts w:ascii="Baskerville Old Face" w:hAnsi="Baskerville Old Face"/>
          <w:b/>
          <w:bCs/>
        </w:rPr>
        <w:t>2</w:t>
      </w:r>
      <w:r w:rsidR="00AA0A51">
        <w:rPr>
          <w:rFonts w:ascii="Baskerville Old Face" w:hAnsi="Baskerville Old Face"/>
          <w:b/>
          <w:bCs/>
        </w:rPr>
        <w:t>8</w:t>
      </w:r>
      <w:r w:rsidRPr="0062044A">
        <w:rPr>
          <w:rFonts w:ascii="Baskerville Old Face" w:hAnsi="Baskerville Old Face"/>
          <w:b/>
          <w:bCs/>
        </w:rPr>
        <w:t>: Number of Containers Examined and Released 2023 and 2022 by the Baggage Unit</w:t>
      </w:r>
    </w:p>
    <w:tbl>
      <w:tblPr>
        <w:tblStyle w:val="GridTable6Colorful"/>
        <w:tblW w:w="0" w:type="auto"/>
        <w:tblLook w:val="04A0" w:firstRow="1" w:lastRow="0" w:firstColumn="1" w:lastColumn="0" w:noHBand="0" w:noVBand="1"/>
      </w:tblPr>
      <w:tblGrid>
        <w:gridCol w:w="2983"/>
        <w:gridCol w:w="963"/>
        <w:gridCol w:w="963"/>
        <w:gridCol w:w="1591"/>
      </w:tblGrid>
      <w:tr w:rsidR="007532D0" w:rsidRPr="0062044A" w14:paraId="0A280D64" w14:textId="77777777" w:rsidTr="00B86FAD">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983" w:type="dxa"/>
            <w:hideMark/>
          </w:tcPr>
          <w:bookmarkEnd w:id="106"/>
          <w:p w14:paraId="2E8B118B" w14:textId="2E486139" w:rsidR="007532D0" w:rsidRPr="0062044A" w:rsidRDefault="008F0B4E" w:rsidP="00F9112B">
            <w:pPr>
              <w:jc w:val="both"/>
              <w:rPr>
                <w:rFonts w:ascii="Baskerville Old Face" w:hAnsi="Baskerville Old Face"/>
                <w:b w:val="0"/>
                <w:bCs w:val="0"/>
              </w:rPr>
            </w:pPr>
            <w:r w:rsidRPr="0062044A">
              <w:rPr>
                <w:rFonts w:ascii="Baskerville Old Face" w:hAnsi="Baskerville Old Face"/>
                <w:lang w:val="en-GB"/>
              </w:rPr>
              <w:t>CATEGORY</w:t>
            </w:r>
          </w:p>
        </w:tc>
        <w:tc>
          <w:tcPr>
            <w:tcW w:w="963" w:type="dxa"/>
            <w:hideMark/>
          </w:tcPr>
          <w:p w14:paraId="282CD8CA" w14:textId="3FE63AEF" w:rsidR="007532D0" w:rsidRPr="0062044A" w:rsidRDefault="008F0B4E"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sidRPr="0062044A">
              <w:rPr>
                <w:rFonts w:ascii="Baskerville Old Face" w:hAnsi="Baskerville Old Face"/>
                <w:lang w:val="en-GB"/>
              </w:rPr>
              <w:t>2023</w:t>
            </w:r>
          </w:p>
        </w:tc>
        <w:tc>
          <w:tcPr>
            <w:tcW w:w="963" w:type="dxa"/>
            <w:hideMark/>
          </w:tcPr>
          <w:p w14:paraId="5B85884F" w14:textId="1FC815E1" w:rsidR="007532D0" w:rsidRPr="0062044A" w:rsidRDefault="008F0B4E"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sidRPr="0062044A">
              <w:rPr>
                <w:rFonts w:ascii="Baskerville Old Face" w:hAnsi="Baskerville Old Face"/>
                <w:lang w:val="en-GB"/>
              </w:rPr>
              <w:t>2022</w:t>
            </w:r>
          </w:p>
        </w:tc>
        <w:tc>
          <w:tcPr>
            <w:tcW w:w="1591" w:type="dxa"/>
            <w:hideMark/>
          </w:tcPr>
          <w:p w14:paraId="2CCB311E" w14:textId="39783D19" w:rsidR="007532D0" w:rsidRPr="0062044A" w:rsidRDefault="008F0B4E" w:rsidP="00B86FAD">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b w:val="0"/>
                <w:bCs w:val="0"/>
              </w:rPr>
            </w:pPr>
            <w:r>
              <w:rPr>
                <w:rFonts w:ascii="Baskerville Old Face" w:hAnsi="Baskerville Old Face"/>
                <w:lang w:val="en-GB"/>
              </w:rPr>
              <w:t>VARIANCE</w:t>
            </w:r>
          </w:p>
        </w:tc>
      </w:tr>
      <w:tr w:rsidR="007532D0" w:rsidRPr="0062044A" w14:paraId="79E0C061" w14:textId="77777777" w:rsidTr="00B86FA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983" w:type="dxa"/>
            <w:hideMark/>
          </w:tcPr>
          <w:p w14:paraId="3D965F5D" w14:textId="58DBBE3D" w:rsidR="007532D0" w:rsidRPr="00B86FAD" w:rsidRDefault="008F0B4E" w:rsidP="00F9112B">
            <w:pPr>
              <w:jc w:val="both"/>
              <w:rPr>
                <w:rFonts w:ascii="Baskerville Old Face" w:hAnsi="Baskerville Old Face"/>
              </w:rPr>
            </w:pPr>
            <w:r w:rsidRPr="00B86FAD">
              <w:rPr>
                <w:rFonts w:ascii="Baskerville Old Face" w:hAnsi="Baskerville Old Face"/>
                <w:lang w:val="en-GB"/>
              </w:rPr>
              <w:t>Total</w:t>
            </w:r>
            <w:r w:rsidR="007532D0" w:rsidRPr="00B86FAD">
              <w:rPr>
                <w:rFonts w:ascii="Baskerville Old Face" w:hAnsi="Baskerville Old Face"/>
                <w:lang w:val="en-GB"/>
              </w:rPr>
              <w:t xml:space="preserve"> SCDs P</w:t>
            </w:r>
            <w:r w:rsidRPr="00B86FAD">
              <w:rPr>
                <w:rFonts w:ascii="Baskerville Old Face" w:hAnsi="Baskerville Old Face"/>
                <w:lang w:val="en-GB"/>
              </w:rPr>
              <w:t>rocessed</w:t>
            </w:r>
          </w:p>
        </w:tc>
        <w:tc>
          <w:tcPr>
            <w:tcW w:w="963" w:type="dxa"/>
            <w:hideMark/>
          </w:tcPr>
          <w:p w14:paraId="4CD548CD" w14:textId="741618B5"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7,448</w:t>
            </w:r>
          </w:p>
        </w:tc>
        <w:tc>
          <w:tcPr>
            <w:tcW w:w="963" w:type="dxa"/>
            <w:hideMark/>
          </w:tcPr>
          <w:p w14:paraId="2D56CE65" w14:textId="488139FF"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6,837</w:t>
            </w:r>
          </w:p>
        </w:tc>
        <w:tc>
          <w:tcPr>
            <w:tcW w:w="1591" w:type="dxa"/>
            <w:hideMark/>
          </w:tcPr>
          <w:p w14:paraId="7638BE12" w14:textId="6A8E6266"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611</w:t>
            </w:r>
          </w:p>
        </w:tc>
      </w:tr>
      <w:tr w:rsidR="007532D0" w:rsidRPr="0062044A" w14:paraId="6BE254EE" w14:textId="77777777" w:rsidTr="00B86FAD">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3E415594" w14:textId="7BED533B" w:rsidR="007532D0" w:rsidRPr="00B86FAD" w:rsidRDefault="008F0B4E" w:rsidP="00F9112B">
            <w:pPr>
              <w:jc w:val="both"/>
              <w:rPr>
                <w:rFonts w:ascii="Baskerville Old Face" w:hAnsi="Baskerville Old Face"/>
              </w:rPr>
            </w:pPr>
            <w:r w:rsidRPr="00B86FAD">
              <w:rPr>
                <w:rFonts w:ascii="Baskerville Old Face" w:hAnsi="Baskerville Old Face"/>
                <w:lang w:val="en-GB"/>
              </w:rPr>
              <w:t>Total Containers</w:t>
            </w:r>
          </w:p>
        </w:tc>
        <w:tc>
          <w:tcPr>
            <w:tcW w:w="963" w:type="dxa"/>
            <w:hideMark/>
          </w:tcPr>
          <w:p w14:paraId="6B7CF0D8" w14:textId="0A13B249"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4,883</w:t>
            </w:r>
          </w:p>
        </w:tc>
        <w:tc>
          <w:tcPr>
            <w:tcW w:w="963" w:type="dxa"/>
            <w:hideMark/>
          </w:tcPr>
          <w:p w14:paraId="333085C1" w14:textId="384BF0C1"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5,501</w:t>
            </w:r>
          </w:p>
        </w:tc>
        <w:tc>
          <w:tcPr>
            <w:tcW w:w="1591" w:type="dxa"/>
            <w:hideMark/>
          </w:tcPr>
          <w:p w14:paraId="67881D8B" w14:textId="545FFF18"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(618)</w:t>
            </w:r>
          </w:p>
        </w:tc>
      </w:tr>
      <w:tr w:rsidR="007532D0" w:rsidRPr="0062044A" w14:paraId="09F5E3DF" w14:textId="77777777" w:rsidTr="00B86F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64E11CD4"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 xml:space="preserve">40’ft </w:t>
            </w:r>
            <w:proofErr w:type="spellStart"/>
            <w:r w:rsidRPr="00B86FAD">
              <w:rPr>
                <w:rFonts w:ascii="Baskerville Old Face" w:hAnsi="Baskerville Old Face"/>
                <w:b w:val="0"/>
                <w:bCs w:val="0"/>
                <w:lang w:val="en-GB"/>
              </w:rPr>
              <w:t>Conts</w:t>
            </w:r>
            <w:proofErr w:type="spellEnd"/>
            <w:r w:rsidRPr="00B86FAD">
              <w:rPr>
                <w:rFonts w:ascii="Baskerville Old Face" w:hAnsi="Baskerville Old Face"/>
                <w:b w:val="0"/>
                <w:bCs w:val="0"/>
                <w:lang w:val="en-GB"/>
              </w:rPr>
              <w:t>.</w:t>
            </w:r>
          </w:p>
        </w:tc>
        <w:tc>
          <w:tcPr>
            <w:tcW w:w="963" w:type="dxa"/>
            <w:hideMark/>
          </w:tcPr>
          <w:p w14:paraId="2B1BE049" w14:textId="405C441D"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4,741</w:t>
            </w:r>
          </w:p>
        </w:tc>
        <w:tc>
          <w:tcPr>
            <w:tcW w:w="963" w:type="dxa"/>
            <w:hideMark/>
          </w:tcPr>
          <w:p w14:paraId="6778203E" w14:textId="5FC800EB"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5,375</w:t>
            </w:r>
          </w:p>
        </w:tc>
        <w:tc>
          <w:tcPr>
            <w:tcW w:w="1591" w:type="dxa"/>
            <w:hideMark/>
          </w:tcPr>
          <w:p w14:paraId="0679CE8E" w14:textId="16D832C8"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(634)</w:t>
            </w:r>
          </w:p>
        </w:tc>
      </w:tr>
      <w:tr w:rsidR="007532D0" w:rsidRPr="0062044A" w14:paraId="4099DA56" w14:textId="77777777" w:rsidTr="00B86FAD">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3933A406"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 xml:space="preserve">20’ft </w:t>
            </w:r>
            <w:proofErr w:type="spellStart"/>
            <w:r w:rsidRPr="00B86FAD">
              <w:rPr>
                <w:rFonts w:ascii="Baskerville Old Face" w:hAnsi="Baskerville Old Face"/>
                <w:b w:val="0"/>
                <w:bCs w:val="0"/>
                <w:lang w:val="en-GB"/>
              </w:rPr>
              <w:t>Conts</w:t>
            </w:r>
            <w:proofErr w:type="spellEnd"/>
            <w:r w:rsidRPr="00B86FAD">
              <w:rPr>
                <w:rFonts w:ascii="Baskerville Old Face" w:hAnsi="Baskerville Old Face"/>
                <w:b w:val="0"/>
                <w:bCs w:val="0"/>
                <w:lang w:val="en-GB"/>
              </w:rPr>
              <w:t>.</w:t>
            </w:r>
          </w:p>
        </w:tc>
        <w:tc>
          <w:tcPr>
            <w:tcW w:w="963" w:type="dxa"/>
            <w:hideMark/>
          </w:tcPr>
          <w:p w14:paraId="0D2854FF" w14:textId="2AB23D4A"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142</w:t>
            </w:r>
          </w:p>
        </w:tc>
        <w:tc>
          <w:tcPr>
            <w:tcW w:w="963" w:type="dxa"/>
            <w:hideMark/>
          </w:tcPr>
          <w:p w14:paraId="5F5173CE" w14:textId="20E2DAF7"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126</w:t>
            </w:r>
          </w:p>
        </w:tc>
        <w:tc>
          <w:tcPr>
            <w:tcW w:w="1591" w:type="dxa"/>
            <w:hideMark/>
          </w:tcPr>
          <w:p w14:paraId="52D49661" w14:textId="55932BEB"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16</w:t>
            </w:r>
          </w:p>
        </w:tc>
      </w:tr>
      <w:tr w:rsidR="007532D0" w:rsidRPr="0062044A" w14:paraId="48C07EF1" w14:textId="77777777" w:rsidTr="00B86F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6959D993" w14:textId="21258A4C" w:rsidR="007532D0" w:rsidRPr="00B86FAD" w:rsidRDefault="008F0B4E" w:rsidP="00F9112B">
            <w:pPr>
              <w:jc w:val="both"/>
              <w:rPr>
                <w:rFonts w:ascii="Baskerville Old Face" w:hAnsi="Baskerville Old Face"/>
              </w:rPr>
            </w:pPr>
            <w:r w:rsidRPr="00B86FAD">
              <w:rPr>
                <w:rFonts w:ascii="Baskerville Old Face" w:hAnsi="Baskerville Old Face"/>
                <w:lang w:val="en-GB"/>
              </w:rPr>
              <w:t>Total Packages</w:t>
            </w:r>
          </w:p>
        </w:tc>
        <w:tc>
          <w:tcPr>
            <w:tcW w:w="963" w:type="dxa"/>
            <w:hideMark/>
          </w:tcPr>
          <w:p w14:paraId="36FCCF6B" w14:textId="0B318FB9"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1,849</w:t>
            </w:r>
          </w:p>
        </w:tc>
        <w:tc>
          <w:tcPr>
            <w:tcW w:w="963" w:type="dxa"/>
            <w:hideMark/>
          </w:tcPr>
          <w:p w14:paraId="1BAE0EBF" w14:textId="0A940BAA"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1,312</w:t>
            </w:r>
          </w:p>
        </w:tc>
        <w:tc>
          <w:tcPr>
            <w:tcW w:w="1591" w:type="dxa"/>
            <w:hideMark/>
          </w:tcPr>
          <w:p w14:paraId="7F7864D0" w14:textId="71121612"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537</w:t>
            </w:r>
          </w:p>
        </w:tc>
      </w:tr>
      <w:tr w:rsidR="007532D0" w:rsidRPr="0062044A" w14:paraId="143C2D5D" w14:textId="77777777" w:rsidTr="00B86FAD">
        <w:trPr>
          <w:trHeight w:val="324"/>
        </w:trPr>
        <w:tc>
          <w:tcPr>
            <w:cnfStyle w:val="001000000000" w:firstRow="0" w:lastRow="0" w:firstColumn="1" w:lastColumn="0" w:oddVBand="0" w:evenVBand="0" w:oddHBand="0" w:evenHBand="0" w:firstRowFirstColumn="0" w:firstRowLastColumn="0" w:lastRowFirstColumn="0" w:lastRowLastColumn="0"/>
            <w:tcW w:w="2983" w:type="dxa"/>
            <w:hideMark/>
          </w:tcPr>
          <w:p w14:paraId="1BD2B54D"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Dutiable</w:t>
            </w:r>
          </w:p>
        </w:tc>
        <w:tc>
          <w:tcPr>
            <w:tcW w:w="963" w:type="dxa"/>
            <w:hideMark/>
          </w:tcPr>
          <w:p w14:paraId="7D8204F7" w14:textId="4E8F4838"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1,397</w:t>
            </w:r>
          </w:p>
        </w:tc>
        <w:tc>
          <w:tcPr>
            <w:tcW w:w="963" w:type="dxa"/>
            <w:hideMark/>
          </w:tcPr>
          <w:p w14:paraId="00056834" w14:textId="499DF41D"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792</w:t>
            </w:r>
          </w:p>
        </w:tc>
        <w:tc>
          <w:tcPr>
            <w:tcW w:w="1591" w:type="dxa"/>
            <w:hideMark/>
          </w:tcPr>
          <w:p w14:paraId="6A7B38BA" w14:textId="7505C600" w:rsidR="007532D0" w:rsidRPr="0062044A" w:rsidRDefault="007532D0" w:rsidP="00B86FAD">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605</w:t>
            </w:r>
          </w:p>
        </w:tc>
      </w:tr>
      <w:tr w:rsidR="007532D0" w:rsidRPr="0062044A" w14:paraId="7B5A4EA6" w14:textId="77777777" w:rsidTr="00B86F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83" w:type="dxa"/>
            <w:hideMark/>
          </w:tcPr>
          <w:p w14:paraId="63A4F870" w14:textId="77777777" w:rsidR="007532D0" w:rsidRPr="00B86FAD" w:rsidRDefault="007532D0" w:rsidP="00F9112B">
            <w:pPr>
              <w:jc w:val="both"/>
              <w:rPr>
                <w:rFonts w:ascii="Baskerville Old Face" w:hAnsi="Baskerville Old Face"/>
                <w:b w:val="0"/>
                <w:bCs w:val="0"/>
              </w:rPr>
            </w:pPr>
            <w:r w:rsidRPr="00B86FAD">
              <w:rPr>
                <w:rFonts w:ascii="Baskerville Old Face" w:hAnsi="Baskerville Old Face"/>
                <w:b w:val="0"/>
                <w:bCs w:val="0"/>
                <w:lang w:val="en-GB"/>
              </w:rPr>
              <w:t>Duty-Free</w:t>
            </w:r>
          </w:p>
        </w:tc>
        <w:tc>
          <w:tcPr>
            <w:tcW w:w="963" w:type="dxa"/>
            <w:hideMark/>
          </w:tcPr>
          <w:p w14:paraId="4ADBCE9B" w14:textId="3908CF4B"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452</w:t>
            </w:r>
          </w:p>
        </w:tc>
        <w:tc>
          <w:tcPr>
            <w:tcW w:w="963" w:type="dxa"/>
            <w:hideMark/>
          </w:tcPr>
          <w:p w14:paraId="6D91FC0E" w14:textId="4081F975"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520</w:t>
            </w:r>
          </w:p>
        </w:tc>
        <w:tc>
          <w:tcPr>
            <w:tcW w:w="1591" w:type="dxa"/>
            <w:hideMark/>
          </w:tcPr>
          <w:p w14:paraId="147F8692" w14:textId="554BD0E6" w:rsidR="007532D0" w:rsidRPr="0062044A" w:rsidRDefault="007532D0" w:rsidP="00B86FAD">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(68)</w:t>
            </w:r>
          </w:p>
        </w:tc>
      </w:tr>
    </w:tbl>
    <w:p w14:paraId="5B73BE00"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24390C80" w14:textId="77777777" w:rsidR="00A6675A" w:rsidRDefault="00A6675A" w:rsidP="00AC7B56">
      <w:pPr>
        <w:pStyle w:val="Heading2"/>
      </w:pPr>
    </w:p>
    <w:p w14:paraId="7E85B836" w14:textId="6F0DD10B" w:rsidR="002725A1" w:rsidRDefault="00BA0DB9" w:rsidP="00AC7B56">
      <w:pPr>
        <w:pStyle w:val="Heading2"/>
      </w:pPr>
      <w:bookmarkStart w:id="107" w:name="_Toc198205719"/>
      <w:r>
        <w:t xml:space="preserve">4.13: </w:t>
      </w:r>
      <w:r w:rsidR="00116D56" w:rsidRPr="00292A98">
        <w:t>VEHICLE CLEARANCE UNIT</w:t>
      </w:r>
      <w:bookmarkEnd w:id="107"/>
    </w:p>
    <w:p w14:paraId="6C279BCB" w14:textId="6BC9DE24" w:rsidR="007532D0" w:rsidRDefault="00292A98" w:rsidP="00292A98">
      <w:pPr>
        <w:spacing w:line="360" w:lineRule="auto"/>
        <w:jc w:val="both"/>
        <w:rPr>
          <w:rFonts w:ascii="Baskerville Old Face" w:hAnsi="Baskerville Old Face" w:cs="Times New Roman"/>
          <w:sz w:val="24"/>
          <w:szCs w:val="24"/>
        </w:rPr>
      </w:pPr>
      <w:r w:rsidRPr="00292A98">
        <w:rPr>
          <w:rFonts w:ascii="Baskerville Old Face" w:hAnsi="Baskerville Old Face" w:cs="Times New Roman"/>
          <w:sz w:val="24"/>
          <w:szCs w:val="24"/>
        </w:rPr>
        <w:t xml:space="preserve">The Vehicles Valuation Unit is tasked with evaluating the values of imported vehicles, motorcycles, machinery, and boats. During the </w:t>
      </w:r>
      <w:r>
        <w:rPr>
          <w:rFonts w:ascii="Baskerville Old Face" w:hAnsi="Baskerville Old Face" w:cs="Times New Roman"/>
          <w:sz w:val="24"/>
          <w:szCs w:val="24"/>
        </w:rPr>
        <w:t xml:space="preserve">year </w:t>
      </w:r>
      <w:r w:rsidRPr="00292A98">
        <w:rPr>
          <w:rFonts w:ascii="Baskerville Old Face" w:hAnsi="Baskerville Old Face" w:cs="Times New Roman"/>
          <w:sz w:val="24"/>
          <w:szCs w:val="24"/>
        </w:rPr>
        <w:t xml:space="preserve">under review, the Unit processed a total of 9,522 declarations, slightly lower than the 9,603 declarations processed in 2022. However, it managed to generate </w:t>
      </w:r>
      <w:proofErr w:type="gramStart"/>
      <w:r w:rsidRPr="00292A98">
        <w:rPr>
          <w:rFonts w:ascii="Baskerville Old Face" w:hAnsi="Baskerville Old Face" w:cs="Times New Roman"/>
          <w:sz w:val="24"/>
          <w:szCs w:val="24"/>
        </w:rPr>
        <w:t>a significantly</w:t>
      </w:r>
      <w:proofErr w:type="gramEnd"/>
      <w:r w:rsidRPr="00292A98">
        <w:rPr>
          <w:rFonts w:ascii="Baskerville Old Face" w:hAnsi="Baskerville Old Face" w:cs="Times New Roman"/>
          <w:sz w:val="24"/>
          <w:szCs w:val="24"/>
        </w:rPr>
        <w:t xml:space="preserve"> higher revenue of NLe 357,243 million from various vehicle types, compared to the NLe 156,194 million collected in 2022, as indicated in </w:t>
      </w:r>
      <w:r w:rsidRPr="00C340BA">
        <w:rPr>
          <w:rFonts w:ascii="Baskerville Old Face" w:hAnsi="Baskerville Old Face" w:cs="Times New Roman"/>
          <w:sz w:val="24"/>
          <w:szCs w:val="24"/>
        </w:rPr>
        <w:t xml:space="preserve">Table </w:t>
      </w:r>
      <w:r w:rsidR="00AA0A51">
        <w:rPr>
          <w:rFonts w:ascii="Baskerville Old Face" w:hAnsi="Baskerville Old Face" w:cs="Times New Roman"/>
          <w:sz w:val="24"/>
          <w:szCs w:val="24"/>
        </w:rPr>
        <w:t>29</w:t>
      </w:r>
      <w:r w:rsidRPr="00292A98">
        <w:rPr>
          <w:rFonts w:ascii="Baskerville Old Face" w:hAnsi="Baskerville Old Face" w:cs="Times New Roman"/>
          <w:sz w:val="24"/>
          <w:szCs w:val="24"/>
        </w:rPr>
        <w:t>. Additionally, in 2023, a total of 3,610 declarations were reassessed, resulting in the recovery of NLe 87.451 million in additional revenue.</w:t>
      </w:r>
    </w:p>
    <w:p w14:paraId="10B33B6B" w14:textId="2E9B753B" w:rsidR="00FC5F2A" w:rsidRPr="0062044A" w:rsidRDefault="00FC5F2A" w:rsidP="00FC5F2A">
      <w:pPr>
        <w:spacing w:line="240" w:lineRule="auto"/>
        <w:jc w:val="both"/>
        <w:rPr>
          <w:rFonts w:ascii="Baskerville Old Face" w:eastAsia="Times New Roman" w:hAnsi="Baskerville Old Face" w:cs="Times New Roman"/>
          <w:b/>
          <w:bCs/>
          <w:i/>
          <w:iCs/>
          <w:color w:val="000000"/>
          <w:sz w:val="24"/>
          <w:szCs w:val="24"/>
          <w:lang w:val="en-GB"/>
        </w:rPr>
      </w:pPr>
      <w:bookmarkStart w:id="108" w:name="Table29"/>
      <w:r w:rsidRPr="00C340BA">
        <w:rPr>
          <w:rFonts w:ascii="Baskerville Old Face" w:hAnsi="Baskerville Old Face" w:cs="Times New Roman"/>
          <w:b/>
          <w:bCs/>
          <w:i/>
          <w:iCs/>
          <w:sz w:val="24"/>
          <w:szCs w:val="24"/>
          <w:lang w:val="en-GB"/>
        </w:rPr>
        <w:t xml:space="preserve">Table </w:t>
      </w:r>
      <w:r w:rsidR="00AA0A51">
        <w:rPr>
          <w:rFonts w:ascii="Baskerville Old Face" w:hAnsi="Baskerville Old Face" w:cs="Times New Roman"/>
          <w:b/>
          <w:bCs/>
          <w:i/>
          <w:iCs/>
          <w:sz w:val="24"/>
          <w:szCs w:val="24"/>
          <w:lang w:val="en-GB"/>
        </w:rPr>
        <w:t>29</w:t>
      </w:r>
      <w:r w:rsidRPr="0062044A">
        <w:rPr>
          <w:rFonts w:ascii="Baskerville Old Face" w:hAnsi="Baskerville Old Face" w:cs="Times New Roman"/>
          <w:b/>
          <w:bCs/>
          <w:i/>
          <w:iCs/>
          <w:sz w:val="24"/>
          <w:szCs w:val="24"/>
          <w:lang w:val="en-GB"/>
        </w:rPr>
        <w:t>:</w:t>
      </w:r>
      <w:r w:rsidRPr="0062044A">
        <w:rPr>
          <w:rFonts w:ascii="Baskerville Old Face" w:eastAsia="Times New Roman" w:hAnsi="Baskerville Old Face" w:cs="Times New Roman"/>
          <w:b/>
          <w:bCs/>
          <w:i/>
          <w:iCs/>
          <w:color w:val="000000"/>
          <w:sz w:val="24"/>
          <w:szCs w:val="24"/>
          <w:lang w:val="en-GB"/>
        </w:rPr>
        <w:t xml:space="preserve"> Number of Declarations and Revenue Collection by the Vehicle Unit in 2023 and 2022 (NLe)</w:t>
      </w:r>
    </w:p>
    <w:tbl>
      <w:tblPr>
        <w:tblStyle w:val="GridTable4-Accent6"/>
        <w:tblW w:w="10345" w:type="dxa"/>
        <w:tblLook w:val="04A0" w:firstRow="1" w:lastRow="0" w:firstColumn="1" w:lastColumn="0" w:noHBand="0" w:noVBand="1"/>
      </w:tblPr>
      <w:tblGrid>
        <w:gridCol w:w="1416"/>
        <w:gridCol w:w="2118"/>
        <w:gridCol w:w="2131"/>
        <w:gridCol w:w="2430"/>
        <w:gridCol w:w="2250"/>
      </w:tblGrid>
      <w:tr w:rsidR="00FC5F2A" w:rsidRPr="00610B36" w14:paraId="7CF4D6A8" w14:textId="77777777" w:rsidTr="0085508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vMerge w:val="restart"/>
            <w:hideMark/>
          </w:tcPr>
          <w:bookmarkEnd w:id="108"/>
          <w:p w14:paraId="46FB2940" w14:textId="77777777" w:rsidR="00FC5F2A" w:rsidRPr="00610B36" w:rsidRDefault="00FC5F2A" w:rsidP="00610B36">
            <w:pPr>
              <w:jc w:val="center"/>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rPr>
              <w:t>Description</w:t>
            </w:r>
          </w:p>
        </w:tc>
        <w:tc>
          <w:tcPr>
            <w:tcW w:w="4249" w:type="dxa"/>
            <w:gridSpan w:val="2"/>
            <w:noWrap/>
            <w:hideMark/>
          </w:tcPr>
          <w:p w14:paraId="2C6A4AA0" w14:textId="77777777" w:rsidR="00FC5F2A" w:rsidRPr="00610B36" w:rsidRDefault="00FC5F2A"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rPr>
              <w:t>2023</w:t>
            </w:r>
          </w:p>
        </w:tc>
        <w:tc>
          <w:tcPr>
            <w:tcW w:w="4680" w:type="dxa"/>
            <w:gridSpan w:val="2"/>
            <w:noWrap/>
            <w:hideMark/>
          </w:tcPr>
          <w:p w14:paraId="04BDB5D1" w14:textId="77777777" w:rsidR="00FC5F2A" w:rsidRPr="00610B36" w:rsidRDefault="00FC5F2A"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rPr>
              <w:t>2022</w:t>
            </w:r>
          </w:p>
        </w:tc>
      </w:tr>
      <w:tr w:rsidR="00855083" w:rsidRPr="00610B36" w14:paraId="43A8D131" w14:textId="77777777" w:rsidTr="00855083">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416" w:type="dxa"/>
            <w:vMerge/>
            <w:hideMark/>
          </w:tcPr>
          <w:p w14:paraId="57DBF306" w14:textId="77777777" w:rsidR="00855083" w:rsidRPr="00610B36" w:rsidRDefault="00855083" w:rsidP="00855083">
            <w:pPr>
              <w:jc w:val="center"/>
              <w:rPr>
                <w:rFonts w:ascii="Baskerville Old Face" w:eastAsia="Times New Roman" w:hAnsi="Baskerville Old Face" w:cs="Times New Roman"/>
                <w:color w:val="000000"/>
              </w:rPr>
            </w:pPr>
          </w:p>
        </w:tc>
        <w:tc>
          <w:tcPr>
            <w:tcW w:w="2118" w:type="dxa"/>
            <w:tcBorders>
              <w:top w:val="nil"/>
              <w:left w:val="single" w:sz="8" w:space="0" w:color="A8D08D"/>
              <w:bottom w:val="single" w:sz="8" w:space="0" w:color="A8D08D"/>
              <w:right w:val="single" w:sz="8" w:space="0" w:color="A8D08D"/>
            </w:tcBorders>
            <w:shd w:val="clear" w:color="000000" w:fill="E2EFD9"/>
            <w:vAlign w:val="center"/>
            <w:hideMark/>
          </w:tcPr>
          <w:p w14:paraId="2C072118" w14:textId="2EDFC9A7"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No. Of Declarations</w:t>
            </w:r>
          </w:p>
        </w:tc>
        <w:tc>
          <w:tcPr>
            <w:tcW w:w="2131" w:type="dxa"/>
            <w:tcBorders>
              <w:top w:val="nil"/>
              <w:left w:val="nil"/>
              <w:bottom w:val="single" w:sz="8" w:space="0" w:color="A8D08D"/>
              <w:right w:val="single" w:sz="8" w:space="0" w:color="A8D08D"/>
            </w:tcBorders>
            <w:shd w:val="clear" w:color="000000" w:fill="E2EFD9"/>
            <w:vAlign w:val="center"/>
            <w:hideMark/>
          </w:tcPr>
          <w:p w14:paraId="288D6F7C" w14:textId="64DB7159"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Revenue Collected</w:t>
            </w:r>
          </w:p>
        </w:tc>
        <w:tc>
          <w:tcPr>
            <w:tcW w:w="2430" w:type="dxa"/>
            <w:tcBorders>
              <w:top w:val="nil"/>
              <w:left w:val="nil"/>
              <w:bottom w:val="single" w:sz="8" w:space="0" w:color="A8D08D"/>
              <w:right w:val="single" w:sz="8" w:space="0" w:color="A8D08D"/>
            </w:tcBorders>
            <w:shd w:val="clear" w:color="000000" w:fill="E2EFD9"/>
            <w:vAlign w:val="center"/>
            <w:hideMark/>
          </w:tcPr>
          <w:p w14:paraId="54FAB2C0" w14:textId="04661DBE"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lang w:val="en-GB"/>
              </w:rPr>
              <w:t>No. Of Declarations</w:t>
            </w:r>
          </w:p>
        </w:tc>
        <w:tc>
          <w:tcPr>
            <w:tcW w:w="2250" w:type="dxa"/>
            <w:tcBorders>
              <w:top w:val="nil"/>
              <w:left w:val="nil"/>
              <w:bottom w:val="single" w:sz="8" w:space="0" w:color="A8D08D"/>
              <w:right w:val="single" w:sz="8" w:space="0" w:color="A8D08D"/>
            </w:tcBorders>
            <w:shd w:val="clear" w:color="000000" w:fill="E2EFD9"/>
            <w:vAlign w:val="center"/>
            <w:hideMark/>
          </w:tcPr>
          <w:p w14:paraId="30A84D43" w14:textId="7AFE9E80"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lang w:val="en-GB"/>
              </w:rPr>
              <w:t>Revenue Collected</w:t>
            </w:r>
          </w:p>
        </w:tc>
      </w:tr>
      <w:tr w:rsidR="00855083" w:rsidRPr="00610B36" w14:paraId="1EF6C8E6"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E6E1413" w14:textId="77777777" w:rsidR="00855083" w:rsidRPr="00407196" w:rsidRDefault="00855083" w:rsidP="00855083">
            <w:pPr>
              <w:jc w:val="center"/>
              <w:rPr>
                <w:rFonts w:ascii="Baskerville Old Face" w:eastAsia="Times New Roman" w:hAnsi="Baskerville Old Face" w:cs="Times New Roman"/>
                <w:b w:val="0"/>
                <w:bCs w:val="0"/>
                <w:color w:val="000000"/>
              </w:rPr>
            </w:pPr>
            <w:r w:rsidRPr="00407196">
              <w:rPr>
                <w:rFonts w:ascii="Baskerville Old Face" w:eastAsia="Times New Roman" w:hAnsi="Baskerville Old Face" w:cs="Times New Roman"/>
                <w:b w:val="0"/>
                <w:bCs w:val="0"/>
                <w:color w:val="000000"/>
              </w:rPr>
              <w:t>Cars</w:t>
            </w:r>
          </w:p>
        </w:tc>
        <w:tc>
          <w:tcPr>
            <w:tcW w:w="2118" w:type="dxa"/>
            <w:tcBorders>
              <w:top w:val="nil"/>
              <w:left w:val="nil"/>
              <w:bottom w:val="single" w:sz="8" w:space="0" w:color="A8D08D"/>
              <w:right w:val="single" w:sz="8" w:space="0" w:color="A8D08D"/>
            </w:tcBorders>
            <w:shd w:val="clear" w:color="auto" w:fill="auto"/>
            <w:vAlign w:val="center"/>
            <w:hideMark/>
          </w:tcPr>
          <w:p w14:paraId="2004FD7D" w14:textId="119E9086"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2,910</w:t>
            </w:r>
          </w:p>
        </w:tc>
        <w:tc>
          <w:tcPr>
            <w:tcW w:w="2131" w:type="dxa"/>
            <w:tcBorders>
              <w:top w:val="nil"/>
              <w:left w:val="nil"/>
              <w:bottom w:val="single" w:sz="8" w:space="0" w:color="A8D08D"/>
              <w:right w:val="single" w:sz="8" w:space="0" w:color="A8D08D"/>
            </w:tcBorders>
            <w:shd w:val="clear" w:color="auto" w:fill="auto"/>
            <w:vAlign w:val="center"/>
            <w:hideMark/>
          </w:tcPr>
          <w:p w14:paraId="7A7D5D0D" w14:textId="07386F72"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29,391,242</w:t>
            </w:r>
          </w:p>
        </w:tc>
        <w:tc>
          <w:tcPr>
            <w:tcW w:w="2430" w:type="dxa"/>
            <w:tcBorders>
              <w:top w:val="nil"/>
              <w:left w:val="nil"/>
              <w:bottom w:val="single" w:sz="8" w:space="0" w:color="A8D08D"/>
              <w:right w:val="single" w:sz="8" w:space="0" w:color="A8D08D"/>
            </w:tcBorders>
            <w:shd w:val="clear" w:color="auto" w:fill="auto"/>
            <w:vAlign w:val="center"/>
            <w:hideMark/>
          </w:tcPr>
          <w:p w14:paraId="3667C837" w14:textId="1185F1EA"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2,839</w:t>
            </w:r>
          </w:p>
        </w:tc>
        <w:tc>
          <w:tcPr>
            <w:tcW w:w="2250" w:type="dxa"/>
            <w:tcBorders>
              <w:top w:val="nil"/>
              <w:left w:val="nil"/>
              <w:bottom w:val="single" w:sz="8" w:space="0" w:color="A8D08D"/>
              <w:right w:val="single" w:sz="8" w:space="0" w:color="A8D08D"/>
            </w:tcBorders>
            <w:shd w:val="clear" w:color="auto" w:fill="auto"/>
            <w:vAlign w:val="center"/>
            <w:hideMark/>
          </w:tcPr>
          <w:p w14:paraId="4678AFA3" w14:textId="2B36CF66"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19,904,475</w:t>
            </w:r>
          </w:p>
        </w:tc>
      </w:tr>
      <w:tr w:rsidR="00855083" w:rsidRPr="00610B36" w14:paraId="1ACFD03F"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7C85DA5F"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Jeeps</w:t>
            </w:r>
          </w:p>
        </w:tc>
        <w:tc>
          <w:tcPr>
            <w:tcW w:w="2118" w:type="dxa"/>
            <w:tcBorders>
              <w:top w:val="nil"/>
              <w:left w:val="nil"/>
              <w:bottom w:val="single" w:sz="8" w:space="0" w:color="A8D08D"/>
              <w:right w:val="single" w:sz="8" w:space="0" w:color="A8D08D"/>
            </w:tcBorders>
            <w:shd w:val="clear" w:color="000000" w:fill="E2EFD9"/>
            <w:vAlign w:val="center"/>
            <w:hideMark/>
          </w:tcPr>
          <w:p w14:paraId="36175EE8" w14:textId="2C1B29F1"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4,283</w:t>
            </w:r>
          </w:p>
        </w:tc>
        <w:tc>
          <w:tcPr>
            <w:tcW w:w="2131" w:type="dxa"/>
            <w:tcBorders>
              <w:top w:val="nil"/>
              <w:left w:val="nil"/>
              <w:bottom w:val="single" w:sz="8" w:space="0" w:color="A8D08D"/>
              <w:right w:val="single" w:sz="8" w:space="0" w:color="A8D08D"/>
            </w:tcBorders>
            <w:shd w:val="clear" w:color="000000" w:fill="E2EFD9"/>
            <w:vAlign w:val="center"/>
            <w:hideMark/>
          </w:tcPr>
          <w:p w14:paraId="39A0AF71" w14:textId="09377161"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49,254,500</w:t>
            </w:r>
          </w:p>
        </w:tc>
        <w:tc>
          <w:tcPr>
            <w:tcW w:w="2430" w:type="dxa"/>
            <w:tcBorders>
              <w:top w:val="nil"/>
              <w:left w:val="nil"/>
              <w:bottom w:val="single" w:sz="8" w:space="0" w:color="A8D08D"/>
              <w:right w:val="single" w:sz="8" w:space="0" w:color="A8D08D"/>
            </w:tcBorders>
            <w:shd w:val="clear" w:color="000000" w:fill="E2EFD9"/>
            <w:vAlign w:val="center"/>
            <w:hideMark/>
          </w:tcPr>
          <w:p w14:paraId="64774EA0" w14:textId="0874BF08"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4,036</w:t>
            </w:r>
          </w:p>
        </w:tc>
        <w:tc>
          <w:tcPr>
            <w:tcW w:w="2250" w:type="dxa"/>
            <w:tcBorders>
              <w:top w:val="nil"/>
              <w:left w:val="nil"/>
              <w:bottom w:val="single" w:sz="8" w:space="0" w:color="A8D08D"/>
              <w:right w:val="single" w:sz="8" w:space="0" w:color="A8D08D"/>
            </w:tcBorders>
            <w:shd w:val="clear" w:color="000000" w:fill="E2EFD9"/>
            <w:vAlign w:val="center"/>
            <w:hideMark/>
          </w:tcPr>
          <w:p w14:paraId="50104264" w14:textId="73C58C99"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47,061,095</w:t>
            </w:r>
          </w:p>
        </w:tc>
      </w:tr>
      <w:tr w:rsidR="00855083" w:rsidRPr="00610B36" w14:paraId="08AD0C9A"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174B32A"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Vans</w:t>
            </w:r>
          </w:p>
        </w:tc>
        <w:tc>
          <w:tcPr>
            <w:tcW w:w="2118" w:type="dxa"/>
            <w:tcBorders>
              <w:top w:val="nil"/>
              <w:left w:val="nil"/>
              <w:bottom w:val="single" w:sz="8" w:space="0" w:color="A8D08D"/>
              <w:right w:val="single" w:sz="8" w:space="0" w:color="A8D08D"/>
            </w:tcBorders>
            <w:shd w:val="clear" w:color="auto" w:fill="auto"/>
            <w:vAlign w:val="center"/>
            <w:hideMark/>
          </w:tcPr>
          <w:p w14:paraId="650A2786" w14:textId="054D43D5"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1,712</w:t>
            </w:r>
          </w:p>
        </w:tc>
        <w:tc>
          <w:tcPr>
            <w:tcW w:w="2131" w:type="dxa"/>
            <w:tcBorders>
              <w:top w:val="nil"/>
              <w:left w:val="nil"/>
              <w:bottom w:val="single" w:sz="8" w:space="0" w:color="A8D08D"/>
              <w:right w:val="single" w:sz="8" w:space="0" w:color="A8D08D"/>
            </w:tcBorders>
            <w:shd w:val="clear" w:color="auto" w:fill="auto"/>
            <w:vAlign w:val="center"/>
            <w:hideMark/>
          </w:tcPr>
          <w:p w14:paraId="519B34A4" w14:textId="7A933002"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18,318,400</w:t>
            </w:r>
          </w:p>
        </w:tc>
        <w:tc>
          <w:tcPr>
            <w:tcW w:w="2430" w:type="dxa"/>
            <w:tcBorders>
              <w:top w:val="nil"/>
              <w:left w:val="nil"/>
              <w:bottom w:val="single" w:sz="8" w:space="0" w:color="A8D08D"/>
              <w:right w:val="single" w:sz="8" w:space="0" w:color="A8D08D"/>
            </w:tcBorders>
            <w:shd w:val="clear" w:color="auto" w:fill="auto"/>
            <w:vAlign w:val="center"/>
            <w:hideMark/>
          </w:tcPr>
          <w:p w14:paraId="4A3F662C" w14:textId="53D3D377"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1,619</w:t>
            </w:r>
          </w:p>
        </w:tc>
        <w:tc>
          <w:tcPr>
            <w:tcW w:w="2250" w:type="dxa"/>
            <w:tcBorders>
              <w:top w:val="nil"/>
              <w:left w:val="nil"/>
              <w:bottom w:val="single" w:sz="8" w:space="0" w:color="A8D08D"/>
              <w:right w:val="single" w:sz="8" w:space="0" w:color="A8D08D"/>
            </w:tcBorders>
            <w:shd w:val="clear" w:color="auto" w:fill="auto"/>
            <w:vAlign w:val="center"/>
            <w:hideMark/>
          </w:tcPr>
          <w:p w14:paraId="7D3F83B7" w14:textId="7DE00125"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12,128,442</w:t>
            </w:r>
          </w:p>
        </w:tc>
      </w:tr>
      <w:tr w:rsidR="00855083" w:rsidRPr="00610B36" w14:paraId="43AC0CEF"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71C93301"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Buses</w:t>
            </w:r>
          </w:p>
        </w:tc>
        <w:tc>
          <w:tcPr>
            <w:tcW w:w="2118" w:type="dxa"/>
            <w:tcBorders>
              <w:top w:val="nil"/>
              <w:left w:val="nil"/>
              <w:bottom w:val="single" w:sz="8" w:space="0" w:color="A8D08D"/>
              <w:right w:val="single" w:sz="8" w:space="0" w:color="A8D08D"/>
            </w:tcBorders>
            <w:shd w:val="clear" w:color="000000" w:fill="E2EFD9"/>
            <w:vAlign w:val="center"/>
            <w:hideMark/>
          </w:tcPr>
          <w:p w14:paraId="4EB69D02" w14:textId="4BD7DA25"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102</w:t>
            </w:r>
          </w:p>
        </w:tc>
        <w:tc>
          <w:tcPr>
            <w:tcW w:w="2131" w:type="dxa"/>
            <w:tcBorders>
              <w:top w:val="nil"/>
              <w:left w:val="nil"/>
              <w:bottom w:val="single" w:sz="8" w:space="0" w:color="A8D08D"/>
              <w:right w:val="single" w:sz="8" w:space="0" w:color="A8D08D"/>
            </w:tcBorders>
            <w:shd w:val="clear" w:color="000000" w:fill="E2EFD9"/>
            <w:vAlign w:val="center"/>
            <w:hideMark/>
          </w:tcPr>
          <w:p w14:paraId="4EB22214" w14:textId="20D20243"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1,122,347</w:t>
            </w:r>
          </w:p>
        </w:tc>
        <w:tc>
          <w:tcPr>
            <w:tcW w:w="2430" w:type="dxa"/>
            <w:tcBorders>
              <w:top w:val="nil"/>
              <w:left w:val="nil"/>
              <w:bottom w:val="single" w:sz="8" w:space="0" w:color="A8D08D"/>
              <w:right w:val="single" w:sz="8" w:space="0" w:color="A8D08D"/>
            </w:tcBorders>
            <w:shd w:val="clear" w:color="000000" w:fill="E2EFD9"/>
            <w:vAlign w:val="center"/>
            <w:hideMark/>
          </w:tcPr>
          <w:p w14:paraId="22D236A1" w14:textId="23F65CD6"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400</w:t>
            </w:r>
          </w:p>
        </w:tc>
        <w:tc>
          <w:tcPr>
            <w:tcW w:w="2250" w:type="dxa"/>
            <w:tcBorders>
              <w:top w:val="nil"/>
              <w:left w:val="nil"/>
              <w:bottom w:val="single" w:sz="8" w:space="0" w:color="A8D08D"/>
              <w:right w:val="single" w:sz="8" w:space="0" w:color="A8D08D"/>
            </w:tcBorders>
            <w:shd w:val="clear" w:color="000000" w:fill="E2EFD9"/>
            <w:vAlign w:val="center"/>
            <w:hideMark/>
          </w:tcPr>
          <w:p w14:paraId="75867E66" w14:textId="23F9EC85"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4389824</w:t>
            </w:r>
          </w:p>
        </w:tc>
      </w:tr>
      <w:tr w:rsidR="00855083" w:rsidRPr="00610B36" w14:paraId="31CCE0E7"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A790CA8"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Motorcycles</w:t>
            </w:r>
          </w:p>
        </w:tc>
        <w:tc>
          <w:tcPr>
            <w:tcW w:w="2118" w:type="dxa"/>
            <w:tcBorders>
              <w:top w:val="nil"/>
              <w:left w:val="nil"/>
              <w:bottom w:val="single" w:sz="8" w:space="0" w:color="A8D08D"/>
              <w:right w:val="single" w:sz="8" w:space="0" w:color="A8D08D"/>
            </w:tcBorders>
            <w:shd w:val="clear" w:color="auto" w:fill="auto"/>
            <w:vAlign w:val="center"/>
            <w:hideMark/>
          </w:tcPr>
          <w:p w14:paraId="50E76F15" w14:textId="37F19F15"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114</w:t>
            </w:r>
          </w:p>
        </w:tc>
        <w:tc>
          <w:tcPr>
            <w:tcW w:w="2131" w:type="dxa"/>
            <w:tcBorders>
              <w:top w:val="nil"/>
              <w:left w:val="nil"/>
              <w:bottom w:val="single" w:sz="8" w:space="0" w:color="A8D08D"/>
              <w:right w:val="single" w:sz="8" w:space="0" w:color="A8D08D"/>
            </w:tcBorders>
            <w:shd w:val="clear" w:color="auto" w:fill="auto"/>
            <w:vAlign w:val="center"/>
            <w:hideMark/>
          </w:tcPr>
          <w:p w14:paraId="599D619A" w14:textId="222D8F57"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112,410,124</w:t>
            </w:r>
          </w:p>
        </w:tc>
        <w:tc>
          <w:tcPr>
            <w:tcW w:w="2430" w:type="dxa"/>
            <w:tcBorders>
              <w:top w:val="nil"/>
              <w:left w:val="nil"/>
              <w:bottom w:val="single" w:sz="8" w:space="0" w:color="A8D08D"/>
              <w:right w:val="single" w:sz="8" w:space="0" w:color="A8D08D"/>
            </w:tcBorders>
            <w:shd w:val="clear" w:color="auto" w:fill="auto"/>
            <w:vAlign w:val="center"/>
            <w:hideMark/>
          </w:tcPr>
          <w:p w14:paraId="05B63D25" w14:textId="664F3F18"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430</w:t>
            </w:r>
          </w:p>
        </w:tc>
        <w:tc>
          <w:tcPr>
            <w:tcW w:w="2250" w:type="dxa"/>
            <w:tcBorders>
              <w:top w:val="nil"/>
              <w:left w:val="nil"/>
              <w:bottom w:val="single" w:sz="8" w:space="0" w:color="A8D08D"/>
              <w:right w:val="single" w:sz="8" w:space="0" w:color="A8D08D"/>
            </w:tcBorders>
            <w:shd w:val="clear" w:color="auto" w:fill="auto"/>
            <w:vAlign w:val="center"/>
            <w:hideMark/>
          </w:tcPr>
          <w:p w14:paraId="3B547302" w14:textId="28F3F1C9"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61342084</w:t>
            </w:r>
          </w:p>
        </w:tc>
      </w:tr>
      <w:tr w:rsidR="00855083" w:rsidRPr="00610B36" w14:paraId="44F0A999"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1BDCDB35"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Machines</w:t>
            </w:r>
          </w:p>
        </w:tc>
        <w:tc>
          <w:tcPr>
            <w:tcW w:w="2118" w:type="dxa"/>
            <w:tcBorders>
              <w:top w:val="nil"/>
              <w:left w:val="nil"/>
              <w:bottom w:val="single" w:sz="8" w:space="0" w:color="A8D08D"/>
              <w:right w:val="single" w:sz="8" w:space="0" w:color="A8D08D"/>
            </w:tcBorders>
            <w:shd w:val="clear" w:color="000000" w:fill="E2EFD9"/>
            <w:vAlign w:val="center"/>
            <w:hideMark/>
          </w:tcPr>
          <w:p w14:paraId="02D23934" w14:textId="3C213276"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248</w:t>
            </w:r>
          </w:p>
        </w:tc>
        <w:tc>
          <w:tcPr>
            <w:tcW w:w="2131" w:type="dxa"/>
            <w:tcBorders>
              <w:top w:val="nil"/>
              <w:left w:val="nil"/>
              <w:bottom w:val="single" w:sz="8" w:space="0" w:color="A8D08D"/>
              <w:right w:val="single" w:sz="8" w:space="0" w:color="A8D08D"/>
            </w:tcBorders>
            <w:shd w:val="clear" w:color="000000" w:fill="E2EFD9"/>
            <w:vAlign w:val="center"/>
            <w:hideMark/>
          </w:tcPr>
          <w:p w14:paraId="55E9352A" w14:textId="709BD29B"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145,242,130</w:t>
            </w:r>
          </w:p>
        </w:tc>
        <w:tc>
          <w:tcPr>
            <w:tcW w:w="2430" w:type="dxa"/>
            <w:tcBorders>
              <w:top w:val="nil"/>
              <w:left w:val="nil"/>
              <w:bottom w:val="single" w:sz="8" w:space="0" w:color="A8D08D"/>
              <w:right w:val="single" w:sz="8" w:space="0" w:color="A8D08D"/>
            </w:tcBorders>
            <w:shd w:val="clear" w:color="000000" w:fill="E2EFD9"/>
            <w:vAlign w:val="center"/>
            <w:hideMark/>
          </w:tcPr>
          <w:p w14:paraId="6EA96BB7" w14:textId="38333B94"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276</w:t>
            </w:r>
          </w:p>
        </w:tc>
        <w:tc>
          <w:tcPr>
            <w:tcW w:w="2250" w:type="dxa"/>
            <w:tcBorders>
              <w:top w:val="nil"/>
              <w:left w:val="nil"/>
              <w:bottom w:val="single" w:sz="8" w:space="0" w:color="A8D08D"/>
              <w:right w:val="single" w:sz="8" w:space="0" w:color="A8D08D"/>
            </w:tcBorders>
            <w:shd w:val="clear" w:color="000000" w:fill="E2EFD9"/>
            <w:vAlign w:val="center"/>
            <w:hideMark/>
          </w:tcPr>
          <w:p w14:paraId="74964C0E" w14:textId="65D92B17"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11250016</w:t>
            </w:r>
          </w:p>
        </w:tc>
      </w:tr>
      <w:tr w:rsidR="00855083" w:rsidRPr="00610B36" w14:paraId="69D4075B"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5FA73DCE"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Boats</w:t>
            </w:r>
          </w:p>
        </w:tc>
        <w:tc>
          <w:tcPr>
            <w:tcW w:w="2118" w:type="dxa"/>
            <w:tcBorders>
              <w:top w:val="nil"/>
              <w:left w:val="nil"/>
              <w:bottom w:val="single" w:sz="8" w:space="0" w:color="A8D08D"/>
              <w:right w:val="single" w:sz="8" w:space="0" w:color="A8D08D"/>
            </w:tcBorders>
            <w:shd w:val="clear" w:color="auto" w:fill="auto"/>
            <w:vAlign w:val="center"/>
            <w:hideMark/>
          </w:tcPr>
          <w:p w14:paraId="2DFADEE7" w14:textId="02A62439"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w:t>
            </w:r>
          </w:p>
        </w:tc>
        <w:tc>
          <w:tcPr>
            <w:tcW w:w="2131" w:type="dxa"/>
            <w:tcBorders>
              <w:top w:val="nil"/>
              <w:left w:val="nil"/>
              <w:bottom w:val="single" w:sz="8" w:space="0" w:color="A8D08D"/>
              <w:right w:val="single" w:sz="8" w:space="0" w:color="A8D08D"/>
            </w:tcBorders>
            <w:shd w:val="clear" w:color="auto" w:fill="auto"/>
            <w:vAlign w:val="center"/>
            <w:hideMark/>
          </w:tcPr>
          <w:p w14:paraId="0C46204F" w14:textId="79223486"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proofErr w:type="gramStart"/>
            <w:r>
              <w:rPr>
                <w:rFonts w:ascii="Baskerville Old Face" w:hAnsi="Baskerville Old Face"/>
                <w:color w:val="000000"/>
              </w:rPr>
              <w:t>32,150,.</w:t>
            </w:r>
            <w:proofErr w:type="gramEnd"/>
            <w:r>
              <w:rPr>
                <w:rFonts w:ascii="Baskerville Old Face" w:hAnsi="Baskerville Old Face"/>
                <w:color w:val="000000"/>
              </w:rPr>
              <w:t>76</w:t>
            </w:r>
          </w:p>
        </w:tc>
        <w:tc>
          <w:tcPr>
            <w:tcW w:w="2430" w:type="dxa"/>
            <w:tcBorders>
              <w:top w:val="nil"/>
              <w:left w:val="nil"/>
              <w:bottom w:val="single" w:sz="8" w:space="0" w:color="A8D08D"/>
              <w:right w:val="single" w:sz="8" w:space="0" w:color="A8D08D"/>
            </w:tcBorders>
            <w:shd w:val="clear" w:color="auto" w:fill="auto"/>
            <w:vAlign w:val="center"/>
            <w:hideMark/>
          </w:tcPr>
          <w:p w14:paraId="795228C0" w14:textId="2087D74E"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3</w:t>
            </w:r>
          </w:p>
        </w:tc>
        <w:tc>
          <w:tcPr>
            <w:tcW w:w="2250" w:type="dxa"/>
            <w:tcBorders>
              <w:top w:val="nil"/>
              <w:left w:val="nil"/>
              <w:bottom w:val="single" w:sz="8" w:space="0" w:color="A8D08D"/>
              <w:right w:val="single" w:sz="8" w:space="0" w:color="A8D08D"/>
            </w:tcBorders>
            <w:shd w:val="clear" w:color="auto" w:fill="auto"/>
            <w:vAlign w:val="center"/>
            <w:hideMark/>
          </w:tcPr>
          <w:p w14:paraId="5FF2347A" w14:textId="3E193CDC"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lang w:val="en-GB"/>
              </w:rPr>
              <w:t>118454</w:t>
            </w:r>
          </w:p>
        </w:tc>
      </w:tr>
      <w:tr w:rsidR="00855083" w:rsidRPr="00610B36" w14:paraId="5721F4DF"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062B2280" w14:textId="77777777" w:rsidR="00855083" w:rsidRPr="00610B36" w:rsidRDefault="00855083" w:rsidP="00855083">
            <w:pPr>
              <w:jc w:val="center"/>
              <w:rPr>
                <w:rFonts w:ascii="Baskerville Old Face" w:eastAsia="Times New Roman" w:hAnsi="Baskerville Old Face" w:cs="Times New Roman"/>
                <w:b w:val="0"/>
                <w:bCs w:val="0"/>
                <w:color w:val="000000"/>
              </w:rPr>
            </w:pPr>
            <w:r w:rsidRPr="00610B36">
              <w:rPr>
                <w:rFonts w:ascii="Baskerville Old Face" w:eastAsia="Times New Roman" w:hAnsi="Baskerville Old Face" w:cs="Times New Roman"/>
                <w:b w:val="0"/>
                <w:bCs w:val="0"/>
                <w:color w:val="000000"/>
              </w:rPr>
              <w:t>Trailer Tails</w:t>
            </w:r>
          </w:p>
        </w:tc>
        <w:tc>
          <w:tcPr>
            <w:tcW w:w="2118" w:type="dxa"/>
            <w:tcBorders>
              <w:top w:val="nil"/>
              <w:left w:val="nil"/>
              <w:bottom w:val="single" w:sz="8" w:space="0" w:color="A8D08D"/>
              <w:right w:val="single" w:sz="8" w:space="0" w:color="A8D08D"/>
            </w:tcBorders>
            <w:shd w:val="clear" w:color="000000" w:fill="E2EFD9"/>
            <w:vAlign w:val="center"/>
            <w:hideMark/>
          </w:tcPr>
          <w:p w14:paraId="3FD74651" w14:textId="33B4D35A"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42</w:t>
            </w:r>
          </w:p>
        </w:tc>
        <w:tc>
          <w:tcPr>
            <w:tcW w:w="2131" w:type="dxa"/>
            <w:tcBorders>
              <w:top w:val="nil"/>
              <w:left w:val="nil"/>
              <w:bottom w:val="single" w:sz="8" w:space="0" w:color="A8D08D"/>
              <w:right w:val="single" w:sz="8" w:space="0" w:color="A8D08D"/>
            </w:tcBorders>
            <w:shd w:val="clear" w:color="000000" w:fill="E2EFD9"/>
            <w:vAlign w:val="center"/>
            <w:hideMark/>
          </w:tcPr>
          <w:p w14:paraId="40B165A5" w14:textId="08249F5F"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294,230</w:t>
            </w:r>
          </w:p>
        </w:tc>
        <w:tc>
          <w:tcPr>
            <w:tcW w:w="2430" w:type="dxa"/>
            <w:tcBorders>
              <w:top w:val="nil"/>
              <w:left w:val="nil"/>
              <w:bottom w:val="single" w:sz="8" w:space="0" w:color="A8D08D"/>
              <w:right w:val="single" w:sz="8" w:space="0" w:color="A8D08D"/>
            </w:tcBorders>
            <w:shd w:val="clear" w:color="000000" w:fill="E2EFD9"/>
            <w:noWrap/>
            <w:vAlign w:val="center"/>
            <w:hideMark/>
          </w:tcPr>
          <w:p w14:paraId="70954B12" w14:textId="4F6A5FBE"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c>
          <w:tcPr>
            <w:tcW w:w="2250" w:type="dxa"/>
            <w:tcBorders>
              <w:top w:val="nil"/>
              <w:left w:val="nil"/>
              <w:bottom w:val="single" w:sz="8" w:space="0" w:color="A8D08D"/>
              <w:right w:val="single" w:sz="8" w:space="0" w:color="A8D08D"/>
            </w:tcBorders>
            <w:shd w:val="clear" w:color="000000" w:fill="E2EFD9"/>
            <w:noWrap/>
            <w:vAlign w:val="center"/>
            <w:hideMark/>
          </w:tcPr>
          <w:p w14:paraId="2A6DF377" w14:textId="6F446FC2"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r>
      <w:tr w:rsidR="00855083" w:rsidRPr="00610B36" w14:paraId="4420ADAF" w14:textId="77777777" w:rsidTr="00855083">
        <w:trPr>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4CBBE448" w14:textId="77777777" w:rsidR="00855083" w:rsidRPr="00407196" w:rsidRDefault="00855083" w:rsidP="00855083">
            <w:pPr>
              <w:jc w:val="center"/>
              <w:rPr>
                <w:rFonts w:ascii="Baskerville Old Face" w:eastAsia="Times New Roman" w:hAnsi="Baskerville Old Face" w:cs="Times New Roman"/>
                <w:b w:val="0"/>
                <w:bCs w:val="0"/>
                <w:color w:val="000000"/>
              </w:rPr>
            </w:pPr>
            <w:r w:rsidRPr="00407196">
              <w:rPr>
                <w:rFonts w:ascii="Baskerville Old Face" w:eastAsia="Times New Roman" w:hAnsi="Baskerville Old Face" w:cs="Times New Roman"/>
                <w:b w:val="0"/>
                <w:bCs w:val="0"/>
                <w:color w:val="000000"/>
              </w:rPr>
              <w:t>Trailers</w:t>
            </w:r>
          </w:p>
        </w:tc>
        <w:tc>
          <w:tcPr>
            <w:tcW w:w="2118" w:type="dxa"/>
            <w:tcBorders>
              <w:top w:val="nil"/>
              <w:left w:val="nil"/>
              <w:bottom w:val="single" w:sz="8" w:space="0" w:color="A8D08D"/>
              <w:right w:val="single" w:sz="8" w:space="0" w:color="A8D08D"/>
            </w:tcBorders>
            <w:shd w:val="clear" w:color="auto" w:fill="auto"/>
            <w:vAlign w:val="center"/>
            <w:hideMark/>
          </w:tcPr>
          <w:p w14:paraId="5F316CC1" w14:textId="5F32053A"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110</w:t>
            </w:r>
          </w:p>
        </w:tc>
        <w:tc>
          <w:tcPr>
            <w:tcW w:w="2131" w:type="dxa"/>
            <w:tcBorders>
              <w:top w:val="nil"/>
              <w:left w:val="nil"/>
              <w:bottom w:val="single" w:sz="8" w:space="0" w:color="A8D08D"/>
              <w:right w:val="single" w:sz="8" w:space="0" w:color="A8D08D"/>
            </w:tcBorders>
            <w:shd w:val="clear" w:color="auto" w:fill="auto"/>
            <w:vAlign w:val="center"/>
            <w:hideMark/>
          </w:tcPr>
          <w:p w14:paraId="062616B6" w14:textId="02A20533"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1.210,450.23</w:t>
            </w:r>
          </w:p>
        </w:tc>
        <w:tc>
          <w:tcPr>
            <w:tcW w:w="2430" w:type="dxa"/>
            <w:tcBorders>
              <w:top w:val="nil"/>
              <w:left w:val="nil"/>
              <w:bottom w:val="single" w:sz="8" w:space="0" w:color="A8D08D"/>
              <w:right w:val="single" w:sz="8" w:space="0" w:color="A8D08D"/>
            </w:tcBorders>
            <w:shd w:val="clear" w:color="auto" w:fill="auto"/>
            <w:noWrap/>
            <w:vAlign w:val="center"/>
            <w:hideMark/>
          </w:tcPr>
          <w:p w14:paraId="7E41FB7C" w14:textId="5F85AB23"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c>
          <w:tcPr>
            <w:tcW w:w="2250" w:type="dxa"/>
            <w:tcBorders>
              <w:top w:val="nil"/>
              <w:left w:val="nil"/>
              <w:bottom w:val="single" w:sz="8" w:space="0" w:color="A8D08D"/>
              <w:right w:val="single" w:sz="8" w:space="0" w:color="A8D08D"/>
            </w:tcBorders>
            <w:shd w:val="clear" w:color="auto" w:fill="auto"/>
            <w:noWrap/>
            <w:vAlign w:val="center"/>
            <w:hideMark/>
          </w:tcPr>
          <w:p w14:paraId="4459CD2A" w14:textId="6B0EBE70" w:rsidR="00855083" w:rsidRPr="00610B36" w:rsidRDefault="00855083" w:rsidP="00855083">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Times New Roman"/>
                <w:color w:val="000000"/>
              </w:rPr>
            </w:pPr>
            <w:r>
              <w:rPr>
                <w:rFonts w:ascii="Baskerville Old Face" w:hAnsi="Baskerville Old Face"/>
                <w:color w:val="000000"/>
              </w:rPr>
              <w:t>-</w:t>
            </w:r>
          </w:p>
        </w:tc>
      </w:tr>
      <w:tr w:rsidR="00855083" w:rsidRPr="00610B36" w14:paraId="634FE8D0" w14:textId="77777777" w:rsidTr="0085508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416" w:type="dxa"/>
            <w:hideMark/>
          </w:tcPr>
          <w:p w14:paraId="34B3DBDB" w14:textId="77777777" w:rsidR="00855083" w:rsidRPr="00610B36" w:rsidRDefault="00855083" w:rsidP="00855083">
            <w:pPr>
              <w:jc w:val="center"/>
              <w:rPr>
                <w:rFonts w:ascii="Baskerville Old Face" w:eastAsia="Times New Roman" w:hAnsi="Baskerville Old Face" w:cs="Times New Roman"/>
                <w:color w:val="000000"/>
              </w:rPr>
            </w:pPr>
            <w:r w:rsidRPr="00610B36">
              <w:rPr>
                <w:rFonts w:ascii="Baskerville Old Face" w:eastAsia="Times New Roman" w:hAnsi="Baskerville Old Face" w:cs="Times New Roman"/>
                <w:color w:val="000000"/>
                <w:lang w:val="en-GB"/>
              </w:rPr>
              <w:t>TOTAL</w:t>
            </w:r>
          </w:p>
        </w:tc>
        <w:tc>
          <w:tcPr>
            <w:tcW w:w="2118" w:type="dxa"/>
            <w:tcBorders>
              <w:top w:val="nil"/>
              <w:left w:val="nil"/>
              <w:bottom w:val="single" w:sz="8" w:space="0" w:color="A8D08D"/>
              <w:right w:val="single" w:sz="8" w:space="0" w:color="A8D08D"/>
            </w:tcBorders>
            <w:shd w:val="clear" w:color="000000" w:fill="E2EFD9"/>
            <w:noWrap/>
            <w:vAlign w:val="center"/>
            <w:hideMark/>
          </w:tcPr>
          <w:p w14:paraId="73062CC2" w14:textId="108BF0BC"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9,522</w:t>
            </w:r>
          </w:p>
        </w:tc>
        <w:tc>
          <w:tcPr>
            <w:tcW w:w="2131" w:type="dxa"/>
            <w:tcBorders>
              <w:top w:val="nil"/>
              <w:left w:val="nil"/>
              <w:bottom w:val="single" w:sz="8" w:space="0" w:color="A8D08D"/>
              <w:right w:val="single" w:sz="8" w:space="0" w:color="A8D08D"/>
            </w:tcBorders>
            <w:shd w:val="clear" w:color="000000" w:fill="E2EFD9"/>
            <w:noWrap/>
            <w:vAlign w:val="center"/>
            <w:hideMark/>
          </w:tcPr>
          <w:p w14:paraId="4EF00443" w14:textId="5E7C60FC"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357,243,425</w:t>
            </w:r>
          </w:p>
        </w:tc>
        <w:tc>
          <w:tcPr>
            <w:tcW w:w="2430" w:type="dxa"/>
            <w:tcBorders>
              <w:top w:val="nil"/>
              <w:left w:val="nil"/>
              <w:bottom w:val="single" w:sz="8" w:space="0" w:color="A8D08D"/>
              <w:right w:val="single" w:sz="8" w:space="0" w:color="A8D08D"/>
            </w:tcBorders>
            <w:shd w:val="clear" w:color="000000" w:fill="E2EFD9"/>
            <w:noWrap/>
            <w:vAlign w:val="center"/>
            <w:hideMark/>
          </w:tcPr>
          <w:p w14:paraId="68E06CDB" w14:textId="655A2A0A"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9,603</w:t>
            </w:r>
          </w:p>
        </w:tc>
        <w:tc>
          <w:tcPr>
            <w:tcW w:w="2250" w:type="dxa"/>
            <w:tcBorders>
              <w:top w:val="nil"/>
              <w:left w:val="nil"/>
              <w:bottom w:val="single" w:sz="8" w:space="0" w:color="A8D08D"/>
              <w:right w:val="single" w:sz="8" w:space="0" w:color="A8D08D"/>
            </w:tcBorders>
            <w:shd w:val="clear" w:color="000000" w:fill="E2EFD9"/>
            <w:noWrap/>
            <w:vAlign w:val="center"/>
            <w:hideMark/>
          </w:tcPr>
          <w:p w14:paraId="04BD0AB1" w14:textId="0FB59EC1" w:rsidR="00855083" w:rsidRPr="00610B36" w:rsidRDefault="00855083" w:rsidP="00855083">
            <w:pPr>
              <w:jc w:val="center"/>
              <w:cnfStyle w:val="000000100000" w:firstRow="0" w:lastRow="0" w:firstColumn="0" w:lastColumn="0" w:oddVBand="0" w:evenVBand="0" w:oddHBand="1" w:evenHBand="0" w:firstRowFirstColumn="0" w:firstRowLastColumn="0" w:lastRowFirstColumn="0" w:lastRowLastColumn="0"/>
              <w:rPr>
                <w:rFonts w:ascii="Baskerville Old Face" w:eastAsia="Times New Roman" w:hAnsi="Baskerville Old Face" w:cs="Times New Roman"/>
                <w:b/>
                <w:bCs/>
                <w:color w:val="000000"/>
              </w:rPr>
            </w:pPr>
            <w:r>
              <w:rPr>
                <w:rFonts w:ascii="Baskerville Old Face" w:hAnsi="Baskerville Old Face"/>
                <w:b/>
                <w:bCs/>
                <w:color w:val="000000"/>
              </w:rPr>
              <w:t>156,194,390</w:t>
            </w:r>
          </w:p>
        </w:tc>
      </w:tr>
    </w:tbl>
    <w:p w14:paraId="75B99CCF" w14:textId="77777777" w:rsidR="00F021ED" w:rsidRPr="00F021ED" w:rsidRDefault="00F021ED" w:rsidP="00610B36">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453EEB7A" w14:textId="719CC92F" w:rsidR="00E14C76" w:rsidRPr="00E14C76" w:rsidRDefault="00BA0DB9" w:rsidP="002725A1">
      <w:pPr>
        <w:pStyle w:val="Heading2"/>
      </w:pPr>
      <w:bookmarkStart w:id="109" w:name="_Toc198205720"/>
      <w:r>
        <w:lastRenderedPageBreak/>
        <w:t xml:space="preserve">4.14: </w:t>
      </w:r>
      <w:r w:rsidR="00116D56" w:rsidRPr="00E14C76">
        <w:t>SCANNING UNIT</w:t>
      </w:r>
      <w:bookmarkEnd w:id="109"/>
    </w:p>
    <w:p w14:paraId="7CC31DAD" w14:textId="77777777" w:rsidR="002725A1" w:rsidRDefault="002725A1" w:rsidP="00E14C76">
      <w:pPr>
        <w:spacing w:line="360" w:lineRule="auto"/>
        <w:jc w:val="both"/>
        <w:rPr>
          <w:rFonts w:ascii="Baskerville Old Face" w:hAnsi="Baskerville Old Face" w:cs="Times New Roman"/>
          <w:sz w:val="24"/>
          <w:szCs w:val="24"/>
        </w:rPr>
      </w:pPr>
    </w:p>
    <w:p w14:paraId="7471152A" w14:textId="0A74F30A" w:rsidR="00E14C76" w:rsidRPr="00E14C76" w:rsidRDefault="00E14C76" w:rsidP="00E14C76">
      <w:pPr>
        <w:spacing w:line="360" w:lineRule="auto"/>
        <w:jc w:val="both"/>
        <w:rPr>
          <w:rFonts w:ascii="Baskerville Old Face" w:hAnsi="Baskerville Old Face" w:cs="Times New Roman"/>
          <w:sz w:val="24"/>
          <w:szCs w:val="24"/>
        </w:rPr>
      </w:pPr>
      <w:r>
        <w:rPr>
          <w:rFonts w:ascii="Baskerville Old Face" w:hAnsi="Baskerville Old Face" w:cs="Times New Roman"/>
          <w:sz w:val="24"/>
          <w:szCs w:val="24"/>
        </w:rPr>
        <w:t>T</w:t>
      </w:r>
      <w:r w:rsidRPr="00E14C76">
        <w:rPr>
          <w:rFonts w:ascii="Baskerville Old Face" w:hAnsi="Baskerville Old Face" w:cs="Times New Roman"/>
          <w:sz w:val="24"/>
          <w:szCs w:val="24"/>
        </w:rPr>
        <w:t xml:space="preserve">he Scanning Unit examines </w:t>
      </w:r>
      <w:r w:rsidR="002E7B18">
        <w:rPr>
          <w:rFonts w:ascii="Baskerville Old Face" w:hAnsi="Baskerville Old Face" w:cs="Times New Roman"/>
          <w:sz w:val="24"/>
          <w:szCs w:val="24"/>
        </w:rPr>
        <w:t xml:space="preserve">  </w:t>
      </w:r>
      <w:r w:rsidRPr="00E14C76">
        <w:rPr>
          <w:rFonts w:ascii="Baskerville Old Face" w:hAnsi="Baskerville Old Face" w:cs="Times New Roman"/>
          <w:sz w:val="24"/>
          <w:szCs w:val="24"/>
        </w:rPr>
        <w:t>containers and luggage to identify contained objects by generating images</w:t>
      </w:r>
      <w:r>
        <w:rPr>
          <w:rFonts w:ascii="Baskerville Old Face" w:hAnsi="Baskerville Old Face" w:cs="Times New Roman"/>
          <w:sz w:val="24"/>
          <w:szCs w:val="24"/>
        </w:rPr>
        <w:t xml:space="preserve"> using scanning machine</w:t>
      </w:r>
      <w:r w:rsidRPr="00E14C76">
        <w:rPr>
          <w:rFonts w:ascii="Baskerville Old Face" w:hAnsi="Baskerville Old Face" w:cs="Times New Roman"/>
          <w:sz w:val="24"/>
          <w:szCs w:val="24"/>
        </w:rPr>
        <w:t>. Subsequently, reports are dispatched to the Physical Inspection Unit for further action.</w:t>
      </w:r>
      <w:r>
        <w:rPr>
          <w:rFonts w:ascii="Baskerville Old Face" w:hAnsi="Baskerville Old Face" w:cs="Times New Roman"/>
          <w:sz w:val="24"/>
          <w:szCs w:val="24"/>
        </w:rPr>
        <w:t xml:space="preserve"> </w:t>
      </w:r>
      <w:r w:rsidRPr="00E14C76">
        <w:rPr>
          <w:rFonts w:ascii="Baskerville Old Face" w:hAnsi="Baskerville Old Face" w:cs="Times New Roman"/>
          <w:sz w:val="24"/>
          <w:szCs w:val="24"/>
        </w:rPr>
        <w:t>These reports can either be satisfactory, indicating compliance with declared contents, or unsatisfactory, signifying discrepancies requiring detailed inspection by the Physical Inspection Unit.</w:t>
      </w:r>
    </w:p>
    <w:p w14:paraId="5F2EE369" w14:textId="4E2DCCF6" w:rsidR="00E14C76" w:rsidRPr="00E14C76" w:rsidRDefault="00E14C76" w:rsidP="00E14C76">
      <w:pPr>
        <w:spacing w:line="360" w:lineRule="auto"/>
        <w:jc w:val="both"/>
        <w:rPr>
          <w:rFonts w:ascii="Baskerville Old Face" w:hAnsi="Baskerville Old Face" w:cs="Times New Roman"/>
          <w:sz w:val="24"/>
          <w:szCs w:val="24"/>
        </w:rPr>
      </w:pPr>
      <w:r w:rsidRPr="00C340BA">
        <w:rPr>
          <w:rFonts w:ascii="Baskerville Old Face" w:hAnsi="Baskerville Old Face" w:cs="Times New Roman"/>
          <w:sz w:val="24"/>
          <w:szCs w:val="24"/>
        </w:rPr>
        <w:t xml:space="preserve">Table </w:t>
      </w:r>
      <w:r w:rsidR="003E757C">
        <w:rPr>
          <w:rFonts w:ascii="Baskerville Old Face" w:hAnsi="Baskerville Old Face" w:cs="Times New Roman"/>
          <w:sz w:val="24"/>
          <w:szCs w:val="24"/>
        </w:rPr>
        <w:t>3</w:t>
      </w:r>
      <w:r w:rsidR="00AA0A51">
        <w:rPr>
          <w:rFonts w:ascii="Baskerville Old Face" w:hAnsi="Baskerville Old Face" w:cs="Times New Roman"/>
          <w:sz w:val="24"/>
          <w:szCs w:val="24"/>
        </w:rPr>
        <w:t>0</w:t>
      </w:r>
      <w:r w:rsidRPr="00E14C76">
        <w:rPr>
          <w:rFonts w:ascii="Baskerville Old Face" w:hAnsi="Baskerville Old Face" w:cs="Times New Roman"/>
          <w:sz w:val="24"/>
          <w:szCs w:val="24"/>
        </w:rPr>
        <w:t xml:space="preserve"> presents a comparison of the total number of containers scanned by the Unit in 2023 and 2022 </w:t>
      </w:r>
      <w:proofErr w:type="gramStart"/>
      <w:r w:rsidRPr="00E14C76">
        <w:rPr>
          <w:rFonts w:ascii="Baskerville Old Face" w:hAnsi="Baskerville Old Face" w:cs="Times New Roman"/>
          <w:sz w:val="24"/>
          <w:szCs w:val="24"/>
        </w:rPr>
        <w:t>on a monthly basis</w:t>
      </w:r>
      <w:proofErr w:type="gramEnd"/>
      <w:r w:rsidRPr="00E14C76">
        <w:rPr>
          <w:rFonts w:ascii="Baskerville Old Face" w:hAnsi="Baskerville Old Face" w:cs="Times New Roman"/>
          <w:sz w:val="24"/>
          <w:szCs w:val="24"/>
        </w:rPr>
        <w:t>. Notably, there was a decline of 5,616 containers scanned in 2023 compared to 2022, with the number of scanned import containers increasing marginally by 71 (0.2%), while the number of scanned export containers decreased by 5,687 (39.0%).</w:t>
      </w:r>
    </w:p>
    <w:p w14:paraId="78B3F515" w14:textId="433E45A8" w:rsidR="00E14C76" w:rsidRPr="0062044A" w:rsidRDefault="00E14C76" w:rsidP="00E14C76">
      <w:pPr>
        <w:spacing w:line="240" w:lineRule="auto"/>
        <w:jc w:val="both"/>
        <w:rPr>
          <w:rFonts w:ascii="Baskerville Old Face" w:hAnsi="Baskerville Old Face" w:cs="Times New Roman"/>
          <w:b/>
          <w:bCs/>
          <w:i/>
          <w:iCs/>
          <w:sz w:val="24"/>
          <w:szCs w:val="24"/>
          <w:lang w:val="en-GB"/>
        </w:rPr>
      </w:pPr>
      <w:bookmarkStart w:id="110" w:name="Table30"/>
      <w:r w:rsidRPr="00C340BA">
        <w:rPr>
          <w:rFonts w:ascii="Baskerville Old Face" w:hAnsi="Baskerville Old Face" w:cs="Times New Roman"/>
          <w:b/>
          <w:bCs/>
          <w:i/>
          <w:iCs/>
          <w:sz w:val="24"/>
          <w:szCs w:val="24"/>
          <w:lang w:val="en-GB"/>
        </w:rPr>
        <w:t xml:space="preserve">Table </w:t>
      </w:r>
      <w:r w:rsidR="002E6968">
        <w:rPr>
          <w:rFonts w:ascii="Baskerville Old Face" w:hAnsi="Baskerville Old Face" w:cs="Times New Roman"/>
          <w:b/>
          <w:bCs/>
          <w:i/>
          <w:iCs/>
          <w:sz w:val="24"/>
          <w:szCs w:val="24"/>
          <w:lang w:val="en-GB"/>
        </w:rPr>
        <w:t>3</w:t>
      </w:r>
      <w:r w:rsidR="00AA0A51">
        <w:rPr>
          <w:rFonts w:ascii="Baskerville Old Face" w:hAnsi="Baskerville Old Face" w:cs="Times New Roman"/>
          <w:b/>
          <w:bCs/>
          <w:i/>
          <w:iCs/>
          <w:sz w:val="24"/>
          <w:szCs w:val="24"/>
          <w:lang w:val="en-GB"/>
        </w:rPr>
        <w:t>0</w:t>
      </w:r>
      <w:r w:rsidRPr="00C340BA">
        <w:rPr>
          <w:rFonts w:ascii="Baskerville Old Face" w:hAnsi="Baskerville Old Face" w:cs="Times New Roman"/>
          <w:b/>
          <w:bCs/>
          <w:i/>
          <w:iCs/>
          <w:sz w:val="24"/>
          <w:szCs w:val="24"/>
          <w:lang w:val="en-GB"/>
        </w:rPr>
        <w:t>:</w:t>
      </w:r>
      <w:r w:rsidRPr="0062044A">
        <w:rPr>
          <w:rFonts w:ascii="Baskerville Old Face" w:hAnsi="Baskerville Old Face" w:cs="Times New Roman"/>
          <w:b/>
          <w:bCs/>
          <w:i/>
          <w:iCs/>
          <w:sz w:val="24"/>
          <w:szCs w:val="24"/>
          <w:lang w:val="en-GB"/>
        </w:rPr>
        <w:t xml:space="preserve"> Number of Scanned Containers (Import and Export), 2023 and 2022 </w:t>
      </w:r>
    </w:p>
    <w:tbl>
      <w:tblPr>
        <w:tblStyle w:val="ListTable3-Accent3"/>
        <w:tblW w:w="9535" w:type="dxa"/>
        <w:tblLook w:val="04A0" w:firstRow="1" w:lastRow="0" w:firstColumn="1" w:lastColumn="0" w:noHBand="0" w:noVBand="1"/>
      </w:tblPr>
      <w:tblGrid>
        <w:gridCol w:w="1165"/>
        <w:gridCol w:w="1027"/>
        <w:gridCol w:w="843"/>
        <w:gridCol w:w="1144"/>
        <w:gridCol w:w="810"/>
        <w:gridCol w:w="827"/>
        <w:gridCol w:w="1144"/>
        <w:gridCol w:w="760"/>
        <w:gridCol w:w="810"/>
        <w:gridCol w:w="1268"/>
      </w:tblGrid>
      <w:tr w:rsidR="00F021ED" w:rsidRPr="0062044A" w14:paraId="7CF331EB" w14:textId="77777777" w:rsidTr="00CE296A">
        <w:trPr>
          <w:cnfStyle w:val="100000000000" w:firstRow="1" w:lastRow="0" w:firstColumn="0" w:lastColumn="0" w:oddVBand="0" w:evenVBand="0" w:oddHBand="0" w:evenHBand="0" w:firstRowFirstColumn="0" w:firstRowLastColumn="0" w:lastRowFirstColumn="0" w:lastRowLastColumn="0"/>
          <w:trHeight w:val="336"/>
        </w:trPr>
        <w:tc>
          <w:tcPr>
            <w:cnfStyle w:val="001000000100" w:firstRow="0" w:lastRow="0" w:firstColumn="1" w:lastColumn="0" w:oddVBand="0" w:evenVBand="0" w:oddHBand="0" w:evenHBand="0" w:firstRowFirstColumn="1" w:firstRowLastColumn="0" w:lastRowFirstColumn="0" w:lastRowLastColumn="0"/>
            <w:tcW w:w="1102" w:type="dxa"/>
            <w:vMerge w:val="restart"/>
            <w:tcBorders>
              <w:top w:val="single" w:sz="4" w:space="0" w:color="auto"/>
              <w:left w:val="single" w:sz="4" w:space="0" w:color="auto"/>
              <w:bottom w:val="single" w:sz="4" w:space="0" w:color="A5A5A5" w:themeColor="accent3"/>
              <w:right w:val="single" w:sz="4" w:space="0" w:color="auto"/>
            </w:tcBorders>
            <w:hideMark/>
          </w:tcPr>
          <w:bookmarkEnd w:id="110"/>
          <w:p w14:paraId="2ACE1BE5" w14:textId="77777777" w:rsidR="00E14C76" w:rsidRPr="0062044A" w:rsidRDefault="00E14C76" w:rsidP="00F9112B">
            <w:pPr>
              <w:jc w:val="both"/>
              <w:rPr>
                <w:rFonts w:ascii="Baskerville Old Face" w:hAnsi="Baskerville Old Face"/>
              </w:rPr>
            </w:pPr>
            <w:r w:rsidRPr="0062044A">
              <w:rPr>
                <w:rFonts w:ascii="Baskerville Old Face" w:hAnsi="Baskerville Old Face"/>
                <w:lang w:val="en-GB"/>
              </w:rPr>
              <w:t>Month</w:t>
            </w:r>
          </w:p>
        </w:tc>
        <w:tc>
          <w:tcPr>
            <w:tcW w:w="2953" w:type="dxa"/>
            <w:gridSpan w:val="3"/>
            <w:tcBorders>
              <w:top w:val="single" w:sz="4" w:space="0" w:color="auto"/>
              <w:left w:val="single" w:sz="4" w:space="0" w:color="auto"/>
              <w:right w:val="single" w:sz="4" w:space="0" w:color="auto"/>
            </w:tcBorders>
            <w:hideMark/>
          </w:tcPr>
          <w:p w14:paraId="4010DE02" w14:textId="77777777" w:rsidR="00E14C76" w:rsidRPr="00610B36" w:rsidRDefault="00E14C76"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rPr>
            </w:pPr>
            <w:r w:rsidRPr="00610B36">
              <w:rPr>
                <w:rFonts w:ascii="Baskerville Old Face" w:hAnsi="Baskerville Old Face"/>
                <w:color w:val="auto"/>
                <w:lang w:val="en-GB"/>
              </w:rPr>
              <w:t>Total Scanned</w:t>
            </w:r>
          </w:p>
        </w:tc>
        <w:tc>
          <w:tcPr>
            <w:tcW w:w="2681" w:type="dxa"/>
            <w:gridSpan w:val="3"/>
            <w:tcBorders>
              <w:top w:val="single" w:sz="4" w:space="0" w:color="auto"/>
              <w:left w:val="single" w:sz="4" w:space="0" w:color="auto"/>
              <w:right w:val="single" w:sz="4" w:space="0" w:color="auto"/>
            </w:tcBorders>
            <w:hideMark/>
          </w:tcPr>
          <w:p w14:paraId="6221C6F2" w14:textId="77777777" w:rsidR="00E14C76" w:rsidRPr="00610B36" w:rsidRDefault="00E14C76"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rPr>
            </w:pPr>
            <w:r w:rsidRPr="00610B36">
              <w:rPr>
                <w:rFonts w:ascii="Baskerville Old Face" w:hAnsi="Baskerville Old Face"/>
                <w:color w:val="auto"/>
                <w:lang w:val="en-GB"/>
              </w:rPr>
              <w:t>Total Import</w:t>
            </w:r>
          </w:p>
        </w:tc>
        <w:tc>
          <w:tcPr>
            <w:tcW w:w="2799" w:type="dxa"/>
            <w:gridSpan w:val="3"/>
            <w:tcBorders>
              <w:top w:val="single" w:sz="4" w:space="0" w:color="auto"/>
              <w:left w:val="single" w:sz="4" w:space="0" w:color="auto"/>
              <w:right w:val="single" w:sz="4" w:space="0" w:color="auto"/>
            </w:tcBorders>
            <w:hideMark/>
          </w:tcPr>
          <w:p w14:paraId="44DA120C" w14:textId="77777777" w:rsidR="00E14C76" w:rsidRPr="00610B36" w:rsidRDefault="00E14C76" w:rsidP="00610B36">
            <w:pPr>
              <w:jc w:val="center"/>
              <w:cnfStyle w:val="100000000000" w:firstRow="1" w:lastRow="0" w:firstColumn="0" w:lastColumn="0" w:oddVBand="0" w:evenVBand="0" w:oddHBand="0" w:evenHBand="0" w:firstRowFirstColumn="0" w:firstRowLastColumn="0" w:lastRowFirstColumn="0" w:lastRowLastColumn="0"/>
              <w:rPr>
                <w:rFonts w:ascii="Baskerville Old Face" w:hAnsi="Baskerville Old Face"/>
                <w:color w:val="auto"/>
              </w:rPr>
            </w:pPr>
            <w:r w:rsidRPr="00610B36">
              <w:rPr>
                <w:rFonts w:ascii="Baskerville Old Face" w:hAnsi="Baskerville Old Face"/>
                <w:color w:val="auto"/>
                <w:lang w:val="en-GB"/>
              </w:rPr>
              <w:t>Total Export</w:t>
            </w:r>
          </w:p>
        </w:tc>
      </w:tr>
      <w:tr w:rsidR="00610B36" w:rsidRPr="0062044A" w14:paraId="27B1A863"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vMerge/>
            <w:tcBorders>
              <w:left w:val="single" w:sz="4" w:space="0" w:color="auto"/>
              <w:right w:val="single" w:sz="4" w:space="0" w:color="auto"/>
            </w:tcBorders>
            <w:hideMark/>
          </w:tcPr>
          <w:p w14:paraId="18CF033A" w14:textId="77777777" w:rsidR="00E14C76" w:rsidRPr="0062044A" w:rsidRDefault="00E14C76" w:rsidP="00F9112B">
            <w:pPr>
              <w:jc w:val="both"/>
              <w:rPr>
                <w:rFonts w:ascii="Baskerville Old Face" w:hAnsi="Baskerville Old Face"/>
              </w:rPr>
            </w:pPr>
          </w:p>
        </w:tc>
        <w:tc>
          <w:tcPr>
            <w:tcW w:w="1027" w:type="dxa"/>
            <w:tcBorders>
              <w:left w:val="single" w:sz="4" w:space="0" w:color="auto"/>
            </w:tcBorders>
            <w:noWrap/>
            <w:hideMark/>
          </w:tcPr>
          <w:p w14:paraId="58BB8F7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2023</w:t>
            </w:r>
          </w:p>
        </w:tc>
        <w:tc>
          <w:tcPr>
            <w:tcW w:w="843" w:type="dxa"/>
            <w:hideMark/>
          </w:tcPr>
          <w:p w14:paraId="2E7C192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2022</w:t>
            </w:r>
          </w:p>
        </w:tc>
        <w:tc>
          <w:tcPr>
            <w:tcW w:w="1083" w:type="dxa"/>
            <w:tcBorders>
              <w:right w:val="single" w:sz="4" w:space="0" w:color="auto"/>
            </w:tcBorders>
            <w:hideMark/>
          </w:tcPr>
          <w:p w14:paraId="69DCF0B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Difference</w:t>
            </w:r>
          </w:p>
        </w:tc>
        <w:tc>
          <w:tcPr>
            <w:tcW w:w="771" w:type="dxa"/>
            <w:tcBorders>
              <w:left w:val="single" w:sz="4" w:space="0" w:color="auto"/>
            </w:tcBorders>
            <w:noWrap/>
            <w:hideMark/>
          </w:tcPr>
          <w:p w14:paraId="5C0B5B4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2023</w:t>
            </w:r>
          </w:p>
        </w:tc>
        <w:tc>
          <w:tcPr>
            <w:tcW w:w="827" w:type="dxa"/>
            <w:hideMark/>
          </w:tcPr>
          <w:p w14:paraId="3AB9482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2022</w:t>
            </w:r>
          </w:p>
        </w:tc>
        <w:tc>
          <w:tcPr>
            <w:tcW w:w="1083" w:type="dxa"/>
            <w:tcBorders>
              <w:right w:val="single" w:sz="4" w:space="0" w:color="auto"/>
            </w:tcBorders>
            <w:hideMark/>
          </w:tcPr>
          <w:p w14:paraId="7111AAB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Difference</w:t>
            </w:r>
          </w:p>
        </w:tc>
        <w:tc>
          <w:tcPr>
            <w:tcW w:w="760" w:type="dxa"/>
            <w:tcBorders>
              <w:left w:val="single" w:sz="4" w:space="0" w:color="auto"/>
            </w:tcBorders>
            <w:noWrap/>
            <w:hideMark/>
          </w:tcPr>
          <w:p w14:paraId="4DCF820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2023</w:t>
            </w:r>
          </w:p>
        </w:tc>
        <w:tc>
          <w:tcPr>
            <w:tcW w:w="771" w:type="dxa"/>
            <w:hideMark/>
          </w:tcPr>
          <w:p w14:paraId="2CBB3183"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2022</w:t>
            </w:r>
          </w:p>
        </w:tc>
        <w:tc>
          <w:tcPr>
            <w:tcW w:w="1268" w:type="dxa"/>
            <w:tcBorders>
              <w:right w:val="single" w:sz="4" w:space="0" w:color="auto"/>
            </w:tcBorders>
            <w:hideMark/>
          </w:tcPr>
          <w:p w14:paraId="24673D9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Difference</w:t>
            </w:r>
          </w:p>
        </w:tc>
      </w:tr>
      <w:tr w:rsidR="00610B36" w:rsidRPr="0062044A" w14:paraId="6319AFF5"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6595A718"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January</w:t>
            </w:r>
          </w:p>
        </w:tc>
        <w:tc>
          <w:tcPr>
            <w:tcW w:w="1027" w:type="dxa"/>
            <w:tcBorders>
              <w:left w:val="single" w:sz="4" w:space="0" w:color="auto"/>
            </w:tcBorders>
            <w:hideMark/>
          </w:tcPr>
          <w:p w14:paraId="3938285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3,269</w:t>
            </w:r>
          </w:p>
        </w:tc>
        <w:tc>
          <w:tcPr>
            <w:tcW w:w="843" w:type="dxa"/>
            <w:noWrap/>
            <w:hideMark/>
          </w:tcPr>
          <w:p w14:paraId="3A70B60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7,180</w:t>
            </w:r>
          </w:p>
        </w:tc>
        <w:tc>
          <w:tcPr>
            <w:tcW w:w="1083" w:type="dxa"/>
            <w:tcBorders>
              <w:right w:val="single" w:sz="4" w:space="0" w:color="auto"/>
            </w:tcBorders>
            <w:noWrap/>
            <w:hideMark/>
          </w:tcPr>
          <w:p w14:paraId="1102E56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-3,911</w:t>
            </w:r>
          </w:p>
        </w:tc>
        <w:tc>
          <w:tcPr>
            <w:tcW w:w="771" w:type="dxa"/>
            <w:tcBorders>
              <w:left w:val="single" w:sz="4" w:space="0" w:color="auto"/>
            </w:tcBorders>
            <w:noWrap/>
            <w:hideMark/>
          </w:tcPr>
          <w:p w14:paraId="3727A49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2,623</w:t>
            </w:r>
          </w:p>
        </w:tc>
        <w:tc>
          <w:tcPr>
            <w:tcW w:w="827" w:type="dxa"/>
            <w:noWrap/>
            <w:hideMark/>
          </w:tcPr>
          <w:p w14:paraId="06E21E95"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2,593</w:t>
            </w:r>
          </w:p>
        </w:tc>
        <w:tc>
          <w:tcPr>
            <w:tcW w:w="1083" w:type="dxa"/>
            <w:tcBorders>
              <w:right w:val="single" w:sz="4" w:space="0" w:color="auto"/>
            </w:tcBorders>
            <w:noWrap/>
            <w:hideMark/>
          </w:tcPr>
          <w:p w14:paraId="2BBBF8EC"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30</w:t>
            </w:r>
          </w:p>
        </w:tc>
        <w:tc>
          <w:tcPr>
            <w:tcW w:w="760" w:type="dxa"/>
            <w:tcBorders>
              <w:left w:val="single" w:sz="4" w:space="0" w:color="auto"/>
            </w:tcBorders>
            <w:noWrap/>
            <w:hideMark/>
          </w:tcPr>
          <w:p w14:paraId="6549317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646</w:t>
            </w:r>
          </w:p>
        </w:tc>
        <w:tc>
          <w:tcPr>
            <w:tcW w:w="771" w:type="dxa"/>
            <w:noWrap/>
            <w:hideMark/>
          </w:tcPr>
          <w:p w14:paraId="43FB001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4,587</w:t>
            </w:r>
          </w:p>
        </w:tc>
        <w:tc>
          <w:tcPr>
            <w:tcW w:w="1268" w:type="dxa"/>
            <w:tcBorders>
              <w:right w:val="single" w:sz="4" w:space="0" w:color="auto"/>
            </w:tcBorders>
            <w:noWrap/>
            <w:hideMark/>
          </w:tcPr>
          <w:p w14:paraId="0F3E464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-3,941</w:t>
            </w:r>
          </w:p>
        </w:tc>
      </w:tr>
      <w:tr w:rsidR="00610B36" w:rsidRPr="0062044A" w14:paraId="3B6D4A1D"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6B80385F"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February</w:t>
            </w:r>
          </w:p>
        </w:tc>
        <w:tc>
          <w:tcPr>
            <w:tcW w:w="1027" w:type="dxa"/>
            <w:tcBorders>
              <w:left w:val="single" w:sz="4" w:space="0" w:color="auto"/>
            </w:tcBorders>
            <w:hideMark/>
          </w:tcPr>
          <w:p w14:paraId="30FF83B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2,944</w:t>
            </w:r>
          </w:p>
        </w:tc>
        <w:tc>
          <w:tcPr>
            <w:tcW w:w="843" w:type="dxa"/>
            <w:noWrap/>
            <w:hideMark/>
          </w:tcPr>
          <w:p w14:paraId="556C7F8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3,461</w:t>
            </w:r>
          </w:p>
        </w:tc>
        <w:tc>
          <w:tcPr>
            <w:tcW w:w="1083" w:type="dxa"/>
            <w:tcBorders>
              <w:right w:val="single" w:sz="4" w:space="0" w:color="auto"/>
            </w:tcBorders>
            <w:noWrap/>
            <w:hideMark/>
          </w:tcPr>
          <w:p w14:paraId="3E64866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-517</w:t>
            </w:r>
          </w:p>
        </w:tc>
        <w:tc>
          <w:tcPr>
            <w:tcW w:w="771" w:type="dxa"/>
            <w:tcBorders>
              <w:left w:val="single" w:sz="4" w:space="0" w:color="auto"/>
            </w:tcBorders>
            <w:noWrap/>
            <w:hideMark/>
          </w:tcPr>
          <w:p w14:paraId="3183FD2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2,284</w:t>
            </w:r>
          </w:p>
        </w:tc>
        <w:tc>
          <w:tcPr>
            <w:tcW w:w="827" w:type="dxa"/>
            <w:noWrap/>
            <w:hideMark/>
          </w:tcPr>
          <w:p w14:paraId="2F93605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2,370</w:t>
            </w:r>
          </w:p>
        </w:tc>
        <w:tc>
          <w:tcPr>
            <w:tcW w:w="1083" w:type="dxa"/>
            <w:tcBorders>
              <w:right w:val="single" w:sz="4" w:space="0" w:color="auto"/>
            </w:tcBorders>
            <w:noWrap/>
            <w:hideMark/>
          </w:tcPr>
          <w:p w14:paraId="43E3B2A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-86</w:t>
            </w:r>
          </w:p>
        </w:tc>
        <w:tc>
          <w:tcPr>
            <w:tcW w:w="760" w:type="dxa"/>
            <w:tcBorders>
              <w:left w:val="single" w:sz="4" w:space="0" w:color="auto"/>
            </w:tcBorders>
            <w:noWrap/>
            <w:hideMark/>
          </w:tcPr>
          <w:p w14:paraId="1149DB0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660</w:t>
            </w:r>
          </w:p>
        </w:tc>
        <w:tc>
          <w:tcPr>
            <w:tcW w:w="771" w:type="dxa"/>
            <w:noWrap/>
            <w:hideMark/>
          </w:tcPr>
          <w:p w14:paraId="596583D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1,091</w:t>
            </w:r>
          </w:p>
        </w:tc>
        <w:tc>
          <w:tcPr>
            <w:tcW w:w="1268" w:type="dxa"/>
            <w:tcBorders>
              <w:right w:val="single" w:sz="4" w:space="0" w:color="auto"/>
            </w:tcBorders>
            <w:noWrap/>
            <w:hideMark/>
          </w:tcPr>
          <w:p w14:paraId="2680EF6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-431</w:t>
            </w:r>
          </w:p>
        </w:tc>
      </w:tr>
      <w:tr w:rsidR="00610B36" w:rsidRPr="0062044A" w14:paraId="23CA5156"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6AC11280"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March</w:t>
            </w:r>
          </w:p>
        </w:tc>
        <w:tc>
          <w:tcPr>
            <w:tcW w:w="1027" w:type="dxa"/>
            <w:tcBorders>
              <w:left w:val="single" w:sz="4" w:space="0" w:color="auto"/>
            </w:tcBorders>
            <w:hideMark/>
          </w:tcPr>
          <w:p w14:paraId="0BEF9BC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3,584</w:t>
            </w:r>
          </w:p>
        </w:tc>
        <w:tc>
          <w:tcPr>
            <w:tcW w:w="843" w:type="dxa"/>
            <w:noWrap/>
            <w:hideMark/>
          </w:tcPr>
          <w:p w14:paraId="023814F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3,980</w:t>
            </w:r>
          </w:p>
        </w:tc>
        <w:tc>
          <w:tcPr>
            <w:tcW w:w="1083" w:type="dxa"/>
            <w:tcBorders>
              <w:right w:val="single" w:sz="4" w:space="0" w:color="auto"/>
            </w:tcBorders>
            <w:noWrap/>
            <w:hideMark/>
          </w:tcPr>
          <w:p w14:paraId="3C89CC6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-396</w:t>
            </w:r>
          </w:p>
        </w:tc>
        <w:tc>
          <w:tcPr>
            <w:tcW w:w="771" w:type="dxa"/>
            <w:tcBorders>
              <w:left w:val="single" w:sz="4" w:space="0" w:color="auto"/>
            </w:tcBorders>
            <w:noWrap/>
            <w:hideMark/>
          </w:tcPr>
          <w:p w14:paraId="0D7388DB"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2,721</w:t>
            </w:r>
          </w:p>
        </w:tc>
        <w:tc>
          <w:tcPr>
            <w:tcW w:w="827" w:type="dxa"/>
            <w:noWrap/>
            <w:hideMark/>
          </w:tcPr>
          <w:p w14:paraId="2455E03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2,626</w:t>
            </w:r>
          </w:p>
        </w:tc>
        <w:tc>
          <w:tcPr>
            <w:tcW w:w="1083" w:type="dxa"/>
            <w:tcBorders>
              <w:right w:val="single" w:sz="4" w:space="0" w:color="auto"/>
            </w:tcBorders>
            <w:noWrap/>
            <w:hideMark/>
          </w:tcPr>
          <w:p w14:paraId="0D87BA0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95</w:t>
            </w:r>
          </w:p>
        </w:tc>
        <w:tc>
          <w:tcPr>
            <w:tcW w:w="760" w:type="dxa"/>
            <w:tcBorders>
              <w:left w:val="single" w:sz="4" w:space="0" w:color="auto"/>
            </w:tcBorders>
            <w:noWrap/>
            <w:hideMark/>
          </w:tcPr>
          <w:p w14:paraId="2AF992A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863</w:t>
            </w:r>
          </w:p>
        </w:tc>
        <w:tc>
          <w:tcPr>
            <w:tcW w:w="771" w:type="dxa"/>
            <w:noWrap/>
            <w:hideMark/>
          </w:tcPr>
          <w:p w14:paraId="437B521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1,354</w:t>
            </w:r>
          </w:p>
        </w:tc>
        <w:tc>
          <w:tcPr>
            <w:tcW w:w="1268" w:type="dxa"/>
            <w:tcBorders>
              <w:right w:val="single" w:sz="4" w:space="0" w:color="auto"/>
            </w:tcBorders>
            <w:noWrap/>
            <w:hideMark/>
          </w:tcPr>
          <w:p w14:paraId="6D0995F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-491</w:t>
            </w:r>
          </w:p>
        </w:tc>
      </w:tr>
      <w:tr w:rsidR="00610B36" w:rsidRPr="0062044A" w14:paraId="78E28AD6"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239F23CA"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April</w:t>
            </w:r>
          </w:p>
        </w:tc>
        <w:tc>
          <w:tcPr>
            <w:tcW w:w="1027" w:type="dxa"/>
            <w:tcBorders>
              <w:left w:val="single" w:sz="4" w:space="0" w:color="auto"/>
            </w:tcBorders>
            <w:hideMark/>
          </w:tcPr>
          <w:p w14:paraId="2B2CC42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2,887</w:t>
            </w:r>
          </w:p>
        </w:tc>
        <w:tc>
          <w:tcPr>
            <w:tcW w:w="843" w:type="dxa"/>
            <w:noWrap/>
            <w:hideMark/>
          </w:tcPr>
          <w:p w14:paraId="6F6E598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3,437</w:t>
            </w:r>
          </w:p>
        </w:tc>
        <w:tc>
          <w:tcPr>
            <w:tcW w:w="1083" w:type="dxa"/>
            <w:tcBorders>
              <w:right w:val="single" w:sz="4" w:space="0" w:color="auto"/>
            </w:tcBorders>
            <w:noWrap/>
            <w:hideMark/>
          </w:tcPr>
          <w:p w14:paraId="776E24F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-550</w:t>
            </w:r>
          </w:p>
        </w:tc>
        <w:tc>
          <w:tcPr>
            <w:tcW w:w="771" w:type="dxa"/>
            <w:tcBorders>
              <w:left w:val="single" w:sz="4" w:space="0" w:color="auto"/>
            </w:tcBorders>
            <w:noWrap/>
            <w:hideMark/>
          </w:tcPr>
          <w:p w14:paraId="578D71D8"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2,266</w:t>
            </w:r>
          </w:p>
        </w:tc>
        <w:tc>
          <w:tcPr>
            <w:tcW w:w="827" w:type="dxa"/>
            <w:noWrap/>
            <w:hideMark/>
          </w:tcPr>
          <w:p w14:paraId="6855626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2,039</w:t>
            </w:r>
          </w:p>
        </w:tc>
        <w:tc>
          <w:tcPr>
            <w:tcW w:w="1083" w:type="dxa"/>
            <w:tcBorders>
              <w:right w:val="single" w:sz="4" w:space="0" w:color="auto"/>
            </w:tcBorders>
            <w:noWrap/>
            <w:hideMark/>
          </w:tcPr>
          <w:p w14:paraId="2EAC073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227</w:t>
            </w:r>
          </w:p>
        </w:tc>
        <w:tc>
          <w:tcPr>
            <w:tcW w:w="760" w:type="dxa"/>
            <w:tcBorders>
              <w:left w:val="single" w:sz="4" w:space="0" w:color="auto"/>
            </w:tcBorders>
            <w:noWrap/>
            <w:hideMark/>
          </w:tcPr>
          <w:p w14:paraId="189CC87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621</w:t>
            </w:r>
          </w:p>
        </w:tc>
        <w:tc>
          <w:tcPr>
            <w:tcW w:w="771" w:type="dxa"/>
            <w:noWrap/>
            <w:hideMark/>
          </w:tcPr>
          <w:p w14:paraId="51C3DCD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1,398</w:t>
            </w:r>
          </w:p>
        </w:tc>
        <w:tc>
          <w:tcPr>
            <w:tcW w:w="1268" w:type="dxa"/>
            <w:tcBorders>
              <w:right w:val="single" w:sz="4" w:space="0" w:color="auto"/>
            </w:tcBorders>
            <w:noWrap/>
            <w:hideMark/>
          </w:tcPr>
          <w:p w14:paraId="61FB185D"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-777</w:t>
            </w:r>
          </w:p>
        </w:tc>
      </w:tr>
      <w:tr w:rsidR="00610B36" w:rsidRPr="0062044A" w14:paraId="319377DE"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25F538E4"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May</w:t>
            </w:r>
          </w:p>
        </w:tc>
        <w:tc>
          <w:tcPr>
            <w:tcW w:w="1027" w:type="dxa"/>
            <w:tcBorders>
              <w:left w:val="single" w:sz="4" w:space="0" w:color="auto"/>
            </w:tcBorders>
            <w:hideMark/>
          </w:tcPr>
          <w:p w14:paraId="4B94542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3,783</w:t>
            </w:r>
          </w:p>
        </w:tc>
        <w:tc>
          <w:tcPr>
            <w:tcW w:w="843" w:type="dxa"/>
            <w:noWrap/>
            <w:hideMark/>
          </w:tcPr>
          <w:p w14:paraId="146C2C8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4,051</w:t>
            </w:r>
          </w:p>
        </w:tc>
        <w:tc>
          <w:tcPr>
            <w:tcW w:w="1083" w:type="dxa"/>
            <w:tcBorders>
              <w:right w:val="single" w:sz="4" w:space="0" w:color="auto"/>
            </w:tcBorders>
            <w:noWrap/>
            <w:hideMark/>
          </w:tcPr>
          <w:p w14:paraId="14F5669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-268</w:t>
            </w:r>
          </w:p>
        </w:tc>
        <w:tc>
          <w:tcPr>
            <w:tcW w:w="771" w:type="dxa"/>
            <w:tcBorders>
              <w:left w:val="single" w:sz="4" w:space="0" w:color="auto"/>
            </w:tcBorders>
            <w:noWrap/>
            <w:hideMark/>
          </w:tcPr>
          <w:p w14:paraId="256DEBD4"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3,133</w:t>
            </w:r>
          </w:p>
        </w:tc>
        <w:tc>
          <w:tcPr>
            <w:tcW w:w="827" w:type="dxa"/>
            <w:noWrap/>
            <w:hideMark/>
          </w:tcPr>
          <w:p w14:paraId="04FCDB3E"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2,745</w:t>
            </w:r>
          </w:p>
        </w:tc>
        <w:tc>
          <w:tcPr>
            <w:tcW w:w="1083" w:type="dxa"/>
            <w:tcBorders>
              <w:right w:val="single" w:sz="4" w:space="0" w:color="auto"/>
            </w:tcBorders>
            <w:noWrap/>
            <w:hideMark/>
          </w:tcPr>
          <w:p w14:paraId="737387F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388</w:t>
            </w:r>
          </w:p>
        </w:tc>
        <w:tc>
          <w:tcPr>
            <w:tcW w:w="760" w:type="dxa"/>
            <w:tcBorders>
              <w:left w:val="single" w:sz="4" w:space="0" w:color="auto"/>
            </w:tcBorders>
            <w:noWrap/>
            <w:hideMark/>
          </w:tcPr>
          <w:p w14:paraId="32347356"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650</w:t>
            </w:r>
          </w:p>
        </w:tc>
        <w:tc>
          <w:tcPr>
            <w:tcW w:w="771" w:type="dxa"/>
            <w:noWrap/>
            <w:hideMark/>
          </w:tcPr>
          <w:p w14:paraId="21398B47"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1,306</w:t>
            </w:r>
          </w:p>
        </w:tc>
        <w:tc>
          <w:tcPr>
            <w:tcW w:w="1268" w:type="dxa"/>
            <w:tcBorders>
              <w:right w:val="single" w:sz="4" w:space="0" w:color="auto"/>
            </w:tcBorders>
            <w:noWrap/>
            <w:hideMark/>
          </w:tcPr>
          <w:p w14:paraId="37A0DEE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-656</w:t>
            </w:r>
          </w:p>
        </w:tc>
      </w:tr>
      <w:tr w:rsidR="00610B36" w:rsidRPr="0062044A" w14:paraId="1B47FB32"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016A4B7B"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June</w:t>
            </w:r>
          </w:p>
        </w:tc>
        <w:tc>
          <w:tcPr>
            <w:tcW w:w="1027" w:type="dxa"/>
            <w:tcBorders>
              <w:left w:val="single" w:sz="4" w:space="0" w:color="auto"/>
            </w:tcBorders>
            <w:hideMark/>
          </w:tcPr>
          <w:p w14:paraId="65DE5A44"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3,140</w:t>
            </w:r>
          </w:p>
        </w:tc>
        <w:tc>
          <w:tcPr>
            <w:tcW w:w="843" w:type="dxa"/>
            <w:noWrap/>
            <w:hideMark/>
          </w:tcPr>
          <w:p w14:paraId="1E39BF78"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3,156</w:t>
            </w:r>
          </w:p>
        </w:tc>
        <w:tc>
          <w:tcPr>
            <w:tcW w:w="1083" w:type="dxa"/>
            <w:tcBorders>
              <w:right w:val="single" w:sz="4" w:space="0" w:color="auto"/>
            </w:tcBorders>
            <w:noWrap/>
            <w:hideMark/>
          </w:tcPr>
          <w:p w14:paraId="2873189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-16</w:t>
            </w:r>
          </w:p>
        </w:tc>
        <w:tc>
          <w:tcPr>
            <w:tcW w:w="771" w:type="dxa"/>
            <w:tcBorders>
              <w:left w:val="single" w:sz="4" w:space="0" w:color="auto"/>
            </w:tcBorders>
            <w:noWrap/>
            <w:hideMark/>
          </w:tcPr>
          <w:p w14:paraId="628322F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2,535</w:t>
            </w:r>
          </w:p>
        </w:tc>
        <w:tc>
          <w:tcPr>
            <w:tcW w:w="827" w:type="dxa"/>
            <w:noWrap/>
            <w:hideMark/>
          </w:tcPr>
          <w:p w14:paraId="5BE1037E"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2,489</w:t>
            </w:r>
          </w:p>
        </w:tc>
        <w:tc>
          <w:tcPr>
            <w:tcW w:w="1083" w:type="dxa"/>
            <w:tcBorders>
              <w:right w:val="single" w:sz="4" w:space="0" w:color="auto"/>
            </w:tcBorders>
            <w:noWrap/>
            <w:hideMark/>
          </w:tcPr>
          <w:p w14:paraId="624FE79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46</w:t>
            </w:r>
          </w:p>
        </w:tc>
        <w:tc>
          <w:tcPr>
            <w:tcW w:w="760" w:type="dxa"/>
            <w:tcBorders>
              <w:left w:val="single" w:sz="4" w:space="0" w:color="auto"/>
            </w:tcBorders>
            <w:noWrap/>
            <w:hideMark/>
          </w:tcPr>
          <w:p w14:paraId="2E747E7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605</w:t>
            </w:r>
          </w:p>
        </w:tc>
        <w:tc>
          <w:tcPr>
            <w:tcW w:w="771" w:type="dxa"/>
            <w:noWrap/>
            <w:hideMark/>
          </w:tcPr>
          <w:p w14:paraId="4625A48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667</w:t>
            </w:r>
          </w:p>
        </w:tc>
        <w:tc>
          <w:tcPr>
            <w:tcW w:w="1268" w:type="dxa"/>
            <w:tcBorders>
              <w:right w:val="single" w:sz="4" w:space="0" w:color="auto"/>
            </w:tcBorders>
            <w:noWrap/>
            <w:hideMark/>
          </w:tcPr>
          <w:p w14:paraId="2D25B97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-62</w:t>
            </w:r>
          </w:p>
        </w:tc>
      </w:tr>
      <w:tr w:rsidR="00610B36" w:rsidRPr="0062044A" w14:paraId="2B0847B2"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337C6A28"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July</w:t>
            </w:r>
          </w:p>
        </w:tc>
        <w:tc>
          <w:tcPr>
            <w:tcW w:w="1027" w:type="dxa"/>
            <w:tcBorders>
              <w:left w:val="single" w:sz="4" w:space="0" w:color="auto"/>
            </w:tcBorders>
            <w:hideMark/>
          </w:tcPr>
          <w:p w14:paraId="470154D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3,515</w:t>
            </w:r>
          </w:p>
        </w:tc>
        <w:tc>
          <w:tcPr>
            <w:tcW w:w="843" w:type="dxa"/>
            <w:noWrap/>
            <w:hideMark/>
          </w:tcPr>
          <w:p w14:paraId="192009C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3,015</w:t>
            </w:r>
          </w:p>
        </w:tc>
        <w:tc>
          <w:tcPr>
            <w:tcW w:w="1083" w:type="dxa"/>
            <w:tcBorders>
              <w:right w:val="single" w:sz="4" w:space="0" w:color="auto"/>
            </w:tcBorders>
            <w:noWrap/>
            <w:hideMark/>
          </w:tcPr>
          <w:p w14:paraId="7D23088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500</w:t>
            </w:r>
          </w:p>
        </w:tc>
        <w:tc>
          <w:tcPr>
            <w:tcW w:w="771" w:type="dxa"/>
            <w:tcBorders>
              <w:left w:val="single" w:sz="4" w:space="0" w:color="auto"/>
            </w:tcBorders>
            <w:noWrap/>
            <w:hideMark/>
          </w:tcPr>
          <w:p w14:paraId="440C087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2,744</w:t>
            </w:r>
          </w:p>
        </w:tc>
        <w:tc>
          <w:tcPr>
            <w:tcW w:w="827" w:type="dxa"/>
            <w:noWrap/>
            <w:hideMark/>
          </w:tcPr>
          <w:p w14:paraId="1CAD0E1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2,407</w:t>
            </w:r>
          </w:p>
        </w:tc>
        <w:tc>
          <w:tcPr>
            <w:tcW w:w="1083" w:type="dxa"/>
            <w:tcBorders>
              <w:right w:val="single" w:sz="4" w:space="0" w:color="auto"/>
            </w:tcBorders>
            <w:noWrap/>
            <w:hideMark/>
          </w:tcPr>
          <w:p w14:paraId="3602CB9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337</w:t>
            </w:r>
          </w:p>
        </w:tc>
        <w:tc>
          <w:tcPr>
            <w:tcW w:w="760" w:type="dxa"/>
            <w:tcBorders>
              <w:left w:val="single" w:sz="4" w:space="0" w:color="auto"/>
            </w:tcBorders>
            <w:noWrap/>
            <w:hideMark/>
          </w:tcPr>
          <w:p w14:paraId="244A53E0"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771</w:t>
            </w:r>
          </w:p>
        </w:tc>
        <w:tc>
          <w:tcPr>
            <w:tcW w:w="771" w:type="dxa"/>
            <w:noWrap/>
            <w:hideMark/>
          </w:tcPr>
          <w:p w14:paraId="52808C4B"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608</w:t>
            </w:r>
          </w:p>
        </w:tc>
        <w:tc>
          <w:tcPr>
            <w:tcW w:w="1268" w:type="dxa"/>
            <w:tcBorders>
              <w:right w:val="single" w:sz="4" w:space="0" w:color="auto"/>
            </w:tcBorders>
            <w:noWrap/>
            <w:hideMark/>
          </w:tcPr>
          <w:p w14:paraId="289303D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163</w:t>
            </w:r>
          </w:p>
        </w:tc>
      </w:tr>
      <w:tr w:rsidR="00610B36" w:rsidRPr="0062044A" w14:paraId="78A39725"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77B34EA7"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August</w:t>
            </w:r>
          </w:p>
        </w:tc>
        <w:tc>
          <w:tcPr>
            <w:tcW w:w="1027" w:type="dxa"/>
            <w:tcBorders>
              <w:left w:val="single" w:sz="4" w:space="0" w:color="auto"/>
            </w:tcBorders>
            <w:hideMark/>
          </w:tcPr>
          <w:p w14:paraId="34DD5873"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3,963</w:t>
            </w:r>
          </w:p>
        </w:tc>
        <w:tc>
          <w:tcPr>
            <w:tcW w:w="843" w:type="dxa"/>
            <w:noWrap/>
            <w:hideMark/>
          </w:tcPr>
          <w:p w14:paraId="2A97105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3,476</w:t>
            </w:r>
          </w:p>
        </w:tc>
        <w:tc>
          <w:tcPr>
            <w:tcW w:w="1083" w:type="dxa"/>
            <w:tcBorders>
              <w:right w:val="single" w:sz="4" w:space="0" w:color="auto"/>
            </w:tcBorders>
            <w:noWrap/>
            <w:hideMark/>
          </w:tcPr>
          <w:p w14:paraId="0059B36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487</w:t>
            </w:r>
          </w:p>
        </w:tc>
        <w:tc>
          <w:tcPr>
            <w:tcW w:w="771" w:type="dxa"/>
            <w:tcBorders>
              <w:left w:val="single" w:sz="4" w:space="0" w:color="auto"/>
            </w:tcBorders>
            <w:noWrap/>
            <w:hideMark/>
          </w:tcPr>
          <w:p w14:paraId="0C44C7F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3,042</w:t>
            </w:r>
          </w:p>
        </w:tc>
        <w:tc>
          <w:tcPr>
            <w:tcW w:w="827" w:type="dxa"/>
            <w:noWrap/>
            <w:hideMark/>
          </w:tcPr>
          <w:p w14:paraId="45B936FD"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2,746</w:t>
            </w:r>
          </w:p>
        </w:tc>
        <w:tc>
          <w:tcPr>
            <w:tcW w:w="1083" w:type="dxa"/>
            <w:tcBorders>
              <w:right w:val="single" w:sz="4" w:space="0" w:color="auto"/>
            </w:tcBorders>
            <w:noWrap/>
            <w:hideMark/>
          </w:tcPr>
          <w:p w14:paraId="6D7F565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296</w:t>
            </w:r>
          </w:p>
        </w:tc>
        <w:tc>
          <w:tcPr>
            <w:tcW w:w="760" w:type="dxa"/>
            <w:tcBorders>
              <w:left w:val="single" w:sz="4" w:space="0" w:color="auto"/>
            </w:tcBorders>
            <w:noWrap/>
            <w:hideMark/>
          </w:tcPr>
          <w:p w14:paraId="49208C1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921</w:t>
            </w:r>
          </w:p>
        </w:tc>
        <w:tc>
          <w:tcPr>
            <w:tcW w:w="771" w:type="dxa"/>
            <w:noWrap/>
            <w:hideMark/>
          </w:tcPr>
          <w:p w14:paraId="00AA4C36"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730</w:t>
            </w:r>
          </w:p>
        </w:tc>
        <w:tc>
          <w:tcPr>
            <w:tcW w:w="1268" w:type="dxa"/>
            <w:tcBorders>
              <w:right w:val="single" w:sz="4" w:space="0" w:color="auto"/>
            </w:tcBorders>
            <w:noWrap/>
            <w:hideMark/>
          </w:tcPr>
          <w:p w14:paraId="203A538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191</w:t>
            </w:r>
          </w:p>
        </w:tc>
      </w:tr>
      <w:tr w:rsidR="00610B36" w:rsidRPr="0062044A" w14:paraId="2C640A49"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36EA4CC2"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September</w:t>
            </w:r>
          </w:p>
        </w:tc>
        <w:tc>
          <w:tcPr>
            <w:tcW w:w="1027" w:type="dxa"/>
            <w:tcBorders>
              <w:left w:val="single" w:sz="4" w:space="0" w:color="auto"/>
            </w:tcBorders>
            <w:hideMark/>
          </w:tcPr>
          <w:p w14:paraId="558F7655"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3,595</w:t>
            </w:r>
          </w:p>
        </w:tc>
        <w:tc>
          <w:tcPr>
            <w:tcW w:w="843" w:type="dxa"/>
            <w:noWrap/>
            <w:hideMark/>
          </w:tcPr>
          <w:p w14:paraId="7BBB7C2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3,944</w:t>
            </w:r>
          </w:p>
        </w:tc>
        <w:tc>
          <w:tcPr>
            <w:tcW w:w="1083" w:type="dxa"/>
            <w:tcBorders>
              <w:right w:val="single" w:sz="4" w:space="0" w:color="auto"/>
            </w:tcBorders>
            <w:noWrap/>
            <w:hideMark/>
          </w:tcPr>
          <w:p w14:paraId="62961BB6"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-349</w:t>
            </w:r>
          </w:p>
        </w:tc>
        <w:tc>
          <w:tcPr>
            <w:tcW w:w="771" w:type="dxa"/>
            <w:tcBorders>
              <w:left w:val="single" w:sz="4" w:space="0" w:color="auto"/>
            </w:tcBorders>
            <w:noWrap/>
            <w:hideMark/>
          </w:tcPr>
          <w:p w14:paraId="33B1FC9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2,803</w:t>
            </w:r>
          </w:p>
        </w:tc>
        <w:tc>
          <w:tcPr>
            <w:tcW w:w="827" w:type="dxa"/>
            <w:noWrap/>
            <w:hideMark/>
          </w:tcPr>
          <w:p w14:paraId="4E34272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3,276</w:t>
            </w:r>
          </w:p>
        </w:tc>
        <w:tc>
          <w:tcPr>
            <w:tcW w:w="1083" w:type="dxa"/>
            <w:tcBorders>
              <w:right w:val="single" w:sz="4" w:space="0" w:color="auto"/>
            </w:tcBorders>
            <w:noWrap/>
            <w:hideMark/>
          </w:tcPr>
          <w:p w14:paraId="41CE5457"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-473</w:t>
            </w:r>
          </w:p>
        </w:tc>
        <w:tc>
          <w:tcPr>
            <w:tcW w:w="760" w:type="dxa"/>
            <w:tcBorders>
              <w:left w:val="single" w:sz="4" w:space="0" w:color="auto"/>
            </w:tcBorders>
            <w:noWrap/>
            <w:hideMark/>
          </w:tcPr>
          <w:p w14:paraId="2386534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792</w:t>
            </w:r>
          </w:p>
        </w:tc>
        <w:tc>
          <w:tcPr>
            <w:tcW w:w="771" w:type="dxa"/>
            <w:noWrap/>
            <w:hideMark/>
          </w:tcPr>
          <w:p w14:paraId="733614D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668</w:t>
            </w:r>
          </w:p>
        </w:tc>
        <w:tc>
          <w:tcPr>
            <w:tcW w:w="1268" w:type="dxa"/>
            <w:tcBorders>
              <w:right w:val="single" w:sz="4" w:space="0" w:color="auto"/>
            </w:tcBorders>
            <w:noWrap/>
            <w:hideMark/>
          </w:tcPr>
          <w:p w14:paraId="7CCBAAC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124</w:t>
            </w:r>
          </w:p>
        </w:tc>
      </w:tr>
      <w:tr w:rsidR="00610B36" w:rsidRPr="0062044A" w14:paraId="56AE7675"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14EB5296"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October</w:t>
            </w:r>
          </w:p>
        </w:tc>
        <w:tc>
          <w:tcPr>
            <w:tcW w:w="1027" w:type="dxa"/>
            <w:tcBorders>
              <w:left w:val="single" w:sz="4" w:space="0" w:color="auto"/>
            </w:tcBorders>
            <w:hideMark/>
          </w:tcPr>
          <w:p w14:paraId="22CC039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3,610</w:t>
            </w:r>
          </w:p>
        </w:tc>
        <w:tc>
          <w:tcPr>
            <w:tcW w:w="843" w:type="dxa"/>
            <w:noWrap/>
            <w:hideMark/>
          </w:tcPr>
          <w:p w14:paraId="07B242B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3,397</w:t>
            </w:r>
          </w:p>
        </w:tc>
        <w:tc>
          <w:tcPr>
            <w:tcW w:w="1083" w:type="dxa"/>
            <w:tcBorders>
              <w:right w:val="single" w:sz="4" w:space="0" w:color="auto"/>
            </w:tcBorders>
            <w:noWrap/>
            <w:hideMark/>
          </w:tcPr>
          <w:p w14:paraId="5CB673A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213</w:t>
            </w:r>
          </w:p>
        </w:tc>
        <w:tc>
          <w:tcPr>
            <w:tcW w:w="771" w:type="dxa"/>
            <w:tcBorders>
              <w:left w:val="single" w:sz="4" w:space="0" w:color="auto"/>
            </w:tcBorders>
            <w:noWrap/>
            <w:hideMark/>
          </w:tcPr>
          <w:p w14:paraId="5E7F62DF"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2,817</w:t>
            </w:r>
          </w:p>
        </w:tc>
        <w:tc>
          <w:tcPr>
            <w:tcW w:w="827" w:type="dxa"/>
            <w:noWrap/>
            <w:hideMark/>
          </w:tcPr>
          <w:p w14:paraId="5800EE5C"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2,690</w:t>
            </w:r>
          </w:p>
        </w:tc>
        <w:tc>
          <w:tcPr>
            <w:tcW w:w="1083" w:type="dxa"/>
            <w:tcBorders>
              <w:right w:val="single" w:sz="4" w:space="0" w:color="auto"/>
            </w:tcBorders>
            <w:noWrap/>
            <w:hideMark/>
          </w:tcPr>
          <w:p w14:paraId="36C5281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127</w:t>
            </w:r>
          </w:p>
        </w:tc>
        <w:tc>
          <w:tcPr>
            <w:tcW w:w="760" w:type="dxa"/>
            <w:tcBorders>
              <w:left w:val="single" w:sz="4" w:space="0" w:color="auto"/>
            </w:tcBorders>
            <w:noWrap/>
            <w:hideMark/>
          </w:tcPr>
          <w:p w14:paraId="44A01768"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793</w:t>
            </w:r>
          </w:p>
        </w:tc>
        <w:tc>
          <w:tcPr>
            <w:tcW w:w="771" w:type="dxa"/>
            <w:noWrap/>
            <w:hideMark/>
          </w:tcPr>
          <w:p w14:paraId="4CAEBFD5"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707</w:t>
            </w:r>
          </w:p>
        </w:tc>
        <w:tc>
          <w:tcPr>
            <w:tcW w:w="1268" w:type="dxa"/>
            <w:tcBorders>
              <w:right w:val="single" w:sz="4" w:space="0" w:color="auto"/>
            </w:tcBorders>
            <w:noWrap/>
            <w:hideMark/>
          </w:tcPr>
          <w:p w14:paraId="67021A0E"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86</w:t>
            </w:r>
          </w:p>
        </w:tc>
      </w:tr>
      <w:tr w:rsidR="00610B36" w:rsidRPr="0062044A" w14:paraId="278ECA84"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5A5A5" w:themeColor="accent3"/>
              <w:right w:val="single" w:sz="4" w:space="0" w:color="auto"/>
            </w:tcBorders>
            <w:hideMark/>
          </w:tcPr>
          <w:p w14:paraId="7E034B81"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November</w:t>
            </w:r>
          </w:p>
        </w:tc>
        <w:tc>
          <w:tcPr>
            <w:tcW w:w="1027" w:type="dxa"/>
            <w:tcBorders>
              <w:left w:val="single" w:sz="4" w:space="0" w:color="auto"/>
            </w:tcBorders>
            <w:hideMark/>
          </w:tcPr>
          <w:p w14:paraId="5F748E5F"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3,375</w:t>
            </w:r>
          </w:p>
        </w:tc>
        <w:tc>
          <w:tcPr>
            <w:tcW w:w="843" w:type="dxa"/>
            <w:noWrap/>
            <w:hideMark/>
          </w:tcPr>
          <w:p w14:paraId="1586ABC1"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4,111</w:t>
            </w:r>
          </w:p>
        </w:tc>
        <w:tc>
          <w:tcPr>
            <w:tcW w:w="1083" w:type="dxa"/>
            <w:tcBorders>
              <w:right w:val="single" w:sz="4" w:space="0" w:color="auto"/>
            </w:tcBorders>
            <w:noWrap/>
            <w:hideMark/>
          </w:tcPr>
          <w:p w14:paraId="6A77CB66"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-736</w:t>
            </w:r>
          </w:p>
        </w:tc>
        <w:tc>
          <w:tcPr>
            <w:tcW w:w="771" w:type="dxa"/>
            <w:tcBorders>
              <w:left w:val="single" w:sz="4" w:space="0" w:color="auto"/>
            </w:tcBorders>
            <w:noWrap/>
            <w:hideMark/>
          </w:tcPr>
          <w:p w14:paraId="10C3026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2,547</w:t>
            </w:r>
          </w:p>
        </w:tc>
        <w:tc>
          <w:tcPr>
            <w:tcW w:w="827" w:type="dxa"/>
            <w:noWrap/>
            <w:hideMark/>
          </w:tcPr>
          <w:p w14:paraId="244067B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3,275</w:t>
            </w:r>
          </w:p>
        </w:tc>
        <w:tc>
          <w:tcPr>
            <w:tcW w:w="1083" w:type="dxa"/>
            <w:tcBorders>
              <w:right w:val="single" w:sz="4" w:space="0" w:color="auto"/>
            </w:tcBorders>
            <w:noWrap/>
            <w:hideMark/>
          </w:tcPr>
          <w:p w14:paraId="55D87F3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-728</w:t>
            </w:r>
          </w:p>
        </w:tc>
        <w:tc>
          <w:tcPr>
            <w:tcW w:w="760" w:type="dxa"/>
            <w:tcBorders>
              <w:left w:val="single" w:sz="4" w:space="0" w:color="auto"/>
            </w:tcBorders>
            <w:noWrap/>
            <w:hideMark/>
          </w:tcPr>
          <w:p w14:paraId="6D958512"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rPr>
              <w:t>828</w:t>
            </w:r>
          </w:p>
        </w:tc>
        <w:tc>
          <w:tcPr>
            <w:tcW w:w="771" w:type="dxa"/>
            <w:noWrap/>
            <w:hideMark/>
          </w:tcPr>
          <w:p w14:paraId="1C1EFBCD"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836</w:t>
            </w:r>
          </w:p>
        </w:tc>
        <w:tc>
          <w:tcPr>
            <w:tcW w:w="1268" w:type="dxa"/>
            <w:tcBorders>
              <w:right w:val="single" w:sz="4" w:space="0" w:color="auto"/>
            </w:tcBorders>
            <w:noWrap/>
            <w:hideMark/>
          </w:tcPr>
          <w:p w14:paraId="6BAEAF7A"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-8</w:t>
            </w:r>
          </w:p>
        </w:tc>
      </w:tr>
      <w:tr w:rsidR="00610B36" w:rsidRPr="0062044A" w14:paraId="3D5ADCA3" w14:textId="77777777" w:rsidTr="00CE296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02" w:type="dxa"/>
            <w:tcBorders>
              <w:left w:val="single" w:sz="4" w:space="0" w:color="auto"/>
              <w:right w:val="single" w:sz="4" w:space="0" w:color="auto"/>
            </w:tcBorders>
            <w:hideMark/>
          </w:tcPr>
          <w:p w14:paraId="2BFBF2B6" w14:textId="77777777" w:rsidR="00E14C76" w:rsidRPr="00610B36" w:rsidRDefault="00E14C76" w:rsidP="00F9112B">
            <w:pPr>
              <w:jc w:val="both"/>
              <w:rPr>
                <w:rFonts w:ascii="Baskerville Old Face" w:hAnsi="Baskerville Old Face"/>
                <w:b w:val="0"/>
                <w:bCs w:val="0"/>
              </w:rPr>
            </w:pPr>
            <w:r w:rsidRPr="00610B36">
              <w:rPr>
                <w:rFonts w:ascii="Baskerville Old Face" w:hAnsi="Baskerville Old Face"/>
                <w:b w:val="0"/>
                <w:bCs w:val="0"/>
                <w:lang w:val="en-GB"/>
              </w:rPr>
              <w:t>December</w:t>
            </w:r>
          </w:p>
        </w:tc>
        <w:tc>
          <w:tcPr>
            <w:tcW w:w="1027" w:type="dxa"/>
            <w:tcBorders>
              <w:left w:val="single" w:sz="4" w:space="0" w:color="auto"/>
            </w:tcBorders>
            <w:hideMark/>
          </w:tcPr>
          <w:p w14:paraId="7B9AF1E7"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3,527</w:t>
            </w:r>
          </w:p>
        </w:tc>
        <w:tc>
          <w:tcPr>
            <w:tcW w:w="843" w:type="dxa"/>
            <w:noWrap/>
            <w:hideMark/>
          </w:tcPr>
          <w:p w14:paraId="023F1732"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3,600</w:t>
            </w:r>
          </w:p>
        </w:tc>
        <w:tc>
          <w:tcPr>
            <w:tcW w:w="1083" w:type="dxa"/>
            <w:tcBorders>
              <w:right w:val="single" w:sz="4" w:space="0" w:color="auto"/>
            </w:tcBorders>
            <w:noWrap/>
            <w:hideMark/>
          </w:tcPr>
          <w:p w14:paraId="49697869"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-73</w:t>
            </w:r>
          </w:p>
        </w:tc>
        <w:tc>
          <w:tcPr>
            <w:tcW w:w="771" w:type="dxa"/>
            <w:tcBorders>
              <w:left w:val="single" w:sz="4" w:space="0" w:color="auto"/>
            </w:tcBorders>
            <w:noWrap/>
            <w:hideMark/>
          </w:tcPr>
          <w:p w14:paraId="6E3D242B"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2,769</w:t>
            </w:r>
          </w:p>
        </w:tc>
        <w:tc>
          <w:tcPr>
            <w:tcW w:w="827" w:type="dxa"/>
            <w:noWrap/>
            <w:hideMark/>
          </w:tcPr>
          <w:p w14:paraId="3AA1762A"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2,957</w:t>
            </w:r>
          </w:p>
        </w:tc>
        <w:tc>
          <w:tcPr>
            <w:tcW w:w="1083" w:type="dxa"/>
            <w:tcBorders>
              <w:right w:val="single" w:sz="4" w:space="0" w:color="auto"/>
            </w:tcBorders>
            <w:noWrap/>
            <w:hideMark/>
          </w:tcPr>
          <w:p w14:paraId="5F3EFC80"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-188</w:t>
            </w:r>
          </w:p>
        </w:tc>
        <w:tc>
          <w:tcPr>
            <w:tcW w:w="760" w:type="dxa"/>
            <w:tcBorders>
              <w:left w:val="single" w:sz="4" w:space="0" w:color="auto"/>
            </w:tcBorders>
            <w:noWrap/>
            <w:hideMark/>
          </w:tcPr>
          <w:p w14:paraId="0E69B323"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rPr>
              <w:t>758</w:t>
            </w:r>
          </w:p>
        </w:tc>
        <w:tc>
          <w:tcPr>
            <w:tcW w:w="771" w:type="dxa"/>
            <w:noWrap/>
            <w:hideMark/>
          </w:tcPr>
          <w:p w14:paraId="080A0A21"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643</w:t>
            </w:r>
          </w:p>
        </w:tc>
        <w:tc>
          <w:tcPr>
            <w:tcW w:w="1268" w:type="dxa"/>
            <w:tcBorders>
              <w:right w:val="single" w:sz="4" w:space="0" w:color="auto"/>
            </w:tcBorders>
            <w:noWrap/>
            <w:hideMark/>
          </w:tcPr>
          <w:p w14:paraId="04334140" w14:textId="77777777" w:rsidR="00E14C76" w:rsidRPr="0062044A" w:rsidRDefault="00E14C76" w:rsidP="00610B36">
            <w:pPr>
              <w:jc w:val="center"/>
              <w:cnfStyle w:val="000000100000" w:firstRow="0" w:lastRow="0" w:firstColumn="0" w:lastColumn="0" w:oddVBand="0" w:evenVBand="0" w:oddHBand="1" w:evenHBand="0" w:firstRowFirstColumn="0" w:firstRowLastColumn="0" w:lastRowFirstColumn="0" w:lastRowLastColumn="0"/>
              <w:rPr>
                <w:rFonts w:ascii="Baskerville Old Face" w:hAnsi="Baskerville Old Face"/>
              </w:rPr>
            </w:pPr>
            <w:r w:rsidRPr="0062044A">
              <w:rPr>
                <w:rFonts w:ascii="Baskerville Old Face" w:hAnsi="Baskerville Old Face"/>
                <w:lang w:val="en-GB"/>
              </w:rPr>
              <w:t>115</w:t>
            </w:r>
          </w:p>
        </w:tc>
      </w:tr>
      <w:tr w:rsidR="00610B36" w:rsidRPr="0062044A" w14:paraId="79917C46" w14:textId="77777777" w:rsidTr="00CE296A">
        <w:trPr>
          <w:trHeight w:val="336"/>
        </w:trPr>
        <w:tc>
          <w:tcPr>
            <w:cnfStyle w:val="001000000000" w:firstRow="0" w:lastRow="0" w:firstColumn="1" w:lastColumn="0" w:oddVBand="0" w:evenVBand="0" w:oddHBand="0" w:evenHBand="0" w:firstRowFirstColumn="0" w:firstRowLastColumn="0" w:lastRowFirstColumn="0" w:lastRowLastColumn="0"/>
            <w:tcW w:w="1102" w:type="dxa"/>
            <w:tcBorders>
              <w:top w:val="single" w:sz="4" w:space="0" w:color="A5A5A5" w:themeColor="accent3"/>
              <w:left w:val="single" w:sz="4" w:space="0" w:color="auto"/>
              <w:bottom w:val="single" w:sz="4" w:space="0" w:color="auto"/>
              <w:right w:val="single" w:sz="4" w:space="0" w:color="auto"/>
            </w:tcBorders>
            <w:hideMark/>
          </w:tcPr>
          <w:p w14:paraId="61CF2F61" w14:textId="77777777" w:rsidR="00E14C76" w:rsidRPr="0062044A" w:rsidRDefault="00E14C76" w:rsidP="00F9112B">
            <w:pPr>
              <w:jc w:val="both"/>
              <w:rPr>
                <w:rFonts w:ascii="Baskerville Old Face" w:hAnsi="Baskerville Old Face"/>
              </w:rPr>
            </w:pPr>
            <w:r w:rsidRPr="0062044A">
              <w:rPr>
                <w:rFonts w:ascii="Baskerville Old Face" w:hAnsi="Baskerville Old Face"/>
                <w:lang w:val="en-GB"/>
              </w:rPr>
              <w:t>Total</w:t>
            </w:r>
          </w:p>
        </w:tc>
        <w:tc>
          <w:tcPr>
            <w:tcW w:w="1027" w:type="dxa"/>
            <w:tcBorders>
              <w:left w:val="single" w:sz="4" w:space="0" w:color="auto"/>
              <w:bottom w:val="single" w:sz="4" w:space="0" w:color="auto"/>
            </w:tcBorders>
            <w:hideMark/>
          </w:tcPr>
          <w:p w14:paraId="64599818"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41,192</w:t>
            </w:r>
          </w:p>
        </w:tc>
        <w:tc>
          <w:tcPr>
            <w:tcW w:w="843" w:type="dxa"/>
            <w:tcBorders>
              <w:bottom w:val="single" w:sz="4" w:space="0" w:color="auto"/>
            </w:tcBorders>
            <w:hideMark/>
          </w:tcPr>
          <w:p w14:paraId="5C2CB439"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46,808</w:t>
            </w:r>
          </w:p>
        </w:tc>
        <w:tc>
          <w:tcPr>
            <w:tcW w:w="1083" w:type="dxa"/>
            <w:tcBorders>
              <w:bottom w:val="single" w:sz="4" w:space="0" w:color="auto"/>
              <w:right w:val="single" w:sz="4" w:space="0" w:color="auto"/>
            </w:tcBorders>
            <w:noWrap/>
            <w:hideMark/>
          </w:tcPr>
          <w:p w14:paraId="3A0AD0F0"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-5,616</w:t>
            </w:r>
          </w:p>
        </w:tc>
        <w:tc>
          <w:tcPr>
            <w:tcW w:w="771" w:type="dxa"/>
            <w:tcBorders>
              <w:left w:val="single" w:sz="4" w:space="0" w:color="auto"/>
              <w:bottom w:val="single" w:sz="4" w:space="0" w:color="auto"/>
            </w:tcBorders>
            <w:hideMark/>
          </w:tcPr>
          <w:p w14:paraId="4BFE660C"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rPr>
              <w:t>32,284</w:t>
            </w:r>
          </w:p>
        </w:tc>
        <w:tc>
          <w:tcPr>
            <w:tcW w:w="827" w:type="dxa"/>
            <w:tcBorders>
              <w:bottom w:val="single" w:sz="4" w:space="0" w:color="auto"/>
            </w:tcBorders>
            <w:hideMark/>
          </w:tcPr>
          <w:p w14:paraId="799DB28C"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32,213</w:t>
            </w:r>
          </w:p>
        </w:tc>
        <w:tc>
          <w:tcPr>
            <w:tcW w:w="1083" w:type="dxa"/>
            <w:tcBorders>
              <w:bottom w:val="single" w:sz="4" w:space="0" w:color="auto"/>
              <w:right w:val="single" w:sz="4" w:space="0" w:color="auto"/>
            </w:tcBorders>
            <w:noWrap/>
            <w:hideMark/>
          </w:tcPr>
          <w:p w14:paraId="31D79D0C"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71</w:t>
            </w:r>
          </w:p>
        </w:tc>
        <w:tc>
          <w:tcPr>
            <w:tcW w:w="760" w:type="dxa"/>
            <w:tcBorders>
              <w:left w:val="single" w:sz="4" w:space="0" w:color="auto"/>
              <w:bottom w:val="single" w:sz="4" w:space="0" w:color="auto"/>
            </w:tcBorders>
            <w:hideMark/>
          </w:tcPr>
          <w:p w14:paraId="37B09653"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rPr>
              <w:t>8,908</w:t>
            </w:r>
          </w:p>
        </w:tc>
        <w:tc>
          <w:tcPr>
            <w:tcW w:w="771" w:type="dxa"/>
            <w:tcBorders>
              <w:bottom w:val="single" w:sz="4" w:space="0" w:color="auto"/>
            </w:tcBorders>
            <w:hideMark/>
          </w:tcPr>
          <w:p w14:paraId="0C83B424" w14:textId="77777777" w:rsidR="00E14C76" w:rsidRPr="0062044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62044A">
              <w:rPr>
                <w:rFonts w:ascii="Baskerville Old Face" w:hAnsi="Baskerville Old Face"/>
                <w:b/>
                <w:bCs/>
                <w:lang w:val="en-GB"/>
              </w:rPr>
              <w:t>14,595</w:t>
            </w:r>
          </w:p>
        </w:tc>
        <w:tc>
          <w:tcPr>
            <w:tcW w:w="1268" w:type="dxa"/>
            <w:tcBorders>
              <w:bottom w:val="single" w:sz="4" w:space="0" w:color="auto"/>
              <w:right w:val="single" w:sz="4" w:space="0" w:color="auto"/>
            </w:tcBorders>
            <w:noWrap/>
            <w:hideMark/>
          </w:tcPr>
          <w:p w14:paraId="33A26F38" w14:textId="77777777" w:rsidR="00E14C76" w:rsidRPr="00CE296A" w:rsidRDefault="00E14C76" w:rsidP="00610B36">
            <w:pPr>
              <w:jc w:val="center"/>
              <w:cnfStyle w:val="000000000000" w:firstRow="0" w:lastRow="0" w:firstColumn="0" w:lastColumn="0" w:oddVBand="0" w:evenVBand="0" w:oddHBand="0" w:evenHBand="0" w:firstRowFirstColumn="0" w:firstRowLastColumn="0" w:lastRowFirstColumn="0" w:lastRowLastColumn="0"/>
              <w:rPr>
                <w:rFonts w:ascii="Baskerville Old Face" w:hAnsi="Baskerville Old Face"/>
                <w:b/>
                <w:bCs/>
              </w:rPr>
            </w:pPr>
            <w:r w:rsidRPr="00CE296A">
              <w:rPr>
                <w:rFonts w:ascii="Baskerville Old Face" w:hAnsi="Baskerville Old Face"/>
                <w:b/>
                <w:bCs/>
                <w:lang w:val="en-GB"/>
              </w:rPr>
              <w:t>-5,687</w:t>
            </w:r>
          </w:p>
        </w:tc>
      </w:tr>
    </w:tbl>
    <w:p w14:paraId="60569C5E"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1F9B91B" w14:textId="77777777" w:rsidR="00F452D5" w:rsidRDefault="00F452D5" w:rsidP="00E14C76">
      <w:pPr>
        <w:spacing w:line="360" w:lineRule="auto"/>
        <w:jc w:val="both"/>
        <w:rPr>
          <w:rFonts w:ascii="Baskerville Old Face" w:hAnsi="Baskerville Old Face" w:cs="Times New Roman"/>
          <w:sz w:val="24"/>
          <w:szCs w:val="24"/>
        </w:rPr>
      </w:pPr>
    </w:p>
    <w:p w14:paraId="776AB7D3" w14:textId="5F441A53" w:rsidR="00D85BB5" w:rsidRDefault="00E14C76" w:rsidP="00E14C76">
      <w:pPr>
        <w:spacing w:line="360" w:lineRule="auto"/>
        <w:jc w:val="both"/>
        <w:rPr>
          <w:rFonts w:ascii="Baskerville Old Face" w:hAnsi="Baskerville Old Face" w:cs="Times New Roman"/>
          <w:sz w:val="24"/>
          <w:szCs w:val="24"/>
        </w:rPr>
      </w:pPr>
      <w:r w:rsidRPr="00E14C76">
        <w:rPr>
          <w:rFonts w:ascii="Baskerville Old Face" w:hAnsi="Baskerville Old Face" w:cs="Times New Roman"/>
          <w:sz w:val="24"/>
          <w:szCs w:val="24"/>
        </w:rPr>
        <w:t xml:space="preserve">Furthermore, </w:t>
      </w:r>
      <w:r w:rsidRPr="00C340BA">
        <w:rPr>
          <w:rFonts w:ascii="Baskerville Old Face" w:hAnsi="Baskerville Old Face" w:cs="Times New Roman"/>
          <w:sz w:val="24"/>
          <w:szCs w:val="24"/>
        </w:rPr>
        <w:t xml:space="preserve">Table </w:t>
      </w:r>
      <w:r w:rsidR="00572579">
        <w:rPr>
          <w:rFonts w:ascii="Baskerville Old Face" w:hAnsi="Baskerville Old Face" w:cs="Times New Roman"/>
          <w:sz w:val="24"/>
          <w:szCs w:val="24"/>
        </w:rPr>
        <w:t>3</w:t>
      </w:r>
      <w:r w:rsidR="00AA0A51">
        <w:rPr>
          <w:rFonts w:ascii="Baskerville Old Face" w:hAnsi="Baskerville Old Face" w:cs="Times New Roman"/>
          <w:sz w:val="24"/>
          <w:szCs w:val="24"/>
        </w:rPr>
        <w:t>1</w:t>
      </w:r>
      <w:r w:rsidRPr="00E14C76">
        <w:rPr>
          <w:rFonts w:ascii="Baskerville Old Face" w:hAnsi="Baskerville Old Face" w:cs="Times New Roman"/>
          <w:sz w:val="24"/>
          <w:szCs w:val="24"/>
        </w:rPr>
        <w:t xml:space="preserve"> delineates the distribution of scanned containers by size in 2023. Of the total scanned containers, 22,595 (54.9%) were 20ft containers, while the remaining 18,597 (45.1%) were </w:t>
      </w:r>
      <w:r w:rsidRPr="00E14C76">
        <w:rPr>
          <w:rFonts w:ascii="Baskerville Old Face" w:hAnsi="Baskerville Old Face" w:cs="Times New Roman"/>
          <w:sz w:val="24"/>
          <w:szCs w:val="24"/>
        </w:rPr>
        <w:lastRenderedPageBreak/>
        <w:t>40ft containers. Import containers (both 20ft and 40ft) accounted for 78.8% of the total scanned containers, suggesting a higher import rate than export for Sierra Leone.</w:t>
      </w:r>
    </w:p>
    <w:p w14:paraId="1BE17E56" w14:textId="56F5493E" w:rsidR="00E14C76" w:rsidRPr="0062044A" w:rsidRDefault="00E14C76" w:rsidP="00E14C76">
      <w:pPr>
        <w:spacing w:line="240" w:lineRule="auto"/>
        <w:jc w:val="both"/>
        <w:rPr>
          <w:rFonts w:ascii="Baskerville Old Face" w:hAnsi="Baskerville Old Face" w:cs="Times New Roman"/>
          <w:i/>
          <w:iCs/>
          <w:lang w:val="en-GB"/>
        </w:rPr>
      </w:pPr>
      <w:bookmarkStart w:id="111" w:name="Table31"/>
      <w:r w:rsidRPr="00C340BA">
        <w:rPr>
          <w:rFonts w:ascii="Baskerville Old Face" w:hAnsi="Baskerville Old Face" w:cs="Times New Roman"/>
          <w:b/>
          <w:bCs/>
          <w:i/>
          <w:iCs/>
          <w:lang w:val="en-GB"/>
        </w:rPr>
        <w:t xml:space="preserve">Table </w:t>
      </w:r>
      <w:r w:rsidR="00572579">
        <w:rPr>
          <w:rFonts w:ascii="Baskerville Old Face" w:hAnsi="Baskerville Old Face" w:cs="Times New Roman"/>
          <w:b/>
          <w:bCs/>
          <w:i/>
          <w:iCs/>
          <w:lang w:val="en-GB"/>
        </w:rPr>
        <w:t>3</w:t>
      </w:r>
      <w:r w:rsidR="00AA0A51">
        <w:rPr>
          <w:rFonts w:ascii="Baskerville Old Face" w:hAnsi="Baskerville Old Face" w:cs="Times New Roman"/>
          <w:b/>
          <w:bCs/>
          <w:i/>
          <w:iCs/>
          <w:lang w:val="en-GB"/>
        </w:rPr>
        <w:t>1:</w:t>
      </w:r>
      <w:r w:rsidRPr="0062044A">
        <w:rPr>
          <w:rFonts w:ascii="Baskerville Old Face" w:hAnsi="Baskerville Old Face" w:cs="Times New Roman"/>
          <w:b/>
          <w:bCs/>
          <w:i/>
          <w:iCs/>
          <w:lang w:val="en-GB"/>
        </w:rPr>
        <w:t xml:space="preserve"> Total Number of Containers (Import &amp; Export) in 2023</w:t>
      </w:r>
    </w:p>
    <w:bookmarkEnd w:id="111"/>
    <w:tbl>
      <w:tblPr>
        <w:tblStyle w:val="GridTable6Colorful-Accent4"/>
        <w:tblW w:w="9805" w:type="dxa"/>
        <w:tblLayout w:type="fixed"/>
        <w:tblLook w:val="04A0" w:firstRow="1" w:lastRow="0" w:firstColumn="1" w:lastColumn="0" w:noHBand="0" w:noVBand="1"/>
      </w:tblPr>
      <w:tblGrid>
        <w:gridCol w:w="1368"/>
        <w:gridCol w:w="1237"/>
        <w:gridCol w:w="1260"/>
        <w:gridCol w:w="990"/>
        <w:gridCol w:w="1260"/>
        <w:gridCol w:w="1080"/>
        <w:gridCol w:w="1170"/>
        <w:gridCol w:w="1440"/>
      </w:tblGrid>
      <w:tr w:rsidR="00E14C76" w:rsidRPr="0062044A" w14:paraId="42CB52F4" w14:textId="77777777" w:rsidTr="00CE296A">
        <w:trPr>
          <w:cnfStyle w:val="100000000000" w:firstRow="1" w:lastRow="0" w:firstColumn="0" w:lastColumn="0" w:oddVBand="0" w:evenVBand="0" w:oddHBand="0"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1368" w:type="dxa"/>
          </w:tcPr>
          <w:p w14:paraId="34B8712D" w14:textId="77777777" w:rsidR="00E14C76" w:rsidRPr="00CE296A" w:rsidRDefault="00E14C76" w:rsidP="00F9112B">
            <w:pPr>
              <w:spacing w:line="360" w:lineRule="auto"/>
              <w:jc w:val="both"/>
              <w:rPr>
                <w:rFonts w:ascii="Baskerville Old Face" w:hAnsi="Baskerville Old Face" w:cs="Times New Roman"/>
                <w:b w:val="0"/>
                <w:bCs w:val="0"/>
                <w:color w:val="auto"/>
              </w:rPr>
            </w:pPr>
          </w:p>
          <w:p w14:paraId="22DA8D36"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MONTH</w:t>
            </w:r>
          </w:p>
        </w:tc>
        <w:tc>
          <w:tcPr>
            <w:tcW w:w="1237" w:type="dxa"/>
          </w:tcPr>
          <w:p w14:paraId="35681D7F"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7640528C"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20’FT</w:t>
            </w:r>
          </w:p>
          <w:p w14:paraId="1CABB4A8"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IMPORT</w:t>
            </w:r>
          </w:p>
        </w:tc>
        <w:tc>
          <w:tcPr>
            <w:tcW w:w="1260" w:type="dxa"/>
          </w:tcPr>
          <w:p w14:paraId="023E44D0"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29E28062"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20’FT</w:t>
            </w:r>
          </w:p>
          <w:p w14:paraId="7163F882"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EXPORT</w:t>
            </w:r>
          </w:p>
        </w:tc>
        <w:tc>
          <w:tcPr>
            <w:tcW w:w="990" w:type="dxa"/>
          </w:tcPr>
          <w:p w14:paraId="234179F5"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21F060A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20’FT</w:t>
            </w:r>
          </w:p>
          <w:p w14:paraId="1DB9C14A"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TOTAL</w:t>
            </w:r>
          </w:p>
          <w:p w14:paraId="7A38F1B2" w14:textId="7D222FA4" w:rsidR="00E14C76"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A</w:t>
            </w:r>
            <w:r w:rsidRPr="00CE296A">
              <w:rPr>
                <w:rFonts w:ascii="Baskerville Old Face" w:hAnsi="Baskerville Old Face" w:cs="Times New Roman"/>
                <w:color w:val="auto"/>
              </w:rPr>
              <w:t>)</w:t>
            </w:r>
          </w:p>
        </w:tc>
        <w:tc>
          <w:tcPr>
            <w:tcW w:w="1260" w:type="dxa"/>
          </w:tcPr>
          <w:p w14:paraId="759D343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2AEA3505"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40’FT</w:t>
            </w:r>
          </w:p>
          <w:p w14:paraId="7600DC73"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IMPORT</w:t>
            </w:r>
          </w:p>
        </w:tc>
        <w:tc>
          <w:tcPr>
            <w:tcW w:w="1080" w:type="dxa"/>
          </w:tcPr>
          <w:p w14:paraId="1A162D9A"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5FE0304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40’FT</w:t>
            </w:r>
          </w:p>
          <w:p w14:paraId="36AA057D"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EXPORT</w:t>
            </w:r>
          </w:p>
        </w:tc>
        <w:tc>
          <w:tcPr>
            <w:tcW w:w="1170" w:type="dxa"/>
          </w:tcPr>
          <w:p w14:paraId="33A16E7E"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5318A8B2"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40’FT</w:t>
            </w:r>
          </w:p>
          <w:p w14:paraId="740C9518"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TOTAL</w:t>
            </w:r>
          </w:p>
          <w:p w14:paraId="21C0B128" w14:textId="1CC7DD0C" w:rsidR="00E14C76"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B</w:t>
            </w:r>
            <w:r w:rsidRPr="00CE296A">
              <w:rPr>
                <w:rFonts w:ascii="Baskerville Old Face" w:hAnsi="Baskerville Old Face" w:cs="Times New Roman"/>
                <w:color w:val="auto"/>
              </w:rPr>
              <w:t>)</w:t>
            </w:r>
          </w:p>
        </w:tc>
        <w:tc>
          <w:tcPr>
            <w:tcW w:w="1440" w:type="dxa"/>
          </w:tcPr>
          <w:p w14:paraId="785913AF"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p w14:paraId="0C551DB5"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TOTAL</w:t>
            </w:r>
          </w:p>
          <w:p w14:paraId="3861696B" w14:textId="77777777" w:rsidR="00E14C76" w:rsidRPr="00CE296A" w:rsidRDefault="00E14C76"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SCANNED</w:t>
            </w:r>
          </w:p>
          <w:p w14:paraId="0C15FE59" w14:textId="72A2E19D" w:rsidR="00E14C76"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A</w:t>
            </w:r>
            <w:r w:rsidRPr="00CE296A">
              <w:rPr>
                <w:rFonts w:ascii="Baskerville Old Face" w:hAnsi="Baskerville Old Face" w:cs="Times New Roman"/>
                <w:color w:val="auto"/>
              </w:rPr>
              <w:t>+</w:t>
            </w:r>
            <w:r w:rsidR="00E14C76" w:rsidRPr="00CE296A">
              <w:rPr>
                <w:rFonts w:ascii="Baskerville Old Face" w:hAnsi="Baskerville Old Face" w:cs="Times New Roman"/>
                <w:color w:val="auto"/>
              </w:rPr>
              <w:t>B</w:t>
            </w:r>
            <w:r w:rsidRPr="00CE296A">
              <w:rPr>
                <w:rFonts w:ascii="Baskerville Old Face" w:hAnsi="Baskerville Old Face" w:cs="Times New Roman"/>
                <w:color w:val="auto"/>
              </w:rPr>
              <w:t>)</w:t>
            </w:r>
          </w:p>
        </w:tc>
      </w:tr>
      <w:tr w:rsidR="00CE296A" w:rsidRPr="0062044A" w14:paraId="3D9A8FB0"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0D3A4471"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January</w:t>
            </w:r>
          </w:p>
        </w:tc>
        <w:tc>
          <w:tcPr>
            <w:tcW w:w="1237" w:type="dxa"/>
            <w:hideMark/>
          </w:tcPr>
          <w:p w14:paraId="0F6068D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1,132</w:t>
            </w:r>
          </w:p>
        </w:tc>
        <w:tc>
          <w:tcPr>
            <w:tcW w:w="1260" w:type="dxa"/>
            <w:hideMark/>
          </w:tcPr>
          <w:p w14:paraId="00A1AB2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472</w:t>
            </w:r>
          </w:p>
        </w:tc>
        <w:tc>
          <w:tcPr>
            <w:tcW w:w="990" w:type="dxa"/>
            <w:hideMark/>
          </w:tcPr>
          <w:p w14:paraId="5530153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1,604</w:t>
            </w:r>
          </w:p>
        </w:tc>
        <w:tc>
          <w:tcPr>
            <w:tcW w:w="1260" w:type="dxa"/>
            <w:hideMark/>
          </w:tcPr>
          <w:p w14:paraId="30A9D5B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1,491</w:t>
            </w:r>
          </w:p>
        </w:tc>
        <w:tc>
          <w:tcPr>
            <w:tcW w:w="1080" w:type="dxa"/>
            <w:hideMark/>
          </w:tcPr>
          <w:p w14:paraId="7E78956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174</w:t>
            </w:r>
          </w:p>
        </w:tc>
        <w:tc>
          <w:tcPr>
            <w:tcW w:w="1170" w:type="dxa"/>
            <w:hideMark/>
          </w:tcPr>
          <w:p w14:paraId="7308C55E"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1,665</w:t>
            </w:r>
          </w:p>
        </w:tc>
        <w:tc>
          <w:tcPr>
            <w:tcW w:w="1440" w:type="dxa"/>
            <w:hideMark/>
          </w:tcPr>
          <w:p w14:paraId="32889A7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3,269</w:t>
            </w:r>
          </w:p>
        </w:tc>
      </w:tr>
      <w:tr w:rsidR="00E14C76" w:rsidRPr="0062044A" w14:paraId="1BBE86E1"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6D871F36"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February</w:t>
            </w:r>
          </w:p>
        </w:tc>
        <w:tc>
          <w:tcPr>
            <w:tcW w:w="1237" w:type="dxa"/>
            <w:hideMark/>
          </w:tcPr>
          <w:p w14:paraId="73C5575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1,087</w:t>
            </w:r>
          </w:p>
        </w:tc>
        <w:tc>
          <w:tcPr>
            <w:tcW w:w="1260" w:type="dxa"/>
            <w:hideMark/>
          </w:tcPr>
          <w:p w14:paraId="74B5C1F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521</w:t>
            </w:r>
          </w:p>
        </w:tc>
        <w:tc>
          <w:tcPr>
            <w:tcW w:w="990" w:type="dxa"/>
            <w:hideMark/>
          </w:tcPr>
          <w:p w14:paraId="7BDFBEB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1,608</w:t>
            </w:r>
          </w:p>
        </w:tc>
        <w:tc>
          <w:tcPr>
            <w:tcW w:w="1260" w:type="dxa"/>
            <w:hideMark/>
          </w:tcPr>
          <w:p w14:paraId="51A4F23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1,197</w:t>
            </w:r>
          </w:p>
        </w:tc>
        <w:tc>
          <w:tcPr>
            <w:tcW w:w="1080" w:type="dxa"/>
            <w:hideMark/>
          </w:tcPr>
          <w:p w14:paraId="3FECD93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139</w:t>
            </w:r>
          </w:p>
        </w:tc>
        <w:tc>
          <w:tcPr>
            <w:tcW w:w="1170" w:type="dxa"/>
            <w:hideMark/>
          </w:tcPr>
          <w:p w14:paraId="7C55AD0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1,336</w:t>
            </w:r>
          </w:p>
        </w:tc>
        <w:tc>
          <w:tcPr>
            <w:tcW w:w="1440" w:type="dxa"/>
            <w:hideMark/>
          </w:tcPr>
          <w:p w14:paraId="7DDCD40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2,944</w:t>
            </w:r>
          </w:p>
        </w:tc>
      </w:tr>
      <w:tr w:rsidR="00CE296A" w:rsidRPr="0062044A" w14:paraId="4D88A54A"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77492F17"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March</w:t>
            </w:r>
          </w:p>
        </w:tc>
        <w:tc>
          <w:tcPr>
            <w:tcW w:w="1237" w:type="dxa"/>
            <w:hideMark/>
          </w:tcPr>
          <w:p w14:paraId="4DA07EE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1,363</w:t>
            </w:r>
          </w:p>
        </w:tc>
        <w:tc>
          <w:tcPr>
            <w:tcW w:w="1260" w:type="dxa"/>
            <w:hideMark/>
          </w:tcPr>
          <w:p w14:paraId="2130BC4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726</w:t>
            </w:r>
          </w:p>
        </w:tc>
        <w:tc>
          <w:tcPr>
            <w:tcW w:w="990" w:type="dxa"/>
            <w:hideMark/>
          </w:tcPr>
          <w:p w14:paraId="65B3EC9F"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2,089</w:t>
            </w:r>
          </w:p>
        </w:tc>
        <w:tc>
          <w:tcPr>
            <w:tcW w:w="1260" w:type="dxa"/>
            <w:hideMark/>
          </w:tcPr>
          <w:p w14:paraId="4289812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1,358</w:t>
            </w:r>
          </w:p>
        </w:tc>
        <w:tc>
          <w:tcPr>
            <w:tcW w:w="1080" w:type="dxa"/>
            <w:hideMark/>
          </w:tcPr>
          <w:p w14:paraId="302BA20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137</w:t>
            </w:r>
          </w:p>
        </w:tc>
        <w:tc>
          <w:tcPr>
            <w:tcW w:w="1170" w:type="dxa"/>
            <w:hideMark/>
          </w:tcPr>
          <w:p w14:paraId="14F30A7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1,495</w:t>
            </w:r>
          </w:p>
        </w:tc>
        <w:tc>
          <w:tcPr>
            <w:tcW w:w="1440" w:type="dxa"/>
            <w:hideMark/>
          </w:tcPr>
          <w:p w14:paraId="4AE4FB4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3,584</w:t>
            </w:r>
          </w:p>
        </w:tc>
      </w:tr>
      <w:tr w:rsidR="00E14C76" w:rsidRPr="0062044A" w14:paraId="6CB248ED"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0E39E133"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April</w:t>
            </w:r>
          </w:p>
        </w:tc>
        <w:tc>
          <w:tcPr>
            <w:tcW w:w="1237" w:type="dxa"/>
            <w:hideMark/>
          </w:tcPr>
          <w:p w14:paraId="5D8128C8"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1,216</w:t>
            </w:r>
          </w:p>
        </w:tc>
        <w:tc>
          <w:tcPr>
            <w:tcW w:w="1260" w:type="dxa"/>
            <w:hideMark/>
          </w:tcPr>
          <w:p w14:paraId="3F0676E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543</w:t>
            </w:r>
          </w:p>
        </w:tc>
        <w:tc>
          <w:tcPr>
            <w:tcW w:w="990" w:type="dxa"/>
            <w:hideMark/>
          </w:tcPr>
          <w:p w14:paraId="760BFAC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1,759</w:t>
            </w:r>
          </w:p>
        </w:tc>
        <w:tc>
          <w:tcPr>
            <w:tcW w:w="1260" w:type="dxa"/>
            <w:hideMark/>
          </w:tcPr>
          <w:p w14:paraId="44A1222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1,050</w:t>
            </w:r>
          </w:p>
        </w:tc>
        <w:tc>
          <w:tcPr>
            <w:tcW w:w="1080" w:type="dxa"/>
            <w:hideMark/>
          </w:tcPr>
          <w:p w14:paraId="74A7F4E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78</w:t>
            </w:r>
          </w:p>
        </w:tc>
        <w:tc>
          <w:tcPr>
            <w:tcW w:w="1170" w:type="dxa"/>
            <w:hideMark/>
          </w:tcPr>
          <w:p w14:paraId="6A6C223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1,128</w:t>
            </w:r>
          </w:p>
        </w:tc>
        <w:tc>
          <w:tcPr>
            <w:tcW w:w="1440" w:type="dxa"/>
            <w:hideMark/>
          </w:tcPr>
          <w:p w14:paraId="516A0E4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2,887</w:t>
            </w:r>
          </w:p>
        </w:tc>
      </w:tr>
      <w:tr w:rsidR="00CE296A" w:rsidRPr="0062044A" w14:paraId="107AF1B8"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0EA4A077"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May</w:t>
            </w:r>
          </w:p>
        </w:tc>
        <w:tc>
          <w:tcPr>
            <w:tcW w:w="1237" w:type="dxa"/>
            <w:hideMark/>
          </w:tcPr>
          <w:p w14:paraId="5CACAC2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1,621</w:t>
            </w:r>
          </w:p>
        </w:tc>
        <w:tc>
          <w:tcPr>
            <w:tcW w:w="1260" w:type="dxa"/>
            <w:hideMark/>
          </w:tcPr>
          <w:p w14:paraId="6755337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592</w:t>
            </w:r>
          </w:p>
        </w:tc>
        <w:tc>
          <w:tcPr>
            <w:tcW w:w="990" w:type="dxa"/>
            <w:hideMark/>
          </w:tcPr>
          <w:p w14:paraId="4AA4AAF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2,213</w:t>
            </w:r>
          </w:p>
        </w:tc>
        <w:tc>
          <w:tcPr>
            <w:tcW w:w="1260" w:type="dxa"/>
            <w:hideMark/>
          </w:tcPr>
          <w:p w14:paraId="2A3F587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1,512</w:t>
            </w:r>
          </w:p>
        </w:tc>
        <w:tc>
          <w:tcPr>
            <w:tcW w:w="1080" w:type="dxa"/>
            <w:hideMark/>
          </w:tcPr>
          <w:p w14:paraId="5B31907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58</w:t>
            </w:r>
          </w:p>
        </w:tc>
        <w:tc>
          <w:tcPr>
            <w:tcW w:w="1170" w:type="dxa"/>
            <w:hideMark/>
          </w:tcPr>
          <w:p w14:paraId="177F164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1,570</w:t>
            </w:r>
          </w:p>
        </w:tc>
        <w:tc>
          <w:tcPr>
            <w:tcW w:w="1440" w:type="dxa"/>
            <w:hideMark/>
          </w:tcPr>
          <w:p w14:paraId="0186190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3,783</w:t>
            </w:r>
          </w:p>
        </w:tc>
      </w:tr>
      <w:tr w:rsidR="00E14C76" w:rsidRPr="0062044A" w14:paraId="6B898FA1"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5797E0F5"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June</w:t>
            </w:r>
          </w:p>
        </w:tc>
        <w:tc>
          <w:tcPr>
            <w:tcW w:w="1237" w:type="dxa"/>
            <w:hideMark/>
          </w:tcPr>
          <w:p w14:paraId="789DF66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1,276</w:t>
            </w:r>
          </w:p>
        </w:tc>
        <w:tc>
          <w:tcPr>
            <w:tcW w:w="1260" w:type="dxa"/>
            <w:hideMark/>
          </w:tcPr>
          <w:p w14:paraId="5F03867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548</w:t>
            </w:r>
          </w:p>
        </w:tc>
        <w:tc>
          <w:tcPr>
            <w:tcW w:w="990" w:type="dxa"/>
            <w:hideMark/>
          </w:tcPr>
          <w:p w14:paraId="254A7F8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1,824</w:t>
            </w:r>
          </w:p>
        </w:tc>
        <w:tc>
          <w:tcPr>
            <w:tcW w:w="1260" w:type="dxa"/>
            <w:hideMark/>
          </w:tcPr>
          <w:p w14:paraId="360B91B9"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1,259</w:t>
            </w:r>
          </w:p>
        </w:tc>
        <w:tc>
          <w:tcPr>
            <w:tcW w:w="1080" w:type="dxa"/>
            <w:hideMark/>
          </w:tcPr>
          <w:p w14:paraId="74E22FB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57</w:t>
            </w:r>
          </w:p>
        </w:tc>
        <w:tc>
          <w:tcPr>
            <w:tcW w:w="1170" w:type="dxa"/>
            <w:hideMark/>
          </w:tcPr>
          <w:p w14:paraId="244D3A3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1,316</w:t>
            </w:r>
          </w:p>
        </w:tc>
        <w:tc>
          <w:tcPr>
            <w:tcW w:w="1440" w:type="dxa"/>
            <w:hideMark/>
          </w:tcPr>
          <w:p w14:paraId="41BF862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3,140</w:t>
            </w:r>
          </w:p>
        </w:tc>
      </w:tr>
      <w:tr w:rsidR="00CE296A" w:rsidRPr="0062044A" w14:paraId="343AA3D5"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1758060E"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July</w:t>
            </w:r>
          </w:p>
        </w:tc>
        <w:tc>
          <w:tcPr>
            <w:tcW w:w="1237" w:type="dxa"/>
            <w:hideMark/>
          </w:tcPr>
          <w:p w14:paraId="26ED169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1,483</w:t>
            </w:r>
          </w:p>
        </w:tc>
        <w:tc>
          <w:tcPr>
            <w:tcW w:w="1260" w:type="dxa"/>
            <w:hideMark/>
          </w:tcPr>
          <w:p w14:paraId="7088479D"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729</w:t>
            </w:r>
          </w:p>
        </w:tc>
        <w:tc>
          <w:tcPr>
            <w:tcW w:w="990" w:type="dxa"/>
            <w:hideMark/>
          </w:tcPr>
          <w:p w14:paraId="37304B0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2,212</w:t>
            </w:r>
          </w:p>
        </w:tc>
        <w:tc>
          <w:tcPr>
            <w:tcW w:w="1260" w:type="dxa"/>
            <w:hideMark/>
          </w:tcPr>
          <w:p w14:paraId="52BBCC5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1,261</w:t>
            </w:r>
          </w:p>
        </w:tc>
        <w:tc>
          <w:tcPr>
            <w:tcW w:w="1080" w:type="dxa"/>
            <w:hideMark/>
          </w:tcPr>
          <w:p w14:paraId="099A5224"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42</w:t>
            </w:r>
          </w:p>
        </w:tc>
        <w:tc>
          <w:tcPr>
            <w:tcW w:w="1170" w:type="dxa"/>
            <w:hideMark/>
          </w:tcPr>
          <w:p w14:paraId="004DD53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1,303</w:t>
            </w:r>
          </w:p>
        </w:tc>
        <w:tc>
          <w:tcPr>
            <w:tcW w:w="1440" w:type="dxa"/>
            <w:hideMark/>
          </w:tcPr>
          <w:p w14:paraId="44F98A4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3,515</w:t>
            </w:r>
          </w:p>
        </w:tc>
      </w:tr>
      <w:tr w:rsidR="00E14C76" w:rsidRPr="0062044A" w14:paraId="42BD8A95"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48ABE2AB"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August</w:t>
            </w:r>
          </w:p>
        </w:tc>
        <w:tc>
          <w:tcPr>
            <w:tcW w:w="1237" w:type="dxa"/>
            <w:hideMark/>
          </w:tcPr>
          <w:p w14:paraId="05238E1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1,424</w:t>
            </w:r>
          </w:p>
        </w:tc>
        <w:tc>
          <w:tcPr>
            <w:tcW w:w="1260" w:type="dxa"/>
            <w:hideMark/>
          </w:tcPr>
          <w:p w14:paraId="400FE02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796</w:t>
            </w:r>
          </w:p>
        </w:tc>
        <w:tc>
          <w:tcPr>
            <w:tcW w:w="990" w:type="dxa"/>
            <w:hideMark/>
          </w:tcPr>
          <w:p w14:paraId="3C16138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2,220</w:t>
            </w:r>
          </w:p>
        </w:tc>
        <w:tc>
          <w:tcPr>
            <w:tcW w:w="1260" w:type="dxa"/>
            <w:hideMark/>
          </w:tcPr>
          <w:p w14:paraId="35F8DF9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1,618</w:t>
            </w:r>
          </w:p>
        </w:tc>
        <w:tc>
          <w:tcPr>
            <w:tcW w:w="1080" w:type="dxa"/>
            <w:hideMark/>
          </w:tcPr>
          <w:p w14:paraId="27A675C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125</w:t>
            </w:r>
          </w:p>
        </w:tc>
        <w:tc>
          <w:tcPr>
            <w:tcW w:w="1170" w:type="dxa"/>
            <w:hideMark/>
          </w:tcPr>
          <w:p w14:paraId="3800350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1,743</w:t>
            </w:r>
          </w:p>
        </w:tc>
        <w:tc>
          <w:tcPr>
            <w:tcW w:w="1440" w:type="dxa"/>
            <w:hideMark/>
          </w:tcPr>
          <w:p w14:paraId="7AFFCF38"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3,963</w:t>
            </w:r>
          </w:p>
        </w:tc>
      </w:tr>
      <w:tr w:rsidR="00CE296A" w:rsidRPr="0062044A" w14:paraId="50B73E7D"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7C7A5E0D"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September</w:t>
            </w:r>
          </w:p>
        </w:tc>
        <w:tc>
          <w:tcPr>
            <w:tcW w:w="1237" w:type="dxa"/>
            <w:hideMark/>
          </w:tcPr>
          <w:p w14:paraId="7D77167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1,296</w:t>
            </w:r>
          </w:p>
        </w:tc>
        <w:tc>
          <w:tcPr>
            <w:tcW w:w="1260" w:type="dxa"/>
            <w:hideMark/>
          </w:tcPr>
          <w:p w14:paraId="5CA5323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625</w:t>
            </w:r>
          </w:p>
        </w:tc>
        <w:tc>
          <w:tcPr>
            <w:tcW w:w="990" w:type="dxa"/>
            <w:hideMark/>
          </w:tcPr>
          <w:p w14:paraId="4883316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1,921</w:t>
            </w:r>
          </w:p>
        </w:tc>
        <w:tc>
          <w:tcPr>
            <w:tcW w:w="1260" w:type="dxa"/>
            <w:hideMark/>
          </w:tcPr>
          <w:p w14:paraId="6C0A3D3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1,507</w:t>
            </w:r>
          </w:p>
        </w:tc>
        <w:tc>
          <w:tcPr>
            <w:tcW w:w="1080" w:type="dxa"/>
            <w:hideMark/>
          </w:tcPr>
          <w:p w14:paraId="5FDA4A4E"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167</w:t>
            </w:r>
          </w:p>
        </w:tc>
        <w:tc>
          <w:tcPr>
            <w:tcW w:w="1170" w:type="dxa"/>
            <w:hideMark/>
          </w:tcPr>
          <w:p w14:paraId="54617384"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1,674</w:t>
            </w:r>
          </w:p>
        </w:tc>
        <w:tc>
          <w:tcPr>
            <w:tcW w:w="1440" w:type="dxa"/>
            <w:hideMark/>
          </w:tcPr>
          <w:p w14:paraId="39997F5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3,595</w:t>
            </w:r>
          </w:p>
        </w:tc>
      </w:tr>
      <w:tr w:rsidR="00E14C76" w:rsidRPr="0062044A" w14:paraId="07EF9DF3"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20E5345A"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October</w:t>
            </w:r>
          </w:p>
        </w:tc>
        <w:tc>
          <w:tcPr>
            <w:tcW w:w="1237" w:type="dxa"/>
            <w:hideMark/>
          </w:tcPr>
          <w:p w14:paraId="14162C9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1,292</w:t>
            </w:r>
          </w:p>
        </w:tc>
        <w:tc>
          <w:tcPr>
            <w:tcW w:w="1260" w:type="dxa"/>
            <w:hideMark/>
          </w:tcPr>
          <w:p w14:paraId="31B9C37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649</w:t>
            </w:r>
          </w:p>
        </w:tc>
        <w:tc>
          <w:tcPr>
            <w:tcW w:w="990" w:type="dxa"/>
            <w:hideMark/>
          </w:tcPr>
          <w:p w14:paraId="3E8DB7C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1,941</w:t>
            </w:r>
          </w:p>
        </w:tc>
        <w:tc>
          <w:tcPr>
            <w:tcW w:w="1260" w:type="dxa"/>
            <w:hideMark/>
          </w:tcPr>
          <w:p w14:paraId="5DD0228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1,525</w:t>
            </w:r>
          </w:p>
        </w:tc>
        <w:tc>
          <w:tcPr>
            <w:tcW w:w="1080" w:type="dxa"/>
            <w:hideMark/>
          </w:tcPr>
          <w:p w14:paraId="14CABCE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144</w:t>
            </w:r>
          </w:p>
        </w:tc>
        <w:tc>
          <w:tcPr>
            <w:tcW w:w="1170" w:type="dxa"/>
            <w:hideMark/>
          </w:tcPr>
          <w:p w14:paraId="40BE253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1,669</w:t>
            </w:r>
          </w:p>
        </w:tc>
        <w:tc>
          <w:tcPr>
            <w:tcW w:w="1440" w:type="dxa"/>
            <w:hideMark/>
          </w:tcPr>
          <w:p w14:paraId="59A772E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3,610</w:t>
            </w:r>
          </w:p>
        </w:tc>
      </w:tr>
      <w:tr w:rsidR="00CE296A" w:rsidRPr="0062044A" w14:paraId="7267365B"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0E8B3631"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November</w:t>
            </w:r>
          </w:p>
        </w:tc>
        <w:tc>
          <w:tcPr>
            <w:tcW w:w="1237" w:type="dxa"/>
            <w:hideMark/>
          </w:tcPr>
          <w:p w14:paraId="0DAAB12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954</w:t>
            </w:r>
          </w:p>
        </w:tc>
        <w:tc>
          <w:tcPr>
            <w:tcW w:w="1260" w:type="dxa"/>
            <w:hideMark/>
          </w:tcPr>
          <w:p w14:paraId="685AACE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661</w:t>
            </w:r>
          </w:p>
        </w:tc>
        <w:tc>
          <w:tcPr>
            <w:tcW w:w="990" w:type="dxa"/>
            <w:hideMark/>
          </w:tcPr>
          <w:p w14:paraId="79A74F2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1,615</w:t>
            </w:r>
          </w:p>
        </w:tc>
        <w:tc>
          <w:tcPr>
            <w:tcW w:w="1260" w:type="dxa"/>
            <w:hideMark/>
          </w:tcPr>
          <w:p w14:paraId="2293E74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1,593</w:t>
            </w:r>
          </w:p>
        </w:tc>
        <w:tc>
          <w:tcPr>
            <w:tcW w:w="1080" w:type="dxa"/>
            <w:hideMark/>
          </w:tcPr>
          <w:p w14:paraId="1F1C687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167</w:t>
            </w:r>
          </w:p>
        </w:tc>
        <w:tc>
          <w:tcPr>
            <w:tcW w:w="1170" w:type="dxa"/>
            <w:hideMark/>
          </w:tcPr>
          <w:p w14:paraId="1FE120C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1,760</w:t>
            </w:r>
          </w:p>
        </w:tc>
        <w:tc>
          <w:tcPr>
            <w:tcW w:w="1440" w:type="dxa"/>
            <w:hideMark/>
          </w:tcPr>
          <w:p w14:paraId="1AB37A4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3,375</w:t>
            </w:r>
          </w:p>
        </w:tc>
      </w:tr>
      <w:tr w:rsidR="00E14C76" w:rsidRPr="0062044A" w14:paraId="1D5463A5" w14:textId="77777777" w:rsidTr="00CE296A">
        <w:tc>
          <w:tcPr>
            <w:cnfStyle w:val="001000000000" w:firstRow="0" w:lastRow="0" w:firstColumn="1" w:lastColumn="0" w:oddVBand="0" w:evenVBand="0" w:oddHBand="0" w:evenHBand="0" w:firstRowFirstColumn="0" w:firstRowLastColumn="0" w:lastRowFirstColumn="0" w:lastRowLastColumn="0"/>
            <w:tcW w:w="1368" w:type="dxa"/>
            <w:hideMark/>
          </w:tcPr>
          <w:p w14:paraId="7C9D3A37"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b w:val="0"/>
                <w:bCs w:val="0"/>
                <w:color w:val="auto"/>
              </w:rPr>
              <w:t>December</w:t>
            </w:r>
          </w:p>
        </w:tc>
        <w:tc>
          <w:tcPr>
            <w:tcW w:w="1237" w:type="dxa"/>
            <w:hideMark/>
          </w:tcPr>
          <w:p w14:paraId="36CF453E"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989</w:t>
            </w:r>
          </w:p>
        </w:tc>
        <w:tc>
          <w:tcPr>
            <w:tcW w:w="1260" w:type="dxa"/>
            <w:hideMark/>
          </w:tcPr>
          <w:p w14:paraId="48A03FB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600</w:t>
            </w:r>
          </w:p>
        </w:tc>
        <w:tc>
          <w:tcPr>
            <w:tcW w:w="990" w:type="dxa"/>
            <w:hideMark/>
          </w:tcPr>
          <w:p w14:paraId="46B8B09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1,589</w:t>
            </w:r>
          </w:p>
        </w:tc>
        <w:tc>
          <w:tcPr>
            <w:tcW w:w="1260" w:type="dxa"/>
            <w:hideMark/>
          </w:tcPr>
          <w:p w14:paraId="365C30CE"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1,780</w:t>
            </w:r>
          </w:p>
        </w:tc>
        <w:tc>
          <w:tcPr>
            <w:tcW w:w="1080" w:type="dxa"/>
            <w:hideMark/>
          </w:tcPr>
          <w:p w14:paraId="09C92A6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158</w:t>
            </w:r>
          </w:p>
        </w:tc>
        <w:tc>
          <w:tcPr>
            <w:tcW w:w="1170" w:type="dxa"/>
            <w:hideMark/>
          </w:tcPr>
          <w:p w14:paraId="056C638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1,938</w:t>
            </w:r>
          </w:p>
        </w:tc>
        <w:tc>
          <w:tcPr>
            <w:tcW w:w="1440" w:type="dxa"/>
            <w:hideMark/>
          </w:tcPr>
          <w:p w14:paraId="2A33B93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3,527</w:t>
            </w:r>
          </w:p>
        </w:tc>
      </w:tr>
      <w:tr w:rsidR="00CE296A" w:rsidRPr="0062044A" w14:paraId="6AF9DFBC"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hideMark/>
          </w:tcPr>
          <w:p w14:paraId="497F786C"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Total</w:t>
            </w:r>
          </w:p>
        </w:tc>
        <w:tc>
          <w:tcPr>
            <w:tcW w:w="1237" w:type="dxa"/>
            <w:hideMark/>
          </w:tcPr>
          <w:p w14:paraId="3A3BAC03"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15,133</w:t>
            </w:r>
          </w:p>
        </w:tc>
        <w:tc>
          <w:tcPr>
            <w:tcW w:w="1260" w:type="dxa"/>
            <w:hideMark/>
          </w:tcPr>
          <w:p w14:paraId="1E42D4B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7,462</w:t>
            </w:r>
          </w:p>
        </w:tc>
        <w:tc>
          <w:tcPr>
            <w:tcW w:w="990" w:type="dxa"/>
            <w:hideMark/>
          </w:tcPr>
          <w:p w14:paraId="04E66FD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22,595</w:t>
            </w:r>
          </w:p>
        </w:tc>
        <w:tc>
          <w:tcPr>
            <w:tcW w:w="1260" w:type="dxa"/>
            <w:hideMark/>
          </w:tcPr>
          <w:p w14:paraId="175CF694"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17,151</w:t>
            </w:r>
          </w:p>
        </w:tc>
        <w:tc>
          <w:tcPr>
            <w:tcW w:w="1080" w:type="dxa"/>
            <w:hideMark/>
          </w:tcPr>
          <w:p w14:paraId="646C481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1,446</w:t>
            </w:r>
          </w:p>
        </w:tc>
        <w:tc>
          <w:tcPr>
            <w:tcW w:w="1170" w:type="dxa"/>
            <w:hideMark/>
          </w:tcPr>
          <w:p w14:paraId="29162FF0"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18,597</w:t>
            </w:r>
          </w:p>
        </w:tc>
        <w:tc>
          <w:tcPr>
            <w:tcW w:w="1440" w:type="dxa"/>
            <w:hideMark/>
          </w:tcPr>
          <w:p w14:paraId="5339C9A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41,192</w:t>
            </w:r>
          </w:p>
        </w:tc>
      </w:tr>
    </w:tbl>
    <w:p w14:paraId="35D5A639"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31BCF5AF" w14:textId="1188B47C" w:rsidR="00E14C76" w:rsidRDefault="00E14C76" w:rsidP="00E14C76">
      <w:pPr>
        <w:spacing w:line="360" w:lineRule="auto"/>
        <w:jc w:val="both"/>
        <w:rPr>
          <w:rFonts w:ascii="Baskerville Old Face" w:hAnsi="Baskerville Old Face" w:cs="Times New Roman"/>
          <w:sz w:val="24"/>
          <w:szCs w:val="24"/>
        </w:rPr>
      </w:pPr>
      <w:r w:rsidRPr="00E14C76">
        <w:rPr>
          <w:rFonts w:ascii="Baskerville Old Face" w:hAnsi="Baskerville Old Face" w:cs="Times New Roman"/>
          <w:sz w:val="24"/>
          <w:szCs w:val="24"/>
        </w:rPr>
        <w:t xml:space="preserve">Additionally, </w:t>
      </w:r>
      <w:r w:rsidRPr="00C340BA">
        <w:rPr>
          <w:rFonts w:ascii="Baskerville Old Face" w:hAnsi="Baskerville Old Face" w:cs="Times New Roman"/>
          <w:sz w:val="24"/>
          <w:szCs w:val="24"/>
        </w:rPr>
        <w:t xml:space="preserve">Table </w:t>
      </w:r>
      <w:r w:rsidR="00C340BA">
        <w:rPr>
          <w:rFonts w:ascii="Baskerville Old Face" w:hAnsi="Baskerville Old Face" w:cs="Times New Roman"/>
          <w:sz w:val="24"/>
          <w:szCs w:val="24"/>
        </w:rPr>
        <w:t>3</w:t>
      </w:r>
      <w:r w:rsidR="00AA0A51">
        <w:rPr>
          <w:rFonts w:ascii="Baskerville Old Face" w:hAnsi="Baskerville Old Face" w:cs="Times New Roman"/>
          <w:sz w:val="24"/>
          <w:szCs w:val="24"/>
        </w:rPr>
        <w:t>2</w:t>
      </w:r>
      <w:r w:rsidRPr="00E14C76">
        <w:rPr>
          <w:rFonts w:ascii="Baskerville Old Face" w:hAnsi="Baskerville Old Face" w:cs="Times New Roman"/>
          <w:sz w:val="24"/>
          <w:szCs w:val="24"/>
        </w:rPr>
        <w:t xml:space="preserve"> illustrates the number of unsatisfactory scan </w:t>
      </w:r>
      <w:proofErr w:type="gramStart"/>
      <w:r w:rsidRPr="00E14C76">
        <w:rPr>
          <w:rFonts w:ascii="Baskerville Old Face" w:hAnsi="Baskerville Old Face" w:cs="Times New Roman"/>
          <w:sz w:val="24"/>
          <w:szCs w:val="24"/>
        </w:rPr>
        <w:t>reports</w:t>
      </w:r>
      <w:proofErr w:type="gramEnd"/>
      <w:r w:rsidRPr="00E14C76">
        <w:rPr>
          <w:rFonts w:ascii="Baskerville Old Face" w:hAnsi="Baskerville Old Face" w:cs="Times New Roman"/>
          <w:sz w:val="24"/>
          <w:szCs w:val="24"/>
        </w:rPr>
        <w:t xml:space="preserve"> and the corresponding additional revenue generated per month. In 2023, a total of 384 unsatisfactory scan reports were recorded, resulting in additional revenue amounting to NLe 1.503 million, compared to 84 unsatisfactory reports in the previous year, yielding additional revenue </w:t>
      </w:r>
      <w:proofErr w:type="gramStart"/>
      <w:r w:rsidRPr="00E14C76">
        <w:rPr>
          <w:rFonts w:ascii="Baskerville Old Face" w:hAnsi="Baskerville Old Face" w:cs="Times New Roman"/>
          <w:sz w:val="24"/>
          <w:szCs w:val="24"/>
        </w:rPr>
        <w:t xml:space="preserve">of </w:t>
      </w:r>
      <w:r w:rsidR="00AE02B8">
        <w:rPr>
          <w:rFonts w:ascii="Baskerville Old Face" w:hAnsi="Baskerville Old Face" w:cs="Times New Roman"/>
          <w:sz w:val="24"/>
          <w:szCs w:val="24"/>
        </w:rPr>
        <w:t xml:space="preserve"> </w:t>
      </w:r>
      <w:proofErr w:type="spellStart"/>
      <w:r w:rsidRPr="00E14C76">
        <w:rPr>
          <w:rFonts w:ascii="Baskerville Old Face" w:hAnsi="Baskerville Old Face" w:cs="Times New Roman"/>
          <w:sz w:val="24"/>
          <w:szCs w:val="24"/>
        </w:rPr>
        <w:t>Nle</w:t>
      </w:r>
      <w:proofErr w:type="spellEnd"/>
      <w:proofErr w:type="gramEnd"/>
      <w:r w:rsidRPr="00E14C76">
        <w:rPr>
          <w:rFonts w:ascii="Baskerville Old Face" w:hAnsi="Baskerville Old Face" w:cs="Times New Roman"/>
          <w:sz w:val="24"/>
          <w:szCs w:val="24"/>
        </w:rPr>
        <w:t xml:space="preserve"> 189 thousand. Notably, 265 (69.0%) unsatisfactory scans were associated with containers containing personal effects, generating NLe 354 thousand in additional revenue, while 119 (31.0%) were linked to containers containing merchandise goods, yielding NLe 1.149 million in additional revenue.</w:t>
      </w:r>
    </w:p>
    <w:p w14:paraId="2EFAF576" w14:textId="77777777" w:rsidR="00D85BB5" w:rsidRDefault="00D85BB5" w:rsidP="00E14C76">
      <w:pPr>
        <w:spacing w:line="360" w:lineRule="auto"/>
        <w:jc w:val="both"/>
        <w:rPr>
          <w:rFonts w:ascii="Baskerville Old Face" w:hAnsi="Baskerville Old Face" w:cs="Times New Roman"/>
          <w:sz w:val="24"/>
          <w:szCs w:val="24"/>
        </w:rPr>
      </w:pPr>
    </w:p>
    <w:p w14:paraId="713E233A" w14:textId="77777777" w:rsidR="00D85BB5" w:rsidRDefault="00D85BB5" w:rsidP="00E14C76">
      <w:pPr>
        <w:spacing w:line="360" w:lineRule="auto"/>
        <w:jc w:val="both"/>
        <w:rPr>
          <w:rFonts w:ascii="Baskerville Old Face" w:hAnsi="Baskerville Old Face" w:cs="Times New Roman"/>
          <w:sz w:val="24"/>
          <w:szCs w:val="24"/>
        </w:rPr>
      </w:pPr>
    </w:p>
    <w:p w14:paraId="0EB73003" w14:textId="77777777" w:rsidR="00D85BB5" w:rsidRDefault="00D85BB5" w:rsidP="00E14C76">
      <w:pPr>
        <w:spacing w:line="360" w:lineRule="auto"/>
        <w:jc w:val="both"/>
        <w:rPr>
          <w:rFonts w:ascii="Baskerville Old Face" w:hAnsi="Baskerville Old Face" w:cs="Times New Roman"/>
          <w:sz w:val="24"/>
          <w:szCs w:val="24"/>
        </w:rPr>
      </w:pPr>
    </w:p>
    <w:p w14:paraId="7DA717CB" w14:textId="77777777" w:rsidR="00D85BB5" w:rsidRDefault="00D85BB5" w:rsidP="00E14C76">
      <w:pPr>
        <w:spacing w:line="360" w:lineRule="auto"/>
        <w:jc w:val="both"/>
        <w:rPr>
          <w:rFonts w:ascii="Baskerville Old Face" w:hAnsi="Baskerville Old Face" w:cs="Times New Roman"/>
          <w:sz w:val="24"/>
          <w:szCs w:val="24"/>
        </w:rPr>
      </w:pPr>
    </w:p>
    <w:p w14:paraId="41E35363" w14:textId="17BABE9B" w:rsidR="00E14C76" w:rsidRPr="0062044A" w:rsidRDefault="00E14C76" w:rsidP="00E14C76">
      <w:pPr>
        <w:jc w:val="both"/>
        <w:rPr>
          <w:rFonts w:ascii="Baskerville Old Face" w:hAnsi="Baskerville Old Face" w:cs="Times New Roman"/>
          <w:sz w:val="24"/>
          <w:szCs w:val="24"/>
          <w:lang w:val="en-GB"/>
        </w:rPr>
      </w:pPr>
      <w:bookmarkStart w:id="112" w:name="Table32"/>
      <w:r w:rsidRPr="00C340BA">
        <w:rPr>
          <w:rFonts w:ascii="Baskerville Old Face" w:hAnsi="Baskerville Old Face" w:cs="Times New Roman"/>
          <w:b/>
          <w:bCs/>
          <w:i/>
          <w:iCs/>
          <w:sz w:val="24"/>
          <w:szCs w:val="24"/>
          <w:lang w:val="en-GB"/>
        </w:rPr>
        <w:t xml:space="preserve">Table </w:t>
      </w:r>
      <w:r w:rsidR="00C340BA">
        <w:rPr>
          <w:rFonts w:ascii="Baskerville Old Face" w:hAnsi="Baskerville Old Face" w:cs="Times New Roman"/>
          <w:b/>
          <w:bCs/>
          <w:i/>
          <w:iCs/>
          <w:sz w:val="24"/>
          <w:szCs w:val="24"/>
          <w:lang w:val="en-GB"/>
        </w:rPr>
        <w:t>3</w:t>
      </w:r>
      <w:r w:rsidR="00AA0A51">
        <w:rPr>
          <w:rFonts w:ascii="Baskerville Old Face" w:hAnsi="Baskerville Old Face" w:cs="Times New Roman"/>
          <w:b/>
          <w:bCs/>
          <w:i/>
          <w:iCs/>
          <w:sz w:val="24"/>
          <w:szCs w:val="24"/>
          <w:lang w:val="en-GB"/>
        </w:rPr>
        <w:t>2</w:t>
      </w:r>
      <w:r w:rsidRPr="0062044A">
        <w:rPr>
          <w:rFonts w:ascii="Baskerville Old Face" w:hAnsi="Baskerville Old Face" w:cs="Times New Roman"/>
          <w:b/>
          <w:bCs/>
          <w:i/>
          <w:iCs/>
          <w:sz w:val="24"/>
          <w:szCs w:val="24"/>
          <w:lang w:val="en-GB"/>
        </w:rPr>
        <w:t>: Monthly Summary of Additional Revenue Generated from Unsatisfactory Scanned Reports, 2023 (NLe)</w:t>
      </w:r>
    </w:p>
    <w:bookmarkEnd w:id="112"/>
    <w:tbl>
      <w:tblPr>
        <w:tblStyle w:val="GridTable6Colorful-Accent2"/>
        <w:tblW w:w="9596" w:type="dxa"/>
        <w:tblLook w:val="04A0" w:firstRow="1" w:lastRow="0" w:firstColumn="1" w:lastColumn="0" w:noHBand="0" w:noVBand="1"/>
      </w:tblPr>
      <w:tblGrid>
        <w:gridCol w:w="1088"/>
        <w:gridCol w:w="1881"/>
        <w:gridCol w:w="1796"/>
        <w:gridCol w:w="1620"/>
        <w:gridCol w:w="1800"/>
        <w:gridCol w:w="1411"/>
      </w:tblGrid>
      <w:tr w:rsidR="00CE296A" w:rsidRPr="0062044A" w14:paraId="302B1BB9" w14:textId="77777777" w:rsidTr="00CE29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902D395" w14:textId="77777777" w:rsidR="00CE296A" w:rsidRPr="00CE296A" w:rsidRDefault="00CE296A" w:rsidP="00F9112B">
            <w:pPr>
              <w:spacing w:line="360" w:lineRule="auto"/>
              <w:jc w:val="both"/>
              <w:rPr>
                <w:rFonts w:ascii="Baskerville Old Face" w:hAnsi="Baskerville Old Face" w:cs="Times New Roman"/>
                <w:b w:val="0"/>
                <w:bCs w:val="0"/>
                <w:color w:val="auto"/>
              </w:rPr>
            </w:pPr>
          </w:p>
        </w:tc>
        <w:tc>
          <w:tcPr>
            <w:tcW w:w="3677" w:type="dxa"/>
            <w:gridSpan w:val="2"/>
          </w:tcPr>
          <w:p w14:paraId="05838152" w14:textId="4854E35F" w:rsidR="00CE296A" w:rsidRPr="00CE296A" w:rsidRDefault="00CE296A" w:rsidP="00CE296A">
            <w:pPr>
              <w:spacing w:line="360"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r w:rsidRPr="00CE296A">
              <w:rPr>
                <w:rFonts w:ascii="Baskerville Old Face" w:hAnsi="Baskerville Old Face" w:cs="Times New Roman"/>
                <w:color w:val="auto"/>
              </w:rPr>
              <w:t>PERSONAL</w:t>
            </w:r>
            <w:r>
              <w:rPr>
                <w:rFonts w:ascii="Baskerville Old Face" w:hAnsi="Baskerville Old Face" w:cs="Times New Roman"/>
                <w:color w:val="auto"/>
              </w:rPr>
              <w:t xml:space="preserve"> </w:t>
            </w:r>
            <w:r w:rsidRPr="00CE296A">
              <w:rPr>
                <w:rFonts w:ascii="Baskerville Old Face" w:hAnsi="Baskerville Old Face" w:cs="Times New Roman"/>
                <w:color w:val="auto"/>
              </w:rPr>
              <w:t>EFFECTS CONTAINERS</w:t>
            </w:r>
          </w:p>
        </w:tc>
        <w:tc>
          <w:tcPr>
            <w:tcW w:w="3420" w:type="dxa"/>
            <w:gridSpan w:val="2"/>
            <w:hideMark/>
          </w:tcPr>
          <w:p w14:paraId="53CE6203" w14:textId="01CC414E" w:rsidR="00CE296A" w:rsidRPr="00CE296A" w:rsidRDefault="00CE296A" w:rsidP="00CE296A">
            <w:pPr>
              <w:spacing w:line="360" w:lineRule="auto"/>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s="Times New Roman"/>
                <w:color w:val="auto"/>
              </w:rPr>
              <w:t>MERCHANDISE</w:t>
            </w:r>
            <w:r>
              <w:rPr>
                <w:rFonts w:ascii="Baskerville Old Face" w:hAnsi="Baskerville Old Face" w:cs="Times New Roman"/>
                <w:color w:val="auto"/>
              </w:rPr>
              <w:t xml:space="preserve"> </w:t>
            </w:r>
            <w:r w:rsidRPr="00CE296A">
              <w:rPr>
                <w:rFonts w:ascii="Baskerville Old Face" w:hAnsi="Baskerville Old Face" w:cs="Times New Roman"/>
                <w:color w:val="auto"/>
              </w:rPr>
              <w:t>CONTAINERS</w:t>
            </w:r>
          </w:p>
        </w:tc>
        <w:tc>
          <w:tcPr>
            <w:tcW w:w="1411" w:type="dxa"/>
          </w:tcPr>
          <w:p w14:paraId="2F92DCBD" w14:textId="77777777" w:rsidR="00CE296A" w:rsidRPr="00CE296A" w:rsidRDefault="00CE296A" w:rsidP="00F9112B">
            <w:pPr>
              <w:spacing w:line="360" w:lineRule="auto"/>
              <w:jc w:val="both"/>
              <w:cnfStyle w:val="100000000000" w:firstRow="1" w:lastRow="0" w:firstColumn="0" w:lastColumn="0" w:oddVBand="0" w:evenVBand="0" w:oddHBand="0" w:evenHBand="0" w:firstRowFirstColumn="0" w:firstRowLastColumn="0" w:lastRowFirstColumn="0" w:lastRowLastColumn="0"/>
              <w:rPr>
                <w:rFonts w:ascii="Baskerville Old Face" w:hAnsi="Baskerville Old Face" w:cs="Times New Roman"/>
                <w:b w:val="0"/>
                <w:bCs w:val="0"/>
                <w:color w:val="auto"/>
              </w:rPr>
            </w:pPr>
          </w:p>
        </w:tc>
      </w:tr>
      <w:tr w:rsidR="00CE296A" w:rsidRPr="0062044A" w14:paraId="3AE4F270"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tcPr>
          <w:p w14:paraId="461512AC"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MONTH</w:t>
            </w:r>
          </w:p>
          <w:p w14:paraId="317A2ED2" w14:textId="77777777" w:rsidR="00E14C76" w:rsidRPr="00CE296A" w:rsidRDefault="00E14C76" w:rsidP="00F9112B">
            <w:pPr>
              <w:spacing w:line="360" w:lineRule="auto"/>
              <w:jc w:val="both"/>
              <w:rPr>
                <w:rFonts w:ascii="Baskerville Old Face" w:hAnsi="Baskerville Old Face" w:cs="Times New Roman"/>
                <w:b w:val="0"/>
                <w:bCs w:val="0"/>
                <w:color w:val="auto"/>
              </w:rPr>
            </w:pPr>
          </w:p>
        </w:tc>
        <w:tc>
          <w:tcPr>
            <w:tcW w:w="1881" w:type="dxa"/>
            <w:hideMark/>
          </w:tcPr>
          <w:p w14:paraId="37630788"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eastAsia="Times New Roman" w:hAnsi="Baskerville Old Face" w:cs="Times New Roman"/>
                <w:b/>
                <w:bCs/>
                <w:color w:val="auto"/>
                <w:lang w:val="en-GB"/>
              </w:rPr>
              <w:t>No. of Unsatisfactory Reports</w:t>
            </w:r>
          </w:p>
        </w:tc>
        <w:tc>
          <w:tcPr>
            <w:tcW w:w="1796" w:type="dxa"/>
            <w:hideMark/>
          </w:tcPr>
          <w:p w14:paraId="6D24ACB1"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Additional Revenue (A)</w:t>
            </w:r>
          </w:p>
        </w:tc>
        <w:tc>
          <w:tcPr>
            <w:tcW w:w="1620" w:type="dxa"/>
            <w:hideMark/>
          </w:tcPr>
          <w:p w14:paraId="3301FCA9"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eastAsia="Times New Roman" w:hAnsi="Baskerville Old Face" w:cs="Times New Roman"/>
                <w:b/>
                <w:bCs/>
                <w:color w:val="auto"/>
                <w:lang w:val="en-GB"/>
              </w:rPr>
              <w:t>No. of Unsatisfactory Reports</w:t>
            </w:r>
          </w:p>
        </w:tc>
        <w:tc>
          <w:tcPr>
            <w:tcW w:w="1800" w:type="dxa"/>
            <w:hideMark/>
          </w:tcPr>
          <w:p w14:paraId="6E46AAB2"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 xml:space="preserve">Additional Revenue (B) </w:t>
            </w:r>
          </w:p>
        </w:tc>
        <w:tc>
          <w:tcPr>
            <w:tcW w:w="1411" w:type="dxa"/>
            <w:hideMark/>
          </w:tcPr>
          <w:p w14:paraId="280F5D8F"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Total Additional Revenue</w:t>
            </w:r>
          </w:p>
          <w:p w14:paraId="70850A31" w14:textId="77777777" w:rsidR="00E14C76" w:rsidRPr="00CE296A" w:rsidRDefault="00E14C76" w:rsidP="00CE296A">
            <w:pPr>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Times New Roman"/>
                <w:b/>
                <w:bCs/>
                <w:color w:val="auto"/>
              </w:rPr>
              <w:t>(A+B)</w:t>
            </w:r>
          </w:p>
        </w:tc>
      </w:tr>
      <w:tr w:rsidR="00E14C76" w:rsidRPr="0062044A" w14:paraId="679AF44D"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7C35773E"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JAN</w:t>
            </w:r>
          </w:p>
        </w:tc>
        <w:tc>
          <w:tcPr>
            <w:tcW w:w="1881" w:type="dxa"/>
            <w:hideMark/>
          </w:tcPr>
          <w:p w14:paraId="2A2C8D7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w:t>
            </w:r>
          </w:p>
        </w:tc>
        <w:tc>
          <w:tcPr>
            <w:tcW w:w="1796" w:type="dxa"/>
            <w:hideMark/>
          </w:tcPr>
          <w:p w14:paraId="0A3B1513"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40,454</w:t>
            </w:r>
          </w:p>
        </w:tc>
        <w:tc>
          <w:tcPr>
            <w:tcW w:w="1620" w:type="dxa"/>
            <w:hideMark/>
          </w:tcPr>
          <w:p w14:paraId="17A4386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w:t>
            </w:r>
          </w:p>
        </w:tc>
        <w:tc>
          <w:tcPr>
            <w:tcW w:w="1800" w:type="dxa"/>
            <w:hideMark/>
          </w:tcPr>
          <w:p w14:paraId="121440E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19,311</w:t>
            </w:r>
          </w:p>
        </w:tc>
        <w:tc>
          <w:tcPr>
            <w:tcW w:w="1411" w:type="dxa"/>
            <w:hideMark/>
          </w:tcPr>
          <w:p w14:paraId="2E0A98F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59,765</w:t>
            </w:r>
          </w:p>
        </w:tc>
      </w:tr>
      <w:tr w:rsidR="00CE296A" w:rsidRPr="0062044A" w14:paraId="1F67806B"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3E9B0D22"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FEB</w:t>
            </w:r>
          </w:p>
        </w:tc>
        <w:tc>
          <w:tcPr>
            <w:tcW w:w="1881" w:type="dxa"/>
            <w:hideMark/>
          </w:tcPr>
          <w:p w14:paraId="5D539F0D"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52</w:t>
            </w:r>
          </w:p>
        </w:tc>
        <w:tc>
          <w:tcPr>
            <w:tcW w:w="1796" w:type="dxa"/>
            <w:hideMark/>
          </w:tcPr>
          <w:p w14:paraId="6C099D6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59,268</w:t>
            </w:r>
          </w:p>
        </w:tc>
        <w:tc>
          <w:tcPr>
            <w:tcW w:w="1620" w:type="dxa"/>
            <w:hideMark/>
          </w:tcPr>
          <w:p w14:paraId="47E9210F"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w:t>
            </w:r>
          </w:p>
        </w:tc>
        <w:tc>
          <w:tcPr>
            <w:tcW w:w="1800" w:type="dxa"/>
            <w:hideMark/>
          </w:tcPr>
          <w:p w14:paraId="55A61AC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28,966</w:t>
            </w:r>
          </w:p>
        </w:tc>
        <w:tc>
          <w:tcPr>
            <w:tcW w:w="1411" w:type="dxa"/>
            <w:hideMark/>
          </w:tcPr>
          <w:p w14:paraId="605E5ECB"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88,234</w:t>
            </w:r>
          </w:p>
        </w:tc>
      </w:tr>
      <w:tr w:rsidR="00E14C76" w:rsidRPr="0062044A" w14:paraId="2BA51356"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60B64736"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MAR</w:t>
            </w:r>
          </w:p>
        </w:tc>
        <w:tc>
          <w:tcPr>
            <w:tcW w:w="1881" w:type="dxa"/>
            <w:hideMark/>
          </w:tcPr>
          <w:p w14:paraId="4BD6C14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w:t>
            </w:r>
          </w:p>
        </w:tc>
        <w:tc>
          <w:tcPr>
            <w:tcW w:w="1796" w:type="dxa"/>
            <w:hideMark/>
          </w:tcPr>
          <w:p w14:paraId="08C09DE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30,845</w:t>
            </w:r>
          </w:p>
        </w:tc>
        <w:tc>
          <w:tcPr>
            <w:tcW w:w="1620" w:type="dxa"/>
            <w:hideMark/>
          </w:tcPr>
          <w:p w14:paraId="60765EB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w:t>
            </w:r>
          </w:p>
        </w:tc>
        <w:tc>
          <w:tcPr>
            <w:tcW w:w="1800" w:type="dxa"/>
            <w:hideMark/>
          </w:tcPr>
          <w:p w14:paraId="381D5ED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57,923</w:t>
            </w:r>
          </w:p>
        </w:tc>
        <w:tc>
          <w:tcPr>
            <w:tcW w:w="1411" w:type="dxa"/>
            <w:hideMark/>
          </w:tcPr>
          <w:p w14:paraId="59CD14D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88,769</w:t>
            </w:r>
          </w:p>
        </w:tc>
      </w:tr>
      <w:tr w:rsidR="00CE296A" w:rsidRPr="0062044A" w14:paraId="0596679F" w14:textId="77777777" w:rsidTr="00CE29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88" w:type="dxa"/>
            <w:hideMark/>
          </w:tcPr>
          <w:p w14:paraId="76E3898E"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APRIL</w:t>
            </w:r>
          </w:p>
        </w:tc>
        <w:tc>
          <w:tcPr>
            <w:tcW w:w="1881" w:type="dxa"/>
            <w:hideMark/>
          </w:tcPr>
          <w:p w14:paraId="1220F916"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w:t>
            </w:r>
          </w:p>
        </w:tc>
        <w:tc>
          <w:tcPr>
            <w:tcW w:w="1796" w:type="dxa"/>
            <w:hideMark/>
          </w:tcPr>
          <w:p w14:paraId="1600751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8,250</w:t>
            </w:r>
          </w:p>
        </w:tc>
        <w:tc>
          <w:tcPr>
            <w:tcW w:w="1620" w:type="dxa"/>
            <w:hideMark/>
          </w:tcPr>
          <w:p w14:paraId="2A97F03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w:t>
            </w:r>
          </w:p>
        </w:tc>
        <w:tc>
          <w:tcPr>
            <w:tcW w:w="1800" w:type="dxa"/>
            <w:hideMark/>
          </w:tcPr>
          <w:p w14:paraId="21E7E63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28,966</w:t>
            </w:r>
          </w:p>
        </w:tc>
        <w:tc>
          <w:tcPr>
            <w:tcW w:w="1411" w:type="dxa"/>
            <w:hideMark/>
          </w:tcPr>
          <w:p w14:paraId="5877C39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37,216</w:t>
            </w:r>
          </w:p>
        </w:tc>
      </w:tr>
      <w:tr w:rsidR="00E14C76" w:rsidRPr="0062044A" w14:paraId="67E95278"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7611FF59"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MAY</w:t>
            </w:r>
          </w:p>
        </w:tc>
        <w:tc>
          <w:tcPr>
            <w:tcW w:w="1881" w:type="dxa"/>
            <w:hideMark/>
          </w:tcPr>
          <w:p w14:paraId="2B7DE93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40</w:t>
            </w:r>
          </w:p>
        </w:tc>
        <w:tc>
          <w:tcPr>
            <w:tcW w:w="1796" w:type="dxa"/>
            <w:hideMark/>
          </w:tcPr>
          <w:p w14:paraId="18682AB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w:t>
            </w:r>
          </w:p>
        </w:tc>
        <w:tc>
          <w:tcPr>
            <w:tcW w:w="1620" w:type="dxa"/>
            <w:hideMark/>
          </w:tcPr>
          <w:p w14:paraId="6F3B522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40</w:t>
            </w:r>
          </w:p>
        </w:tc>
        <w:tc>
          <w:tcPr>
            <w:tcW w:w="1800" w:type="dxa"/>
            <w:hideMark/>
          </w:tcPr>
          <w:p w14:paraId="51CB40F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386,214</w:t>
            </w:r>
          </w:p>
        </w:tc>
        <w:tc>
          <w:tcPr>
            <w:tcW w:w="1411" w:type="dxa"/>
            <w:hideMark/>
          </w:tcPr>
          <w:p w14:paraId="7D88106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386,214</w:t>
            </w:r>
          </w:p>
        </w:tc>
      </w:tr>
      <w:tr w:rsidR="00CE296A" w:rsidRPr="0062044A" w14:paraId="72EA9FBE"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7D0DC1E5"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JUNE</w:t>
            </w:r>
          </w:p>
        </w:tc>
        <w:tc>
          <w:tcPr>
            <w:tcW w:w="1881" w:type="dxa"/>
            <w:hideMark/>
          </w:tcPr>
          <w:p w14:paraId="13D47B8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25</w:t>
            </w:r>
          </w:p>
        </w:tc>
        <w:tc>
          <w:tcPr>
            <w:tcW w:w="1796" w:type="dxa"/>
            <w:hideMark/>
          </w:tcPr>
          <w:p w14:paraId="5992F3E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55,662</w:t>
            </w:r>
          </w:p>
        </w:tc>
        <w:tc>
          <w:tcPr>
            <w:tcW w:w="1620" w:type="dxa"/>
            <w:hideMark/>
          </w:tcPr>
          <w:p w14:paraId="75A2EDC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15</w:t>
            </w:r>
          </w:p>
        </w:tc>
        <w:tc>
          <w:tcPr>
            <w:tcW w:w="1800" w:type="dxa"/>
            <w:hideMark/>
          </w:tcPr>
          <w:p w14:paraId="0688F2D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144,830</w:t>
            </w:r>
          </w:p>
        </w:tc>
        <w:tc>
          <w:tcPr>
            <w:tcW w:w="1411" w:type="dxa"/>
            <w:hideMark/>
          </w:tcPr>
          <w:p w14:paraId="4ED8EC35"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200,492</w:t>
            </w:r>
          </w:p>
        </w:tc>
      </w:tr>
      <w:tr w:rsidR="00E14C76" w:rsidRPr="0062044A" w14:paraId="4A69290F"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2DFF2AD8"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JULY</w:t>
            </w:r>
          </w:p>
        </w:tc>
        <w:tc>
          <w:tcPr>
            <w:tcW w:w="1881" w:type="dxa"/>
            <w:hideMark/>
          </w:tcPr>
          <w:p w14:paraId="311B6CD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22</w:t>
            </w:r>
          </w:p>
        </w:tc>
        <w:tc>
          <w:tcPr>
            <w:tcW w:w="1796" w:type="dxa"/>
            <w:hideMark/>
          </w:tcPr>
          <w:p w14:paraId="042A91A7"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32,952</w:t>
            </w:r>
          </w:p>
        </w:tc>
        <w:tc>
          <w:tcPr>
            <w:tcW w:w="1620" w:type="dxa"/>
            <w:hideMark/>
          </w:tcPr>
          <w:p w14:paraId="7022739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19</w:t>
            </w:r>
          </w:p>
        </w:tc>
        <w:tc>
          <w:tcPr>
            <w:tcW w:w="1800" w:type="dxa"/>
            <w:hideMark/>
          </w:tcPr>
          <w:p w14:paraId="74B8F2A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183,452</w:t>
            </w:r>
          </w:p>
        </w:tc>
        <w:tc>
          <w:tcPr>
            <w:tcW w:w="1411" w:type="dxa"/>
            <w:hideMark/>
          </w:tcPr>
          <w:p w14:paraId="764183C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216,404</w:t>
            </w:r>
          </w:p>
        </w:tc>
      </w:tr>
      <w:tr w:rsidR="00CE296A" w:rsidRPr="0062044A" w14:paraId="650FDC42"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3F58EE1B"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AUG</w:t>
            </w:r>
          </w:p>
        </w:tc>
        <w:tc>
          <w:tcPr>
            <w:tcW w:w="1881" w:type="dxa"/>
            <w:hideMark/>
          </w:tcPr>
          <w:p w14:paraId="51B34A7D"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17</w:t>
            </w:r>
          </w:p>
        </w:tc>
        <w:tc>
          <w:tcPr>
            <w:tcW w:w="1796" w:type="dxa"/>
            <w:hideMark/>
          </w:tcPr>
          <w:p w14:paraId="663D7E9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32,952</w:t>
            </w:r>
          </w:p>
        </w:tc>
        <w:tc>
          <w:tcPr>
            <w:tcW w:w="1620" w:type="dxa"/>
            <w:hideMark/>
          </w:tcPr>
          <w:p w14:paraId="602E573F"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6</w:t>
            </w:r>
          </w:p>
        </w:tc>
        <w:tc>
          <w:tcPr>
            <w:tcW w:w="1800" w:type="dxa"/>
            <w:hideMark/>
          </w:tcPr>
          <w:p w14:paraId="6CD5F76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57,932</w:t>
            </w:r>
          </w:p>
        </w:tc>
        <w:tc>
          <w:tcPr>
            <w:tcW w:w="1411" w:type="dxa"/>
            <w:hideMark/>
          </w:tcPr>
          <w:p w14:paraId="678143B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90,885</w:t>
            </w:r>
          </w:p>
        </w:tc>
      </w:tr>
      <w:tr w:rsidR="00E14C76" w:rsidRPr="0062044A" w14:paraId="0C33CA8B"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2C81B7D4"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SEPT</w:t>
            </w:r>
          </w:p>
        </w:tc>
        <w:tc>
          <w:tcPr>
            <w:tcW w:w="1881" w:type="dxa"/>
            <w:hideMark/>
          </w:tcPr>
          <w:p w14:paraId="0776106B"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11</w:t>
            </w:r>
          </w:p>
        </w:tc>
        <w:tc>
          <w:tcPr>
            <w:tcW w:w="1796" w:type="dxa"/>
            <w:hideMark/>
          </w:tcPr>
          <w:p w14:paraId="57608886"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38,677</w:t>
            </w:r>
          </w:p>
        </w:tc>
        <w:tc>
          <w:tcPr>
            <w:tcW w:w="1620" w:type="dxa"/>
            <w:hideMark/>
          </w:tcPr>
          <w:p w14:paraId="2D626A9A"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w:t>
            </w:r>
          </w:p>
        </w:tc>
        <w:tc>
          <w:tcPr>
            <w:tcW w:w="1800" w:type="dxa"/>
            <w:hideMark/>
          </w:tcPr>
          <w:p w14:paraId="33A05B5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38,621</w:t>
            </w:r>
          </w:p>
        </w:tc>
        <w:tc>
          <w:tcPr>
            <w:tcW w:w="1411" w:type="dxa"/>
            <w:hideMark/>
          </w:tcPr>
          <w:p w14:paraId="29DC870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77,298</w:t>
            </w:r>
          </w:p>
        </w:tc>
      </w:tr>
      <w:tr w:rsidR="00CE296A" w:rsidRPr="0062044A" w14:paraId="511E843C"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39EDEB2C"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OCT</w:t>
            </w:r>
          </w:p>
        </w:tc>
        <w:tc>
          <w:tcPr>
            <w:tcW w:w="1881" w:type="dxa"/>
            <w:hideMark/>
          </w:tcPr>
          <w:p w14:paraId="7763C50E"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19</w:t>
            </w:r>
          </w:p>
        </w:tc>
        <w:tc>
          <w:tcPr>
            <w:tcW w:w="1796" w:type="dxa"/>
            <w:hideMark/>
          </w:tcPr>
          <w:p w14:paraId="498BB4A1"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55,221</w:t>
            </w:r>
          </w:p>
        </w:tc>
        <w:tc>
          <w:tcPr>
            <w:tcW w:w="1620" w:type="dxa"/>
            <w:hideMark/>
          </w:tcPr>
          <w:p w14:paraId="0F9D58C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5</w:t>
            </w:r>
          </w:p>
        </w:tc>
        <w:tc>
          <w:tcPr>
            <w:tcW w:w="1800" w:type="dxa"/>
            <w:hideMark/>
          </w:tcPr>
          <w:p w14:paraId="2263D7C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48,277</w:t>
            </w:r>
          </w:p>
        </w:tc>
        <w:tc>
          <w:tcPr>
            <w:tcW w:w="1411" w:type="dxa"/>
            <w:hideMark/>
          </w:tcPr>
          <w:p w14:paraId="6B5904EA"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103,498</w:t>
            </w:r>
          </w:p>
        </w:tc>
      </w:tr>
      <w:tr w:rsidR="00E14C76" w:rsidRPr="0062044A" w14:paraId="53EA7D25"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1AC3DC1F"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NOV</w:t>
            </w:r>
          </w:p>
        </w:tc>
        <w:tc>
          <w:tcPr>
            <w:tcW w:w="1881" w:type="dxa"/>
            <w:hideMark/>
          </w:tcPr>
          <w:p w14:paraId="66E0616F"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27</w:t>
            </w:r>
          </w:p>
        </w:tc>
        <w:tc>
          <w:tcPr>
            <w:tcW w:w="1796" w:type="dxa"/>
            <w:hideMark/>
          </w:tcPr>
          <w:p w14:paraId="4906C6CD"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w:t>
            </w:r>
          </w:p>
        </w:tc>
        <w:tc>
          <w:tcPr>
            <w:tcW w:w="1620" w:type="dxa"/>
            <w:hideMark/>
          </w:tcPr>
          <w:p w14:paraId="24057A6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8</w:t>
            </w:r>
          </w:p>
        </w:tc>
        <w:tc>
          <w:tcPr>
            <w:tcW w:w="1800" w:type="dxa"/>
            <w:hideMark/>
          </w:tcPr>
          <w:p w14:paraId="013538F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77,243</w:t>
            </w:r>
          </w:p>
        </w:tc>
        <w:tc>
          <w:tcPr>
            <w:tcW w:w="1411" w:type="dxa"/>
            <w:hideMark/>
          </w:tcPr>
          <w:p w14:paraId="71D6AE52"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77,243</w:t>
            </w:r>
          </w:p>
        </w:tc>
      </w:tr>
      <w:tr w:rsidR="00CE296A" w:rsidRPr="0062044A" w14:paraId="2B350C4F" w14:textId="77777777" w:rsidTr="00CE2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65CFD579" w14:textId="77777777" w:rsidR="00E14C76" w:rsidRPr="00DF6C2D" w:rsidRDefault="00E14C76" w:rsidP="00F9112B">
            <w:pPr>
              <w:spacing w:line="360" w:lineRule="auto"/>
              <w:jc w:val="both"/>
              <w:rPr>
                <w:rFonts w:ascii="Baskerville Old Face" w:hAnsi="Baskerville Old Face" w:cs="Times New Roman"/>
                <w:b w:val="0"/>
                <w:bCs w:val="0"/>
                <w:color w:val="auto"/>
              </w:rPr>
            </w:pPr>
            <w:r w:rsidRPr="00DF6C2D">
              <w:rPr>
                <w:rFonts w:ascii="Baskerville Old Face" w:hAnsi="Baskerville Old Face" w:cs="Times New Roman"/>
                <w:b w:val="0"/>
                <w:bCs w:val="0"/>
                <w:color w:val="auto"/>
              </w:rPr>
              <w:t>DEC</w:t>
            </w:r>
          </w:p>
        </w:tc>
        <w:tc>
          <w:tcPr>
            <w:tcW w:w="1881" w:type="dxa"/>
            <w:hideMark/>
          </w:tcPr>
          <w:p w14:paraId="713D6569"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26</w:t>
            </w:r>
          </w:p>
        </w:tc>
        <w:tc>
          <w:tcPr>
            <w:tcW w:w="1796" w:type="dxa"/>
            <w:hideMark/>
          </w:tcPr>
          <w:p w14:paraId="5B6860E8"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w:t>
            </w:r>
          </w:p>
        </w:tc>
        <w:tc>
          <w:tcPr>
            <w:tcW w:w="1620" w:type="dxa"/>
            <w:hideMark/>
          </w:tcPr>
          <w:p w14:paraId="4E5A968C"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8</w:t>
            </w:r>
          </w:p>
        </w:tc>
        <w:tc>
          <w:tcPr>
            <w:tcW w:w="1800" w:type="dxa"/>
            <w:hideMark/>
          </w:tcPr>
          <w:p w14:paraId="044E52C7"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color w:val="auto"/>
              </w:rPr>
            </w:pPr>
            <w:r w:rsidRPr="00CE296A">
              <w:rPr>
                <w:rFonts w:ascii="Baskerville Old Face" w:hAnsi="Baskerville Old Face"/>
                <w:color w:val="auto"/>
                <w:sz w:val="20"/>
                <w:szCs w:val="20"/>
              </w:rPr>
              <w:t>77,243</w:t>
            </w:r>
          </w:p>
        </w:tc>
        <w:tc>
          <w:tcPr>
            <w:tcW w:w="1411" w:type="dxa"/>
            <w:hideMark/>
          </w:tcPr>
          <w:p w14:paraId="4BCA4E92" w14:textId="77777777" w:rsidR="00E14C76" w:rsidRPr="00CE296A" w:rsidRDefault="00E14C76" w:rsidP="00F9112B">
            <w:pPr>
              <w:spacing w:line="360" w:lineRule="auto"/>
              <w:jc w:val="both"/>
              <w:cnfStyle w:val="000000100000" w:firstRow="0" w:lastRow="0" w:firstColumn="0" w:lastColumn="0" w:oddVBand="0" w:evenVBand="0" w:oddHBand="1"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77,243</w:t>
            </w:r>
          </w:p>
        </w:tc>
      </w:tr>
      <w:tr w:rsidR="00E14C76" w:rsidRPr="0062044A" w14:paraId="5C43CA8D" w14:textId="77777777" w:rsidTr="00CE296A">
        <w:tc>
          <w:tcPr>
            <w:cnfStyle w:val="001000000000" w:firstRow="0" w:lastRow="0" w:firstColumn="1" w:lastColumn="0" w:oddVBand="0" w:evenVBand="0" w:oddHBand="0" w:evenHBand="0" w:firstRowFirstColumn="0" w:firstRowLastColumn="0" w:lastRowFirstColumn="0" w:lastRowLastColumn="0"/>
            <w:tcW w:w="1088" w:type="dxa"/>
            <w:hideMark/>
          </w:tcPr>
          <w:p w14:paraId="2D26014D" w14:textId="77777777" w:rsidR="00E14C76" w:rsidRPr="00CE296A" w:rsidRDefault="00E14C76" w:rsidP="00F9112B">
            <w:pPr>
              <w:spacing w:line="360" w:lineRule="auto"/>
              <w:jc w:val="both"/>
              <w:rPr>
                <w:rFonts w:ascii="Baskerville Old Face" w:hAnsi="Baskerville Old Face" w:cs="Times New Roman"/>
                <w:b w:val="0"/>
                <w:bCs w:val="0"/>
                <w:color w:val="auto"/>
              </w:rPr>
            </w:pPr>
            <w:r w:rsidRPr="00CE296A">
              <w:rPr>
                <w:rFonts w:ascii="Baskerville Old Face" w:hAnsi="Baskerville Old Face" w:cs="Times New Roman"/>
                <w:color w:val="auto"/>
              </w:rPr>
              <w:t>TOTAL</w:t>
            </w:r>
          </w:p>
        </w:tc>
        <w:tc>
          <w:tcPr>
            <w:tcW w:w="1881" w:type="dxa"/>
            <w:hideMark/>
          </w:tcPr>
          <w:p w14:paraId="260CAF35"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cs="Calibri"/>
                <w:b/>
                <w:bCs/>
                <w:color w:val="auto"/>
                <w:sz w:val="20"/>
                <w:szCs w:val="20"/>
              </w:rPr>
              <w:t>265</w:t>
            </w:r>
          </w:p>
        </w:tc>
        <w:tc>
          <w:tcPr>
            <w:tcW w:w="1796" w:type="dxa"/>
            <w:hideMark/>
          </w:tcPr>
          <w:p w14:paraId="4FAA3BA0"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354,282</w:t>
            </w:r>
          </w:p>
        </w:tc>
        <w:tc>
          <w:tcPr>
            <w:tcW w:w="1620" w:type="dxa"/>
            <w:hideMark/>
          </w:tcPr>
          <w:p w14:paraId="50BE4BE1"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119</w:t>
            </w:r>
          </w:p>
        </w:tc>
        <w:tc>
          <w:tcPr>
            <w:tcW w:w="1800" w:type="dxa"/>
            <w:hideMark/>
          </w:tcPr>
          <w:p w14:paraId="2F71E004"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1,148,979</w:t>
            </w:r>
          </w:p>
        </w:tc>
        <w:tc>
          <w:tcPr>
            <w:tcW w:w="1411" w:type="dxa"/>
            <w:hideMark/>
          </w:tcPr>
          <w:p w14:paraId="3EABB4CC" w14:textId="77777777" w:rsidR="00E14C76" w:rsidRPr="00CE296A" w:rsidRDefault="00E14C76" w:rsidP="00F9112B">
            <w:pPr>
              <w:spacing w:line="360" w:lineRule="auto"/>
              <w:jc w:val="bot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bCs/>
                <w:color w:val="auto"/>
              </w:rPr>
            </w:pPr>
            <w:r w:rsidRPr="00CE296A">
              <w:rPr>
                <w:rFonts w:ascii="Baskerville Old Face" w:hAnsi="Baskerville Old Face"/>
                <w:b/>
                <w:bCs/>
                <w:color w:val="auto"/>
                <w:sz w:val="20"/>
                <w:szCs w:val="20"/>
              </w:rPr>
              <w:t>1,503,261</w:t>
            </w:r>
          </w:p>
        </w:tc>
      </w:tr>
    </w:tbl>
    <w:p w14:paraId="5BB7F6A9" w14:textId="22440841" w:rsidR="002025CE" w:rsidRPr="002025CE" w:rsidRDefault="00F021ED" w:rsidP="002025CE">
      <w:pPr>
        <w:rPr>
          <w:rFonts w:ascii="Baskerville Old Face" w:hAnsi="Baskerville Old Face" w:cs="Times New Roman"/>
          <w:i/>
          <w:iCs/>
          <w:sz w:val="18"/>
          <w:szCs w:val="18"/>
        </w:rPr>
      </w:pPr>
      <w:r>
        <w:rPr>
          <w:rFonts w:ascii="Baskerville Old Face" w:hAnsi="Baskerville Old Face" w:cs="Times New Roman"/>
          <w:i/>
          <w:iCs/>
          <w:sz w:val="18"/>
          <w:szCs w:val="18"/>
        </w:rPr>
        <w:t xml:space="preserve">   </w:t>
      </w:r>
      <w:r w:rsidRPr="00F021ED">
        <w:rPr>
          <w:rFonts w:ascii="Baskerville Old Face" w:hAnsi="Baskerville Old Face" w:cs="Times New Roman"/>
          <w:i/>
          <w:iCs/>
          <w:sz w:val="18"/>
          <w:szCs w:val="18"/>
        </w:rPr>
        <w:t>Source: CSD</w:t>
      </w:r>
    </w:p>
    <w:p w14:paraId="006871B5" w14:textId="77777777" w:rsidR="002025CE" w:rsidRDefault="002025CE" w:rsidP="002725A1">
      <w:pPr>
        <w:pStyle w:val="Heading2"/>
      </w:pPr>
    </w:p>
    <w:p w14:paraId="1C6CFEB5" w14:textId="77777777" w:rsidR="002025CE" w:rsidRDefault="002025CE" w:rsidP="002725A1">
      <w:pPr>
        <w:pStyle w:val="Heading2"/>
      </w:pPr>
    </w:p>
    <w:p w14:paraId="59FE94B4" w14:textId="02D3AE4A" w:rsidR="009C05E4" w:rsidRPr="009C05E4" w:rsidRDefault="00BA0DB9" w:rsidP="002725A1">
      <w:pPr>
        <w:pStyle w:val="Heading2"/>
      </w:pPr>
      <w:bookmarkStart w:id="113" w:name="_Toc198205721"/>
      <w:r>
        <w:t xml:space="preserve">4.15: </w:t>
      </w:r>
      <w:r w:rsidR="00116D56" w:rsidRPr="009C05E4">
        <w:t>CUSTOMS BOARDING UNIT</w:t>
      </w:r>
      <w:bookmarkEnd w:id="113"/>
    </w:p>
    <w:p w14:paraId="0E52F805" w14:textId="77777777" w:rsidR="002725A1" w:rsidRDefault="002725A1" w:rsidP="00743C28">
      <w:pPr>
        <w:spacing w:line="360" w:lineRule="auto"/>
        <w:jc w:val="both"/>
        <w:rPr>
          <w:rFonts w:ascii="Baskerville Old Face" w:hAnsi="Baskerville Old Face" w:cs="Times New Roman"/>
          <w:sz w:val="24"/>
          <w:szCs w:val="24"/>
        </w:rPr>
      </w:pPr>
    </w:p>
    <w:p w14:paraId="6378F8B7" w14:textId="3DFED276" w:rsidR="00743C28" w:rsidRDefault="009C05E4" w:rsidP="00743C28">
      <w:pPr>
        <w:spacing w:line="360" w:lineRule="auto"/>
        <w:jc w:val="both"/>
        <w:rPr>
          <w:rFonts w:ascii="Baskerville Old Face" w:hAnsi="Baskerville Old Face" w:cs="Times New Roman"/>
          <w:sz w:val="24"/>
          <w:szCs w:val="24"/>
        </w:rPr>
      </w:pPr>
      <w:r w:rsidRPr="009C05E4">
        <w:rPr>
          <w:rFonts w:ascii="Baskerville Old Face" w:hAnsi="Baskerville Old Face" w:cs="Times New Roman"/>
          <w:sz w:val="24"/>
          <w:szCs w:val="24"/>
        </w:rPr>
        <w:t xml:space="preserve">The Boarding Unit oversees the inspection of all commercial cargo ships within Sierra Leone's territorial waters. </w:t>
      </w:r>
      <w:r w:rsidR="00AC7EA6" w:rsidRPr="00C340BA">
        <w:rPr>
          <w:rFonts w:ascii="Baskerville Old Face" w:hAnsi="Baskerville Old Face" w:cs="Times New Roman"/>
          <w:sz w:val="24"/>
          <w:szCs w:val="24"/>
        </w:rPr>
        <w:t>Figure</w:t>
      </w:r>
      <w:r w:rsidRPr="00C340BA">
        <w:rPr>
          <w:rFonts w:ascii="Baskerville Old Face" w:hAnsi="Baskerville Old Face" w:cs="Times New Roman"/>
          <w:sz w:val="24"/>
          <w:szCs w:val="24"/>
        </w:rPr>
        <w:t xml:space="preserve"> </w:t>
      </w:r>
      <w:r w:rsidR="00FA2C76">
        <w:rPr>
          <w:rFonts w:ascii="Baskerville Old Face" w:hAnsi="Baskerville Old Face" w:cs="Times New Roman"/>
          <w:sz w:val="24"/>
          <w:szCs w:val="24"/>
        </w:rPr>
        <w:t xml:space="preserve">10 </w:t>
      </w:r>
      <w:r w:rsidRPr="009C05E4">
        <w:rPr>
          <w:rFonts w:ascii="Baskerville Old Face" w:hAnsi="Baskerville Old Face" w:cs="Times New Roman"/>
          <w:sz w:val="24"/>
          <w:szCs w:val="24"/>
        </w:rPr>
        <w:t xml:space="preserve">illustrates the number of ships that docked in 2022 and 2023. According to the ship rotation data, </w:t>
      </w:r>
      <w:r>
        <w:rPr>
          <w:rFonts w:ascii="Baskerville Old Face" w:hAnsi="Baskerville Old Face" w:cs="Times New Roman"/>
          <w:sz w:val="24"/>
          <w:szCs w:val="24"/>
        </w:rPr>
        <w:t xml:space="preserve">399 vessels arrived in 2023 compared to </w:t>
      </w:r>
      <w:r w:rsidRPr="009C05E4">
        <w:rPr>
          <w:rFonts w:ascii="Baskerville Old Face" w:hAnsi="Baskerville Old Face" w:cs="Times New Roman"/>
          <w:sz w:val="24"/>
          <w:szCs w:val="24"/>
        </w:rPr>
        <w:t>414 in 202</w:t>
      </w:r>
      <w:r>
        <w:rPr>
          <w:rFonts w:ascii="Baskerville Old Face" w:hAnsi="Baskerville Old Face" w:cs="Times New Roman"/>
          <w:sz w:val="24"/>
          <w:szCs w:val="24"/>
        </w:rPr>
        <w:t>2</w:t>
      </w:r>
      <w:r w:rsidRPr="009C05E4">
        <w:rPr>
          <w:rFonts w:ascii="Baskerville Old Face" w:hAnsi="Baskerville Old Face" w:cs="Times New Roman"/>
          <w:sz w:val="24"/>
          <w:szCs w:val="24"/>
        </w:rPr>
        <w:t>, indicating a decrease of 15 vessels. However, despite the higher number of arrivals in 2022, the import revenue in 2023 surpassed that of 2022. This increase can be attributed to the higher value of the shipments and the commercial nature of the vessels.</w:t>
      </w:r>
    </w:p>
    <w:p w14:paraId="3ADAA4FE" w14:textId="77777777" w:rsidR="001F4E8B" w:rsidRDefault="001F4E8B" w:rsidP="00743C28">
      <w:pPr>
        <w:spacing w:line="360" w:lineRule="auto"/>
        <w:jc w:val="both"/>
        <w:rPr>
          <w:rFonts w:ascii="Baskerville Old Face" w:hAnsi="Baskerville Old Face" w:cs="Times New Roman"/>
          <w:sz w:val="24"/>
          <w:szCs w:val="24"/>
        </w:rPr>
      </w:pPr>
    </w:p>
    <w:p w14:paraId="457D580A" w14:textId="14B390F1" w:rsidR="009C05E4" w:rsidRPr="00743C28" w:rsidRDefault="002C40A3" w:rsidP="00743C28">
      <w:pPr>
        <w:spacing w:line="360" w:lineRule="auto"/>
        <w:jc w:val="both"/>
        <w:rPr>
          <w:rFonts w:ascii="Baskerville Old Face" w:hAnsi="Baskerville Old Face" w:cs="Times New Roman"/>
          <w:sz w:val="24"/>
          <w:szCs w:val="24"/>
        </w:rPr>
      </w:pPr>
      <w:bookmarkStart w:id="114" w:name="Figure10"/>
      <w:r w:rsidRPr="00C340BA">
        <w:rPr>
          <w:rFonts w:ascii="Baskerville Old Face" w:hAnsi="Baskerville Old Face" w:cs="Times New Roman"/>
          <w:b/>
          <w:bCs/>
          <w:i/>
          <w:iCs/>
        </w:rPr>
        <w:t>Figure</w:t>
      </w:r>
      <w:r w:rsidR="009C05E4" w:rsidRPr="00C340BA">
        <w:rPr>
          <w:rFonts w:ascii="Baskerville Old Face" w:hAnsi="Baskerville Old Face" w:cs="Times New Roman"/>
          <w:b/>
          <w:bCs/>
          <w:i/>
          <w:iCs/>
        </w:rPr>
        <w:t xml:space="preserve"> </w:t>
      </w:r>
      <w:r w:rsidR="002E6968">
        <w:rPr>
          <w:rFonts w:ascii="Baskerville Old Face" w:hAnsi="Baskerville Old Face" w:cs="Times New Roman"/>
          <w:b/>
          <w:bCs/>
          <w:i/>
          <w:iCs/>
        </w:rPr>
        <w:t>10:</w:t>
      </w:r>
      <w:r w:rsidR="009C05E4" w:rsidRPr="002C40A3">
        <w:rPr>
          <w:rFonts w:ascii="Baskerville Old Face" w:hAnsi="Baskerville Old Face" w:cs="Times New Roman"/>
          <w:b/>
          <w:bCs/>
          <w:i/>
          <w:iCs/>
        </w:rPr>
        <w:t xml:space="preserve"> Monthly Number of Vessels 2023 and 2022 </w:t>
      </w:r>
    </w:p>
    <w:bookmarkEnd w:id="114"/>
    <w:p w14:paraId="3A4E3909" w14:textId="3905051F" w:rsidR="002C40A3" w:rsidRPr="002C40A3" w:rsidRDefault="002C40A3" w:rsidP="009C05E4">
      <w:pPr>
        <w:jc w:val="both"/>
        <w:rPr>
          <w:rFonts w:ascii="Baskerville Old Face" w:hAnsi="Baskerville Old Face" w:cs="Times New Roman"/>
        </w:rPr>
      </w:pPr>
      <w:r>
        <w:rPr>
          <w:noProof/>
        </w:rPr>
        <w:drawing>
          <wp:inline distT="0" distB="0" distL="0" distR="0" wp14:anchorId="10A23654" wp14:editId="6FA35508">
            <wp:extent cx="6103620" cy="3463290"/>
            <wp:effectExtent l="0" t="0" r="11430" b="3810"/>
            <wp:docPr id="1040608021" name="Chart 1">
              <a:extLst xmlns:a="http://schemas.openxmlformats.org/drawingml/2006/main">
                <a:ext uri="{FF2B5EF4-FFF2-40B4-BE49-F238E27FC236}">
                  <a16:creationId xmlns:a16="http://schemas.microsoft.com/office/drawing/2014/main" id="{F7CC0A00-C15C-960B-F304-50FBBECD9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E27268" w14:textId="77777777" w:rsidR="00F021ED" w:rsidRPr="00F021ED" w:rsidRDefault="00F021ED" w:rsidP="00F021ED">
      <w:pPr>
        <w:rPr>
          <w:rFonts w:ascii="Baskerville Old Face" w:hAnsi="Baskerville Old Face" w:cs="Times New Roman"/>
          <w:i/>
          <w:iCs/>
          <w:sz w:val="18"/>
          <w:szCs w:val="18"/>
        </w:rPr>
      </w:pPr>
      <w:r w:rsidRPr="00F021ED">
        <w:rPr>
          <w:rFonts w:ascii="Baskerville Old Face" w:hAnsi="Baskerville Old Face" w:cs="Times New Roman"/>
          <w:i/>
          <w:iCs/>
          <w:sz w:val="18"/>
          <w:szCs w:val="18"/>
        </w:rPr>
        <w:t>Source: CSD</w:t>
      </w:r>
    </w:p>
    <w:p w14:paraId="79A512BF" w14:textId="77777777" w:rsidR="002725A1" w:rsidRDefault="002725A1" w:rsidP="00ED4340">
      <w:pPr>
        <w:rPr>
          <w:rFonts w:ascii="Baskerville Old Face" w:hAnsi="Baskerville Old Face" w:cs="Times New Roman"/>
          <w:b/>
          <w:bCs/>
          <w:sz w:val="24"/>
          <w:szCs w:val="24"/>
        </w:rPr>
      </w:pPr>
    </w:p>
    <w:p w14:paraId="20DEDD21" w14:textId="4AECF441" w:rsidR="00ED4340" w:rsidRPr="00ED4340" w:rsidRDefault="00BA0DB9" w:rsidP="002725A1">
      <w:pPr>
        <w:pStyle w:val="Heading2"/>
      </w:pPr>
      <w:bookmarkStart w:id="115" w:name="_Toc198205722"/>
      <w:r>
        <w:t xml:space="preserve">4.16: </w:t>
      </w:r>
      <w:r w:rsidR="00116D56">
        <w:t xml:space="preserve">REVENUE PERFORMANCE OF </w:t>
      </w:r>
      <w:r w:rsidR="00116D56" w:rsidRPr="00ED4340">
        <w:t>CUSTOMS OUTSTATIONS / BORDER POSTS</w:t>
      </w:r>
      <w:bookmarkEnd w:id="115"/>
    </w:p>
    <w:p w14:paraId="691B0BD6" w14:textId="77777777" w:rsidR="002725A1" w:rsidRDefault="002725A1" w:rsidP="00ED4340">
      <w:pPr>
        <w:spacing w:line="360" w:lineRule="auto"/>
        <w:jc w:val="both"/>
        <w:rPr>
          <w:rFonts w:ascii="Baskerville Old Face" w:hAnsi="Baskerville Old Face" w:cs="Times New Roman"/>
          <w:sz w:val="24"/>
          <w:szCs w:val="24"/>
        </w:rPr>
      </w:pPr>
    </w:p>
    <w:p w14:paraId="20D5F4F7" w14:textId="74C29D57" w:rsidR="00ED4340" w:rsidRPr="00ED4340" w:rsidRDefault="00ED4340" w:rsidP="00ED4340">
      <w:pPr>
        <w:spacing w:line="360" w:lineRule="auto"/>
        <w:jc w:val="both"/>
        <w:rPr>
          <w:rFonts w:ascii="Baskerville Old Face" w:hAnsi="Baskerville Old Face" w:cs="Times New Roman"/>
          <w:sz w:val="24"/>
          <w:szCs w:val="24"/>
        </w:rPr>
      </w:pPr>
      <w:r w:rsidRPr="00ED4340">
        <w:rPr>
          <w:rFonts w:ascii="Baskerville Old Face" w:hAnsi="Baskerville Old Face" w:cs="Times New Roman"/>
          <w:sz w:val="24"/>
          <w:szCs w:val="24"/>
        </w:rPr>
        <w:t>In addition to the main Freetown Customs post, Sierra Leone maintains several strategically positioned outstation posts across the country. Among these, the three largest are located at Lungi Terminal, Gbalamuya (on the Guinea border), and Jendema (on the Liberia border). These outstation posts play a significant role in the overall collection of Customs revenue. Additionally, smaller posts such as Bo/Kenema, Gbagbatok, Kono, Dogolia, Kailahun, Makeni, Susans Bay, and Port Loko are strategically situated to combat smuggling and prevent the illicit importation/exportation of contraband and drugs.</w:t>
      </w:r>
    </w:p>
    <w:p w14:paraId="558B4CA2" w14:textId="77E88E4E" w:rsidR="00626C03" w:rsidRDefault="005D1ECF" w:rsidP="00ED4340">
      <w:pPr>
        <w:spacing w:line="360" w:lineRule="auto"/>
        <w:jc w:val="both"/>
        <w:rPr>
          <w:rFonts w:ascii="Baskerville Old Face" w:hAnsi="Baskerville Old Face" w:cs="Times New Roman"/>
          <w:sz w:val="24"/>
          <w:szCs w:val="24"/>
        </w:rPr>
      </w:pPr>
      <w:r w:rsidRPr="00C340BA">
        <w:rPr>
          <w:rFonts w:ascii="Baskerville Old Face" w:hAnsi="Baskerville Old Face" w:cs="Times New Roman"/>
          <w:sz w:val="24"/>
          <w:szCs w:val="24"/>
        </w:rPr>
        <w:t>Figure</w:t>
      </w:r>
      <w:r w:rsidR="00ED4340" w:rsidRPr="00C340BA">
        <w:rPr>
          <w:rFonts w:ascii="Baskerville Old Face" w:hAnsi="Baskerville Old Face" w:cs="Times New Roman"/>
          <w:sz w:val="24"/>
          <w:szCs w:val="24"/>
        </w:rPr>
        <w:t xml:space="preserve"> </w:t>
      </w:r>
      <w:r w:rsidR="00C340BA">
        <w:rPr>
          <w:rFonts w:ascii="Baskerville Old Face" w:hAnsi="Baskerville Old Face" w:cs="Times New Roman"/>
          <w:sz w:val="24"/>
          <w:szCs w:val="24"/>
        </w:rPr>
        <w:t>1</w:t>
      </w:r>
      <w:r w:rsidR="00FA2C76">
        <w:rPr>
          <w:rFonts w:ascii="Baskerville Old Face" w:hAnsi="Baskerville Old Face" w:cs="Times New Roman"/>
          <w:sz w:val="24"/>
          <w:szCs w:val="24"/>
        </w:rPr>
        <w:t>1</w:t>
      </w:r>
      <w:r w:rsidR="00ED4340" w:rsidRPr="00ED4340">
        <w:rPr>
          <w:rFonts w:ascii="Baskerville Old Face" w:hAnsi="Baskerville Old Face" w:cs="Times New Roman"/>
          <w:sz w:val="24"/>
          <w:szCs w:val="24"/>
        </w:rPr>
        <w:t xml:space="preserve"> illustrates the annual revenue performance of the three largest Customs posts. A total of NLe 120.516 million was collected from these posts, with the Lungi CSD post contributing over half </w:t>
      </w:r>
      <w:r w:rsidR="00ED4340" w:rsidRPr="00ED4340">
        <w:rPr>
          <w:rFonts w:ascii="Baskerville Old Face" w:hAnsi="Baskerville Old Face" w:cs="Times New Roman"/>
          <w:sz w:val="24"/>
          <w:szCs w:val="24"/>
        </w:rPr>
        <w:lastRenderedPageBreak/>
        <w:t>(52.1%) of the total collection. The Gbalamuya Customs post accounted for 40.9% of the revenue, while Jendema contributed the least (7.0%) to the total collection.</w:t>
      </w:r>
    </w:p>
    <w:p w14:paraId="707A6653" w14:textId="0AD3ECF5" w:rsidR="00ED4340" w:rsidRPr="00572579" w:rsidRDefault="00572579" w:rsidP="00ED7C0B">
      <w:pPr>
        <w:spacing w:after="200" w:line="240" w:lineRule="auto"/>
        <w:jc w:val="both"/>
        <w:rPr>
          <w:rFonts w:ascii="Baskerville Old Face" w:hAnsi="Baskerville Old Face" w:cs="Times New Roman"/>
          <w:b/>
          <w:bCs/>
          <w:i/>
          <w:iCs/>
          <w:sz w:val="24"/>
          <w:szCs w:val="24"/>
        </w:rPr>
      </w:pPr>
      <w:bookmarkStart w:id="116" w:name="Figure11"/>
      <w:r w:rsidRPr="00572579">
        <w:rPr>
          <w:rFonts w:ascii="Baskerville Old Face" w:hAnsi="Baskerville Old Face" w:cs="Times New Roman"/>
          <w:b/>
          <w:bCs/>
          <w:i/>
          <w:iCs/>
          <w:sz w:val="24"/>
          <w:szCs w:val="24"/>
        </w:rPr>
        <w:t>Figure</w:t>
      </w:r>
      <w:r w:rsidR="00ED4340" w:rsidRPr="00572579">
        <w:rPr>
          <w:rFonts w:ascii="Baskerville Old Face" w:hAnsi="Baskerville Old Face" w:cs="Times New Roman"/>
          <w:b/>
          <w:bCs/>
          <w:i/>
          <w:iCs/>
          <w:sz w:val="24"/>
          <w:szCs w:val="24"/>
        </w:rPr>
        <w:t xml:space="preserve"> </w:t>
      </w:r>
      <w:r w:rsidR="00C340BA" w:rsidRPr="00572579">
        <w:rPr>
          <w:rFonts w:ascii="Baskerville Old Face" w:hAnsi="Baskerville Old Face" w:cs="Times New Roman"/>
          <w:b/>
          <w:bCs/>
          <w:i/>
          <w:iCs/>
          <w:sz w:val="24"/>
          <w:szCs w:val="24"/>
        </w:rPr>
        <w:t>1</w:t>
      </w:r>
      <w:r w:rsidR="002E6968">
        <w:rPr>
          <w:rFonts w:ascii="Baskerville Old Face" w:hAnsi="Baskerville Old Face" w:cs="Times New Roman"/>
          <w:b/>
          <w:bCs/>
          <w:i/>
          <w:iCs/>
          <w:sz w:val="24"/>
          <w:szCs w:val="24"/>
        </w:rPr>
        <w:t>1</w:t>
      </w:r>
      <w:proofErr w:type="gramStart"/>
      <w:r w:rsidR="00ED4340" w:rsidRPr="00572579">
        <w:rPr>
          <w:rFonts w:ascii="Baskerville Old Face" w:hAnsi="Baskerville Old Face" w:cs="Times New Roman"/>
          <w:b/>
          <w:bCs/>
          <w:i/>
          <w:iCs/>
          <w:sz w:val="24"/>
          <w:szCs w:val="24"/>
        </w:rPr>
        <w:t>:  Collection</w:t>
      </w:r>
      <w:proofErr w:type="gramEnd"/>
      <w:r w:rsidR="00ED4340" w:rsidRPr="00572579">
        <w:rPr>
          <w:rFonts w:ascii="Baskerville Old Face" w:hAnsi="Baskerville Old Face" w:cs="Times New Roman"/>
          <w:b/>
          <w:bCs/>
          <w:i/>
          <w:iCs/>
          <w:sz w:val="24"/>
          <w:szCs w:val="24"/>
        </w:rPr>
        <w:t xml:space="preserve"> from Three Key Customs Outstations</w:t>
      </w:r>
      <w:r w:rsidR="005D1ECF" w:rsidRPr="00572579">
        <w:rPr>
          <w:rFonts w:ascii="Baskerville Old Face" w:hAnsi="Baskerville Old Face" w:cs="Times New Roman"/>
          <w:b/>
          <w:bCs/>
          <w:i/>
          <w:iCs/>
          <w:sz w:val="24"/>
          <w:szCs w:val="24"/>
        </w:rPr>
        <w:t>, 2023</w:t>
      </w:r>
    </w:p>
    <w:bookmarkEnd w:id="116"/>
    <w:p w14:paraId="33EF3528" w14:textId="77E11079" w:rsidR="00626C03" w:rsidRPr="005D1ECF" w:rsidRDefault="005D1ECF" w:rsidP="005D1ECF">
      <w:pPr>
        <w:spacing w:after="200" w:line="360" w:lineRule="auto"/>
        <w:jc w:val="both"/>
        <w:rPr>
          <w:rFonts w:ascii="Baskerville Old Face" w:hAnsi="Baskerville Old Face" w:cs="Times New Roman"/>
        </w:rPr>
      </w:pPr>
      <w:r>
        <w:rPr>
          <w:noProof/>
        </w:rPr>
        <w:drawing>
          <wp:inline distT="0" distB="0" distL="0" distR="0" wp14:anchorId="289D6962" wp14:editId="53457B40">
            <wp:extent cx="6583680" cy="3223260"/>
            <wp:effectExtent l="0" t="0" r="7620" b="15240"/>
            <wp:docPr id="1016739195" name="Chart 1">
              <a:extLst xmlns:a="http://schemas.openxmlformats.org/drawingml/2006/main">
                <a:ext uri="{FF2B5EF4-FFF2-40B4-BE49-F238E27FC236}">
                  <a16:creationId xmlns:a16="http://schemas.microsoft.com/office/drawing/2014/main" id="{C02672E4-91E5-8DE1-5D36-6C5C2F7B9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021ED" w:rsidRPr="00F021ED">
        <w:rPr>
          <w:rFonts w:ascii="Baskerville Old Face" w:hAnsi="Baskerville Old Face" w:cs="Times New Roman"/>
          <w:i/>
          <w:iCs/>
          <w:sz w:val="18"/>
          <w:szCs w:val="18"/>
        </w:rPr>
        <w:t>Source: CSD</w:t>
      </w:r>
    </w:p>
    <w:p w14:paraId="7B7E3D49" w14:textId="77777777" w:rsidR="00772570" w:rsidRDefault="00772570" w:rsidP="000E4D6C">
      <w:pPr>
        <w:rPr>
          <w:rFonts w:ascii="Baskerville Old Face" w:hAnsi="Baskerville Old Face" w:cs="Times New Roman"/>
          <w:sz w:val="24"/>
          <w:szCs w:val="24"/>
        </w:rPr>
      </w:pPr>
    </w:p>
    <w:p w14:paraId="151CFB5A" w14:textId="77777777" w:rsidR="00C73C21" w:rsidRDefault="00C73C21" w:rsidP="00F32446">
      <w:pPr>
        <w:pStyle w:val="Heading1"/>
      </w:pPr>
    </w:p>
    <w:p w14:paraId="149BCE99" w14:textId="77777777" w:rsidR="00C73C21" w:rsidRDefault="00C73C21" w:rsidP="00F32446">
      <w:pPr>
        <w:pStyle w:val="Heading1"/>
      </w:pPr>
    </w:p>
    <w:p w14:paraId="2BC3C46B" w14:textId="77777777" w:rsidR="00C73C21" w:rsidRDefault="00C73C21" w:rsidP="00F32446">
      <w:pPr>
        <w:pStyle w:val="Heading1"/>
      </w:pPr>
    </w:p>
    <w:p w14:paraId="7D43FA04" w14:textId="77777777" w:rsidR="00A6675A" w:rsidRDefault="00A6675A" w:rsidP="00A6675A">
      <w:pPr>
        <w:rPr>
          <w:lang w:val="en-GB"/>
        </w:rPr>
      </w:pPr>
    </w:p>
    <w:p w14:paraId="017657F6" w14:textId="77777777" w:rsidR="00A6675A" w:rsidRDefault="00A6675A" w:rsidP="00A6675A">
      <w:pPr>
        <w:rPr>
          <w:lang w:val="en-GB"/>
        </w:rPr>
      </w:pPr>
    </w:p>
    <w:p w14:paraId="4385FCB9" w14:textId="77777777" w:rsidR="00A6675A" w:rsidRPr="00A6675A" w:rsidRDefault="00A6675A" w:rsidP="00A6675A">
      <w:pPr>
        <w:rPr>
          <w:lang w:val="en-GB"/>
        </w:rPr>
      </w:pPr>
    </w:p>
    <w:p w14:paraId="5EA97524" w14:textId="77777777" w:rsidR="00C73C21" w:rsidRDefault="00C73C21" w:rsidP="00F32446">
      <w:pPr>
        <w:pStyle w:val="Heading1"/>
      </w:pPr>
    </w:p>
    <w:p w14:paraId="0B8224A4" w14:textId="25FFD13A" w:rsidR="00C82318" w:rsidRPr="00220584" w:rsidRDefault="00C82318" w:rsidP="00F32446">
      <w:pPr>
        <w:pStyle w:val="Heading1"/>
        <w:rPr>
          <w:color w:val="002060"/>
        </w:rPr>
      </w:pPr>
      <w:bookmarkStart w:id="117" w:name="_Toc198205723"/>
      <w:r w:rsidRPr="00220584">
        <w:rPr>
          <w:color w:val="002060"/>
        </w:rPr>
        <w:lastRenderedPageBreak/>
        <w:t>CHAPTER FIVE</w:t>
      </w:r>
      <w:r w:rsidR="00F32446" w:rsidRPr="00220584">
        <w:rPr>
          <w:color w:val="002060"/>
        </w:rPr>
        <w:t xml:space="preserve">: </w:t>
      </w:r>
      <w:r w:rsidRPr="00220584">
        <w:rPr>
          <w:color w:val="002060"/>
        </w:rPr>
        <w:t>PROSPECT AND CHALLENGES/RISK GOING FORWARD 2024</w:t>
      </w:r>
      <w:bookmarkEnd w:id="117"/>
    </w:p>
    <w:p w14:paraId="6F254CB7" w14:textId="1B9E6B2C" w:rsidR="002E44F9" w:rsidRPr="00D304CF" w:rsidRDefault="002E44F9" w:rsidP="002E44F9">
      <w:pPr>
        <w:jc w:val="both"/>
        <w:rPr>
          <w:rFonts w:ascii="Baskerville Old Face" w:eastAsia="DengXian" w:hAnsi="Baskerville Old Face" w:cs="Arial"/>
          <w:b/>
          <w:bCs/>
          <w:color w:val="002060"/>
          <w:kern w:val="0"/>
          <w:sz w:val="28"/>
          <w:szCs w:val="28"/>
          <w:lang w:val="en-GB"/>
          <w14:ligatures w14:val="none"/>
        </w:rPr>
      </w:pPr>
      <w:r>
        <w:rPr>
          <w:rFonts w:ascii="Baskerville Old Face" w:eastAsia="DengXian" w:hAnsi="Baskerville Old Face" w:cs="Arial"/>
          <w:b/>
          <w:bCs/>
          <w:color w:val="002060"/>
          <w:kern w:val="0"/>
          <w:sz w:val="28"/>
          <w:szCs w:val="28"/>
          <w:lang w:val="en-GB"/>
          <w14:ligatures w14:val="none"/>
        </w:rPr>
        <w:t>5.0</w:t>
      </w:r>
      <w:r w:rsidRPr="00D304CF">
        <w:rPr>
          <w:rFonts w:ascii="Baskerville Old Face" w:eastAsia="DengXian" w:hAnsi="Baskerville Old Face" w:cs="Arial"/>
          <w:b/>
          <w:bCs/>
          <w:color w:val="002060"/>
          <w:kern w:val="0"/>
          <w:sz w:val="28"/>
          <w:szCs w:val="28"/>
          <w:lang w:val="en-GB"/>
          <w14:ligatures w14:val="none"/>
        </w:rPr>
        <w:t>.  FY2024 DOMESTIC REVENUE OUTLOOK</w:t>
      </w:r>
    </w:p>
    <w:p w14:paraId="04FCF7D4" w14:textId="4975DEBA" w:rsidR="002E44F9" w:rsidRPr="00D304CF" w:rsidRDefault="002E44F9" w:rsidP="002E44F9">
      <w:pPr>
        <w:jc w:val="both"/>
        <w:rPr>
          <w:rFonts w:ascii="Baskerville Old Face" w:eastAsia="DengXian" w:hAnsi="Baskerville Old Face" w:cs="Arial"/>
          <w:b/>
          <w:bCs/>
          <w:color w:val="00B0F0"/>
          <w:kern w:val="0"/>
          <w:sz w:val="24"/>
          <w:szCs w:val="24"/>
          <w:lang w:val="en-GB"/>
          <w14:ligatures w14:val="none"/>
        </w:rPr>
      </w:pPr>
      <w:r>
        <w:rPr>
          <w:rFonts w:ascii="Baskerville Old Face" w:eastAsia="DengXian" w:hAnsi="Baskerville Old Face" w:cs="Arial"/>
          <w:b/>
          <w:bCs/>
          <w:color w:val="00B0F0"/>
          <w:kern w:val="0"/>
          <w:sz w:val="24"/>
          <w:szCs w:val="24"/>
          <w:lang w:val="en-GB"/>
          <w14:ligatures w14:val="none"/>
        </w:rPr>
        <w:t>5</w:t>
      </w:r>
      <w:r w:rsidRPr="00F85140">
        <w:rPr>
          <w:rFonts w:ascii="Baskerville Old Face" w:eastAsia="DengXian" w:hAnsi="Baskerville Old Face" w:cs="Arial"/>
          <w:b/>
          <w:bCs/>
          <w:color w:val="00B0F0"/>
          <w:kern w:val="0"/>
          <w:sz w:val="24"/>
          <w:szCs w:val="24"/>
          <w:lang w:val="en-GB"/>
          <w14:ligatures w14:val="none"/>
        </w:rPr>
        <w:t>.1</w:t>
      </w:r>
      <w:r w:rsidRPr="00D304CF">
        <w:rPr>
          <w:rFonts w:ascii="Baskerville Old Face" w:eastAsia="DengXian" w:hAnsi="Baskerville Old Face" w:cs="Arial"/>
          <w:b/>
          <w:bCs/>
          <w:color w:val="00B0F0"/>
          <w:kern w:val="0"/>
          <w:sz w:val="24"/>
          <w:szCs w:val="24"/>
          <w:lang w:val="en-GB"/>
          <w14:ligatures w14:val="none"/>
        </w:rPr>
        <w:t xml:space="preserve"> F</w:t>
      </w:r>
      <w:r>
        <w:rPr>
          <w:rFonts w:ascii="Baskerville Old Face" w:eastAsia="DengXian" w:hAnsi="Baskerville Old Face" w:cs="Arial"/>
          <w:b/>
          <w:bCs/>
          <w:color w:val="00B0F0"/>
          <w:kern w:val="0"/>
          <w:sz w:val="24"/>
          <w:szCs w:val="24"/>
          <w:lang w:val="en-GB"/>
          <w14:ligatures w14:val="none"/>
        </w:rPr>
        <w:t>Y</w:t>
      </w:r>
      <w:r w:rsidRPr="00D304CF">
        <w:rPr>
          <w:rFonts w:ascii="Baskerville Old Face" w:eastAsia="DengXian" w:hAnsi="Baskerville Old Face" w:cs="Arial"/>
          <w:b/>
          <w:bCs/>
          <w:color w:val="00B0F0"/>
          <w:kern w:val="0"/>
          <w:sz w:val="24"/>
          <w:szCs w:val="24"/>
          <w:lang w:val="en-GB"/>
          <w14:ligatures w14:val="none"/>
        </w:rPr>
        <w:t>2024 Domestic Revenue Target</w:t>
      </w:r>
    </w:p>
    <w:p w14:paraId="77BC307E" w14:textId="77777777" w:rsidR="002E44F9" w:rsidRPr="00D304CF" w:rsidRDefault="002E44F9" w:rsidP="002E44F9">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The domestic Revenue Target for FY2024 is set at NLe14.972 billion, representing 48% increase compared to the actual collection in FY2023 (Table </w:t>
      </w:r>
      <w:r>
        <w:rPr>
          <w:rFonts w:ascii="Baskerville Old Face" w:eastAsia="DengXian" w:hAnsi="Baskerville Old Face" w:cs="Arial"/>
          <w:kern w:val="0"/>
          <w:sz w:val="24"/>
          <w:szCs w:val="24"/>
          <w:lang w:val="en-GB"/>
          <w14:ligatures w14:val="none"/>
        </w:rPr>
        <w:t>6</w:t>
      </w:r>
      <w:r w:rsidRPr="00D304CF">
        <w:rPr>
          <w:rFonts w:ascii="Baskerville Old Face" w:eastAsia="DengXian" w:hAnsi="Baskerville Old Face" w:cs="Arial"/>
          <w:kern w:val="0"/>
          <w:sz w:val="24"/>
          <w:szCs w:val="24"/>
          <w:lang w:val="en-GB"/>
          <w14:ligatures w14:val="none"/>
        </w:rPr>
        <w:t>). This increase is based on the following assumptions:</w:t>
      </w:r>
    </w:p>
    <w:p w14:paraId="099D3F9F"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Nominal GDP growth of 28.4%</w:t>
      </w:r>
    </w:p>
    <w:p w14:paraId="709E7553"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Full implementation of Finance Act 2024 and 2023</w:t>
      </w:r>
    </w:p>
    <w:p w14:paraId="0A07E4B2"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Implementation of selected tax administration reforms</w:t>
      </w:r>
    </w:p>
    <w:p w14:paraId="6BDD37BC"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Other revenue mobilisation measures</w:t>
      </w:r>
    </w:p>
    <w:p w14:paraId="20B0148B" w14:textId="77777777" w:rsidR="002E44F9" w:rsidRPr="00D304CF" w:rsidRDefault="002E44F9" w:rsidP="002E44F9">
      <w:pPr>
        <w:numPr>
          <w:ilvl w:val="0"/>
          <w:numId w:val="46"/>
        </w:numPr>
        <w:contextualSpacing/>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Stable global economy leading to increased and steady import volumes.</w:t>
      </w:r>
    </w:p>
    <w:p w14:paraId="428EC65D"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1E10EC0B" w14:textId="02E5BCF5" w:rsidR="002E44F9" w:rsidRDefault="002E44F9" w:rsidP="002E44F9">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The FY2024 revenue target also represents 14.8% of GDP being a notable increase of 1.9 percentage points compared to the 12.9% of GDP realised in FY2023.</w:t>
      </w:r>
    </w:p>
    <w:p w14:paraId="53AF6A45"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32C61CC7"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1FF3148"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0570C56"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14582D86"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7B8CB144"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1A3CD41"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479DE4B8"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5FABFC72"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031A8C0E"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1E159877"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77451E48"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09A9C539"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020C609E" w14:textId="77777777" w:rsidR="00A6675A" w:rsidRDefault="00A6675A" w:rsidP="002E44F9">
      <w:pPr>
        <w:jc w:val="both"/>
        <w:rPr>
          <w:rFonts w:ascii="Baskerville Old Face" w:eastAsia="DengXian" w:hAnsi="Baskerville Old Face" w:cs="Arial"/>
          <w:kern w:val="0"/>
          <w:sz w:val="24"/>
          <w:szCs w:val="24"/>
          <w:lang w:val="en-GB"/>
          <w14:ligatures w14:val="none"/>
        </w:rPr>
      </w:pPr>
    </w:p>
    <w:p w14:paraId="3EA6A73F" w14:textId="77777777" w:rsidR="00A6675A" w:rsidRDefault="00A6675A" w:rsidP="002E44F9">
      <w:pPr>
        <w:jc w:val="both"/>
        <w:rPr>
          <w:rFonts w:ascii="Baskerville Old Face" w:eastAsia="DengXian" w:hAnsi="Baskerville Old Face" w:cs="Arial"/>
          <w:kern w:val="0"/>
          <w:sz w:val="24"/>
          <w:szCs w:val="24"/>
          <w:lang w:val="en-GB"/>
          <w14:ligatures w14:val="none"/>
        </w:rPr>
      </w:pPr>
    </w:p>
    <w:tbl>
      <w:tblPr>
        <w:tblStyle w:val="GridTable4-Accent11"/>
        <w:tblW w:w="0" w:type="auto"/>
        <w:tblLook w:val="04A0" w:firstRow="1" w:lastRow="0" w:firstColumn="1" w:lastColumn="0" w:noHBand="0" w:noVBand="1"/>
      </w:tblPr>
      <w:tblGrid>
        <w:gridCol w:w="4172"/>
        <w:gridCol w:w="1171"/>
        <w:gridCol w:w="1177"/>
        <w:gridCol w:w="1001"/>
        <w:gridCol w:w="1018"/>
      </w:tblGrid>
      <w:tr w:rsidR="002E44F9" w:rsidRPr="00D304CF" w14:paraId="411B9195" w14:textId="77777777" w:rsidTr="006E4F3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gridSpan w:val="5"/>
            <w:noWrap/>
          </w:tcPr>
          <w:p w14:paraId="0A3C29C8" w14:textId="03B18DEF" w:rsidR="002E44F9" w:rsidRPr="00D304CF" w:rsidRDefault="002E44F9" w:rsidP="006E4F32">
            <w:pPr>
              <w:jc w:val="center"/>
              <w:rPr>
                <w:rFonts w:ascii="Baskerville Old Face" w:eastAsia="Times New Roman" w:hAnsi="Baskerville Old Face" w:cs="Calibri"/>
                <w:b w:val="0"/>
                <w:bCs w:val="0"/>
                <w:color w:val="000000"/>
                <w:sz w:val="20"/>
                <w:szCs w:val="20"/>
                <w:lang w:val="en-GB"/>
              </w:rPr>
            </w:pPr>
            <w:r w:rsidRPr="00D304CF">
              <w:rPr>
                <w:rFonts w:ascii="Baskerville Old Face" w:eastAsia="Times New Roman" w:hAnsi="Baskerville Old Face" w:cs="Calibri"/>
                <w:color w:val="000000"/>
                <w:sz w:val="20"/>
                <w:szCs w:val="20"/>
                <w:lang w:val="en-GB"/>
              </w:rPr>
              <w:lastRenderedPageBreak/>
              <w:t xml:space="preserve">Table </w:t>
            </w:r>
            <w:r w:rsidR="001F4E8B">
              <w:rPr>
                <w:rFonts w:ascii="Baskerville Old Face" w:eastAsia="Times New Roman" w:hAnsi="Baskerville Old Face" w:cs="Calibri"/>
                <w:color w:val="000000"/>
                <w:sz w:val="20"/>
                <w:szCs w:val="20"/>
                <w:lang w:val="en-GB"/>
              </w:rPr>
              <w:t>33</w:t>
            </w:r>
            <w:r w:rsidRPr="00D304CF">
              <w:rPr>
                <w:rFonts w:ascii="Baskerville Old Face" w:eastAsia="Times New Roman" w:hAnsi="Baskerville Old Face" w:cs="Calibri"/>
                <w:color w:val="000000"/>
                <w:sz w:val="20"/>
                <w:szCs w:val="20"/>
                <w:lang w:val="en-GB"/>
              </w:rPr>
              <w:t>: 2024 Domestic Revenue Target (NLe Thousand)</w:t>
            </w:r>
          </w:p>
        </w:tc>
      </w:tr>
      <w:tr w:rsidR="002E44F9" w:rsidRPr="00D304CF" w14:paraId="4E993570" w14:textId="77777777" w:rsidTr="006E4F32">
        <w:trPr>
          <w:trHeight w:val="332"/>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59ACD63F" w14:textId="77777777" w:rsidR="002E44F9" w:rsidRPr="00D304CF" w:rsidRDefault="002E44F9" w:rsidP="006E4F32">
            <w:pPr>
              <w:rPr>
                <w:rFonts w:ascii="Baskerville Old Face" w:eastAsia="Times New Roman" w:hAnsi="Baskerville Old Face" w:cs="Calibri"/>
                <w:b w:val="0"/>
                <w:bCs w:val="0"/>
                <w:color w:val="000000"/>
                <w:sz w:val="20"/>
                <w:szCs w:val="20"/>
                <w:lang w:val="en-GB"/>
              </w:rPr>
            </w:pPr>
            <w:r w:rsidRPr="00D304CF">
              <w:rPr>
                <w:rFonts w:ascii="Baskerville Old Face" w:eastAsia="Times New Roman" w:hAnsi="Baskerville Old Face" w:cs="Calibri"/>
                <w:color w:val="000000"/>
                <w:sz w:val="20"/>
                <w:szCs w:val="20"/>
                <w:lang w:val="en-GB"/>
              </w:rPr>
              <w:t> </w:t>
            </w:r>
          </w:p>
        </w:tc>
        <w:tc>
          <w:tcPr>
            <w:tcW w:w="0" w:type="auto"/>
            <w:shd w:val="clear" w:color="auto" w:fill="D9E2F3"/>
          </w:tcPr>
          <w:p w14:paraId="56A415E9"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2023 Actual</w:t>
            </w:r>
          </w:p>
        </w:tc>
        <w:tc>
          <w:tcPr>
            <w:tcW w:w="0" w:type="auto"/>
            <w:shd w:val="clear" w:color="auto" w:fill="D9E2F3"/>
          </w:tcPr>
          <w:p w14:paraId="6FE9827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2024 Target</w:t>
            </w:r>
          </w:p>
        </w:tc>
        <w:tc>
          <w:tcPr>
            <w:tcW w:w="0" w:type="auto"/>
            <w:shd w:val="clear" w:color="auto" w:fill="D9E2F3"/>
          </w:tcPr>
          <w:p w14:paraId="6C3F85A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Increase</w:t>
            </w:r>
          </w:p>
        </w:tc>
        <w:tc>
          <w:tcPr>
            <w:tcW w:w="0" w:type="auto"/>
            <w:shd w:val="clear" w:color="auto" w:fill="D9E2F3"/>
          </w:tcPr>
          <w:p w14:paraId="5BF7DAF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 Growth</w:t>
            </w:r>
          </w:p>
        </w:tc>
      </w:tr>
      <w:tr w:rsidR="002E44F9" w:rsidRPr="00D304CF" w14:paraId="78150B48"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66A3EA7E"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TOTAL NRA  REVENUES</w:t>
            </w:r>
          </w:p>
        </w:tc>
        <w:tc>
          <w:tcPr>
            <w:tcW w:w="0" w:type="auto"/>
          </w:tcPr>
          <w:p w14:paraId="3967D7B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10,100,463</w:t>
            </w:r>
          </w:p>
        </w:tc>
        <w:tc>
          <w:tcPr>
            <w:tcW w:w="0" w:type="auto"/>
          </w:tcPr>
          <w:p w14:paraId="5FCA54B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14,972,330</w:t>
            </w:r>
          </w:p>
        </w:tc>
        <w:tc>
          <w:tcPr>
            <w:tcW w:w="0" w:type="auto"/>
          </w:tcPr>
          <w:p w14:paraId="7020481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4,871,866</w:t>
            </w:r>
          </w:p>
        </w:tc>
        <w:tc>
          <w:tcPr>
            <w:tcW w:w="0" w:type="auto"/>
          </w:tcPr>
          <w:p w14:paraId="217A9E3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w:t>
            </w:r>
          </w:p>
        </w:tc>
      </w:tr>
      <w:tr w:rsidR="002E44F9" w:rsidRPr="00D304CF" w14:paraId="64FF9809" w14:textId="77777777" w:rsidTr="006E4F32">
        <w:trPr>
          <w:trHeight w:val="34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tcPr>
          <w:p w14:paraId="5A5EBECB"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TOTAL NRA  REVENUES (Excluding RUC)</w:t>
            </w:r>
          </w:p>
        </w:tc>
        <w:tc>
          <w:tcPr>
            <w:tcW w:w="0" w:type="auto"/>
            <w:shd w:val="clear" w:color="auto" w:fill="D9E2F3"/>
          </w:tcPr>
          <w:p w14:paraId="7FCA527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9,893,794</w:t>
            </w:r>
          </w:p>
        </w:tc>
        <w:tc>
          <w:tcPr>
            <w:tcW w:w="0" w:type="auto"/>
            <w:shd w:val="clear" w:color="auto" w:fill="D9E2F3"/>
          </w:tcPr>
          <w:p w14:paraId="0FCAFF4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14,842,987</w:t>
            </w:r>
          </w:p>
        </w:tc>
        <w:tc>
          <w:tcPr>
            <w:tcW w:w="0" w:type="auto"/>
            <w:shd w:val="clear" w:color="auto" w:fill="D9E2F3"/>
          </w:tcPr>
          <w:p w14:paraId="79AFB1B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4,949,193</w:t>
            </w:r>
          </w:p>
        </w:tc>
        <w:tc>
          <w:tcPr>
            <w:tcW w:w="0" w:type="auto"/>
            <w:shd w:val="clear" w:color="auto" w:fill="D9E2F3"/>
          </w:tcPr>
          <w:p w14:paraId="644277E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50%</w:t>
            </w:r>
          </w:p>
        </w:tc>
      </w:tr>
      <w:tr w:rsidR="002E44F9" w:rsidRPr="00D304CF" w14:paraId="24C2F5D5"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tcPr>
          <w:p w14:paraId="3C788269"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DOMESTIC TAX DEPARTMENT</w:t>
            </w:r>
          </w:p>
        </w:tc>
        <w:tc>
          <w:tcPr>
            <w:tcW w:w="0" w:type="auto"/>
          </w:tcPr>
          <w:p w14:paraId="762FDA9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6,087,739</w:t>
            </w:r>
          </w:p>
        </w:tc>
        <w:tc>
          <w:tcPr>
            <w:tcW w:w="0" w:type="auto"/>
          </w:tcPr>
          <w:p w14:paraId="24E2F5D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8,809,916</w:t>
            </w:r>
          </w:p>
        </w:tc>
        <w:tc>
          <w:tcPr>
            <w:tcW w:w="0" w:type="auto"/>
          </w:tcPr>
          <w:p w14:paraId="31FEA23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2,722,176</w:t>
            </w:r>
          </w:p>
        </w:tc>
        <w:tc>
          <w:tcPr>
            <w:tcW w:w="0" w:type="auto"/>
          </w:tcPr>
          <w:p w14:paraId="10A1A85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45%</w:t>
            </w:r>
          </w:p>
        </w:tc>
      </w:tr>
      <w:tr w:rsidR="002E44F9" w:rsidRPr="00D304CF" w14:paraId="18C72C12"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665DAE0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 xml:space="preserve">Income Tax </w:t>
            </w:r>
          </w:p>
        </w:tc>
        <w:tc>
          <w:tcPr>
            <w:tcW w:w="0" w:type="auto"/>
            <w:shd w:val="clear" w:color="auto" w:fill="D9E2F3"/>
          </w:tcPr>
          <w:p w14:paraId="32E9ADC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3,991,124</w:t>
            </w:r>
          </w:p>
        </w:tc>
        <w:tc>
          <w:tcPr>
            <w:tcW w:w="0" w:type="auto"/>
            <w:shd w:val="clear" w:color="auto" w:fill="D9E2F3"/>
          </w:tcPr>
          <w:p w14:paraId="49BCEC2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5,358,885</w:t>
            </w:r>
          </w:p>
        </w:tc>
        <w:tc>
          <w:tcPr>
            <w:tcW w:w="0" w:type="auto"/>
            <w:shd w:val="clear" w:color="auto" w:fill="D9E2F3"/>
          </w:tcPr>
          <w:p w14:paraId="6FBCA93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1,367,761</w:t>
            </w:r>
          </w:p>
        </w:tc>
        <w:tc>
          <w:tcPr>
            <w:tcW w:w="0" w:type="auto"/>
            <w:shd w:val="clear" w:color="auto" w:fill="D9E2F3"/>
          </w:tcPr>
          <w:p w14:paraId="33B3EE3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34%</w:t>
            </w:r>
          </w:p>
        </w:tc>
      </w:tr>
      <w:tr w:rsidR="002E44F9" w:rsidRPr="00D304CF" w14:paraId="5BBCC7F7"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2BF271D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CIT</w:t>
            </w:r>
          </w:p>
        </w:tc>
        <w:tc>
          <w:tcPr>
            <w:tcW w:w="0" w:type="auto"/>
          </w:tcPr>
          <w:p w14:paraId="0F0589D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1,424,693</w:t>
            </w:r>
          </w:p>
        </w:tc>
        <w:tc>
          <w:tcPr>
            <w:tcW w:w="0" w:type="auto"/>
          </w:tcPr>
          <w:p w14:paraId="6285BCF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1,985,131</w:t>
            </w:r>
          </w:p>
        </w:tc>
        <w:tc>
          <w:tcPr>
            <w:tcW w:w="0" w:type="auto"/>
          </w:tcPr>
          <w:p w14:paraId="3FAE607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560,438</w:t>
            </w:r>
          </w:p>
        </w:tc>
        <w:tc>
          <w:tcPr>
            <w:tcW w:w="0" w:type="auto"/>
          </w:tcPr>
          <w:p w14:paraId="1FB772D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39%</w:t>
            </w:r>
          </w:p>
        </w:tc>
      </w:tr>
      <w:tr w:rsidR="002E44F9" w:rsidRPr="00D304CF" w14:paraId="7D5C2012"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74503B39"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PIT</w:t>
            </w:r>
          </w:p>
        </w:tc>
        <w:tc>
          <w:tcPr>
            <w:tcW w:w="0" w:type="auto"/>
            <w:shd w:val="clear" w:color="auto" w:fill="D9E2F3"/>
          </w:tcPr>
          <w:p w14:paraId="44FCFA8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2,566,431</w:t>
            </w:r>
          </w:p>
        </w:tc>
        <w:tc>
          <w:tcPr>
            <w:tcW w:w="0" w:type="auto"/>
            <w:shd w:val="clear" w:color="auto" w:fill="D9E2F3"/>
          </w:tcPr>
          <w:p w14:paraId="3823305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3,344,754</w:t>
            </w:r>
          </w:p>
        </w:tc>
        <w:tc>
          <w:tcPr>
            <w:tcW w:w="0" w:type="auto"/>
            <w:shd w:val="clear" w:color="auto" w:fill="D9E2F3"/>
          </w:tcPr>
          <w:p w14:paraId="3902F8D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778,323</w:t>
            </w:r>
          </w:p>
        </w:tc>
        <w:tc>
          <w:tcPr>
            <w:tcW w:w="0" w:type="auto"/>
            <w:shd w:val="clear" w:color="auto" w:fill="D9E2F3"/>
          </w:tcPr>
          <w:p w14:paraId="421010A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30%</w:t>
            </w:r>
          </w:p>
        </w:tc>
      </w:tr>
      <w:tr w:rsidR="002E44F9" w:rsidRPr="00D304CF" w14:paraId="1F0D624C"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52475C55"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Other Taxes</w:t>
            </w:r>
          </w:p>
        </w:tc>
        <w:tc>
          <w:tcPr>
            <w:tcW w:w="0" w:type="auto"/>
          </w:tcPr>
          <w:p w14:paraId="16AE043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w:t>
            </w:r>
          </w:p>
        </w:tc>
        <w:tc>
          <w:tcPr>
            <w:tcW w:w="0" w:type="auto"/>
          </w:tcPr>
          <w:p w14:paraId="2CE49BE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29,000</w:t>
            </w:r>
          </w:p>
        </w:tc>
        <w:tc>
          <w:tcPr>
            <w:tcW w:w="0" w:type="auto"/>
          </w:tcPr>
          <w:p w14:paraId="593ECD2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29,000</w:t>
            </w:r>
          </w:p>
        </w:tc>
        <w:tc>
          <w:tcPr>
            <w:tcW w:w="0" w:type="auto"/>
          </w:tcPr>
          <w:p w14:paraId="59514D3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p>
        </w:tc>
      </w:tr>
      <w:tr w:rsidR="002E44F9" w:rsidRPr="00D304CF" w14:paraId="0BDA046E"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5F80D37A" w14:textId="77777777" w:rsidR="002E44F9" w:rsidRPr="00D304CF" w:rsidRDefault="002E44F9" w:rsidP="006E4F32">
            <w:pPr>
              <w:rPr>
                <w:rFonts w:ascii="Baskerville Old Face" w:eastAsia="Times New Roman" w:hAnsi="Baskerville Old Face" w:cs="Calibri"/>
                <w:b w:val="0"/>
                <w:bCs w:val="0"/>
                <w:sz w:val="20"/>
                <w:szCs w:val="20"/>
                <w:lang w:val="en-GB"/>
              </w:rPr>
            </w:pPr>
            <w:r w:rsidRPr="00D304CF">
              <w:rPr>
                <w:rFonts w:ascii="Baskerville Old Face" w:eastAsia="Times New Roman" w:hAnsi="Baskerville Old Face" w:cs="Calibri"/>
                <w:sz w:val="20"/>
                <w:szCs w:val="20"/>
                <w:lang w:val="en-GB"/>
              </w:rPr>
              <w:t>Goods and Services Tax (GST)</w:t>
            </w:r>
          </w:p>
        </w:tc>
        <w:tc>
          <w:tcPr>
            <w:tcW w:w="0" w:type="auto"/>
            <w:shd w:val="clear" w:color="auto" w:fill="D9E2F3"/>
          </w:tcPr>
          <w:p w14:paraId="6C3DCF4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2,096,615</w:t>
            </w:r>
          </w:p>
        </w:tc>
        <w:tc>
          <w:tcPr>
            <w:tcW w:w="0" w:type="auto"/>
            <w:shd w:val="clear" w:color="auto" w:fill="D9E2F3"/>
          </w:tcPr>
          <w:p w14:paraId="1A46B0F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3,451,030</w:t>
            </w:r>
          </w:p>
        </w:tc>
        <w:tc>
          <w:tcPr>
            <w:tcW w:w="0" w:type="auto"/>
            <w:shd w:val="clear" w:color="auto" w:fill="D9E2F3"/>
          </w:tcPr>
          <w:p w14:paraId="24FFAE1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1,354,415</w:t>
            </w:r>
          </w:p>
        </w:tc>
        <w:tc>
          <w:tcPr>
            <w:tcW w:w="0" w:type="auto"/>
            <w:shd w:val="clear" w:color="auto" w:fill="D9E2F3"/>
          </w:tcPr>
          <w:p w14:paraId="7FC6E20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65%</w:t>
            </w:r>
          </w:p>
        </w:tc>
      </w:tr>
      <w:tr w:rsidR="002E44F9" w:rsidRPr="00D304CF" w14:paraId="7E233CCD"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45E8BA5D"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Import GST</w:t>
            </w:r>
          </w:p>
        </w:tc>
        <w:tc>
          <w:tcPr>
            <w:tcW w:w="0" w:type="auto"/>
          </w:tcPr>
          <w:p w14:paraId="0C4269C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1,094,276</w:t>
            </w:r>
          </w:p>
        </w:tc>
        <w:tc>
          <w:tcPr>
            <w:tcW w:w="0" w:type="auto"/>
          </w:tcPr>
          <w:p w14:paraId="6AE1225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1,968,781</w:t>
            </w:r>
          </w:p>
        </w:tc>
        <w:tc>
          <w:tcPr>
            <w:tcW w:w="0" w:type="auto"/>
          </w:tcPr>
          <w:p w14:paraId="59EFCAD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874,505</w:t>
            </w:r>
          </w:p>
        </w:tc>
        <w:tc>
          <w:tcPr>
            <w:tcW w:w="0" w:type="auto"/>
          </w:tcPr>
          <w:p w14:paraId="5F453C3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80%</w:t>
            </w:r>
          </w:p>
        </w:tc>
      </w:tr>
      <w:tr w:rsidR="002E44F9" w:rsidRPr="00D304CF" w14:paraId="357CA6D7"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28E0813B"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Domestic GST</w:t>
            </w:r>
          </w:p>
        </w:tc>
        <w:tc>
          <w:tcPr>
            <w:tcW w:w="0" w:type="auto"/>
            <w:shd w:val="clear" w:color="auto" w:fill="D9E2F3"/>
          </w:tcPr>
          <w:p w14:paraId="47CA788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1,002,340</w:t>
            </w:r>
          </w:p>
        </w:tc>
        <w:tc>
          <w:tcPr>
            <w:tcW w:w="0" w:type="auto"/>
            <w:shd w:val="clear" w:color="auto" w:fill="D9E2F3"/>
          </w:tcPr>
          <w:p w14:paraId="3D7F4A9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1,482,249</w:t>
            </w:r>
          </w:p>
        </w:tc>
        <w:tc>
          <w:tcPr>
            <w:tcW w:w="0" w:type="auto"/>
            <w:shd w:val="clear" w:color="auto" w:fill="D9E2F3"/>
          </w:tcPr>
          <w:p w14:paraId="575DFB8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479,909</w:t>
            </w:r>
          </w:p>
        </w:tc>
        <w:tc>
          <w:tcPr>
            <w:tcW w:w="0" w:type="auto"/>
            <w:shd w:val="clear" w:color="auto" w:fill="D9E2F3"/>
          </w:tcPr>
          <w:p w14:paraId="4B87D82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w:t>
            </w:r>
          </w:p>
        </w:tc>
      </w:tr>
      <w:tr w:rsidR="002E44F9" w:rsidRPr="00D304CF" w14:paraId="2F2943C5"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0A1948F2" w14:textId="77777777" w:rsidR="002E44F9" w:rsidRPr="00D304CF" w:rsidRDefault="002E44F9" w:rsidP="006E4F32">
            <w:pPr>
              <w:rPr>
                <w:rFonts w:ascii="Baskerville Old Face" w:eastAsia="Times New Roman" w:hAnsi="Baskerville Old Face" w:cs="Calibri"/>
                <w:b w:val="0"/>
                <w:bCs w:val="0"/>
                <w:sz w:val="20"/>
                <w:szCs w:val="20"/>
                <w:u w:val="single"/>
                <w:lang w:val="zh-CN"/>
              </w:rPr>
            </w:pPr>
            <w:r w:rsidRPr="00D304CF">
              <w:rPr>
                <w:rFonts w:ascii="Baskerville Old Face" w:eastAsia="Times New Roman" w:hAnsi="Baskerville Old Face" w:cs="Calibri"/>
                <w:sz w:val="20"/>
                <w:szCs w:val="20"/>
                <w:u w:val="single"/>
                <w:lang w:val="zh-CN"/>
              </w:rPr>
              <w:t>CUSTOMS SERVICE DEPARTMENT (CSD)</w:t>
            </w:r>
          </w:p>
        </w:tc>
        <w:tc>
          <w:tcPr>
            <w:tcW w:w="0" w:type="auto"/>
          </w:tcPr>
          <w:p w14:paraId="0710204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1,763,821</w:t>
            </w:r>
          </w:p>
        </w:tc>
        <w:tc>
          <w:tcPr>
            <w:tcW w:w="0" w:type="auto"/>
          </w:tcPr>
          <w:p w14:paraId="10B38F7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3,148,753</w:t>
            </w:r>
          </w:p>
        </w:tc>
        <w:tc>
          <w:tcPr>
            <w:tcW w:w="0" w:type="auto"/>
          </w:tcPr>
          <w:p w14:paraId="5392FD1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1,384,932</w:t>
            </w:r>
          </w:p>
        </w:tc>
        <w:tc>
          <w:tcPr>
            <w:tcW w:w="0" w:type="auto"/>
          </w:tcPr>
          <w:p w14:paraId="4903BAF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79%</w:t>
            </w:r>
          </w:p>
        </w:tc>
      </w:tr>
      <w:tr w:rsidR="002E44F9" w:rsidRPr="00D304CF" w14:paraId="05D442EE"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5D199775"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 xml:space="preserve"> Import Duties</w:t>
            </w:r>
          </w:p>
        </w:tc>
        <w:tc>
          <w:tcPr>
            <w:tcW w:w="0" w:type="auto"/>
            <w:shd w:val="clear" w:color="auto" w:fill="D9E2F3"/>
          </w:tcPr>
          <w:p w14:paraId="39D45AD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1,194,727</w:t>
            </w:r>
          </w:p>
        </w:tc>
        <w:tc>
          <w:tcPr>
            <w:tcW w:w="0" w:type="auto"/>
            <w:shd w:val="clear" w:color="auto" w:fill="D9E2F3"/>
          </w:tcPr>
          <w:p w14:paraId="22AEB7B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1,818,781</w:t>
            </w:r>
          </w:p>
        </w:tc>
        <w:tc>
          <w:tcPr>
            <w:tcW w:w="0" w:type="auto"/>
            <w:shd w:val="clear" w:color="auto" w:fill="D9E2F3"/>
          </w:tcPr>
          <w:p w14:paraId="23C9A7E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624,054</w:t>
            </w:r>
          </w:p>
        </w:tc>
        <w:tc>
          <w:tcPr>
            <w:tcW w:w="0" w:type="auto"/>
            <w:shd w:val="clear" w:color="auto" w:fill="D9E2F3"/>
          </w:tcPr>
          <w:p w14:paraId="0A3A9E3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52%</w:t>
            </w:r>
          </w:p>
        </w:tc>
      </w:tr>
      <w:tr w:rsidR="002E44F9" w:rsidRPr="00D304CF" w14:paraId="3431F85A"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3B18589D"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Excise on Petroleum</w:t>
            </w:r>
          </w:p>
        </w:tc>
        <w:tc>
          <w:tcPr>
            <w:tcW w:w="0" w:type="auto"/>
          </w:tcPr>
          <w:p w14:paraId="300C42B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466,284</w:t>
            </w:r>
          </w:p>
        </w:tc>
        <w:tc>
          <w:tcPr>
            <w:tcW w:w="0" w:type="auto"/>
          </w:tcPr>
          <w:p w14:paraId="6167815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1,065,094</w:t>
            </w:r>
          </w:p>
        </w:tc>
        <w:tc>
          <w:tcPr>
            <w:tcW w:w="0" w:type="auto"/>
          </w:tcPr>
          <w:p w14:paraId="5AD9451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598,810</w:t>
            </w:r>
          </w:p>
        </w:tc>
        <w:tc>
          <w:tcPr>
            <w:tcW w:w="0" w:type="auto"/>
          </w:tcPr>
          <w:p w14:paraId="5C3D3BF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128%</w:t>
            </w:r>
          </w:p>
        </w:tc>
      </w:tr>
      <w:tr w:rsidR="002E44F9" w:rsidRPr="00D304CF" w14:paraId="5EFDC52B"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7C116012"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Other Excise</w:t>
            </w:r>
          </w:p>
        </w:tc>
        <w:tc>
          <w:tcPr>
            <w:tcW w:w="0" w:type="auto"/>
            <w:shd w:val="clear" w:color="auto" w:fill="D9E2F3"/>
          </w:tcPr>
          <w:p w14:paraId="419F886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102,810</w:t>
            </w:r>
          </w:p>
        </w:tc>
        <w:tc>
          <w:tcPr>
            <w:tcW w:w="0" w:type="auto"/>
            <w:shd w:val="clear" w:color="auto" w:fill="D9E2F3"/>
          </w:tcPr>
          <w:p w14:paraId="2040A69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264,878</w:t>
            </w:r>
          </w:p>
        </w:tc>
        <w:tc>
          <w:tcPr>
            <w:tcW w:w="0" w:type="auto"/>
            <w:shd w:val="clear" w:color="auto" w:fill="D9E2F3"/>
          </w:tcPr>
          <w:p w14:paraId="6B44D50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162,069</w:t>
            </w:r>
          </w:p>
        </w:tc>
        <w:tc>
          <w:tcPr>
            <w:tcW w:w="0" w:type="auto"/>
            <w:shd w:val="clear" w:color="auto" w:fill="D9E2F3"/>
          </w:tcPr>
          <w:p w14:paraId="4AACB73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158%</w:t>
            </w:r>
          </w:p>
        </w:tc>
      </w:tr>
      <w:tr w:rsidR="002E44F9" w:rsidRPr="00D304CF" w14:paraId="2F73668D"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4881FD0E" w14:textId="77777777" w:rsidR="002E44F9" w:rsidRPr="00D304CF" w:rsidRDefault="002E44F9" w:rsidP="006E4F32">
            <w:pPr>
              <w:rPr>
                <w:rFonts w:ascii="Baskerville Old Face" w:eastAsia="Times New Roman" w:hAnsi="Baskerville Old Face" w:cs="Calibri"/>
                <w:b w:val="0"/>
                <w:bCs w:val="0"/>
                <w:sz w:val="20"/>
                <w:szCs w:val="20"/>
                <w:u w:val="single"/>
                <w:lang w:val="zh-CN"/>
              </w:rPr>
            </w:pPr>
            <w:r w:rsidRPr="00D304CF">
              <w:rPr>
                <w:rFonts w:ascii="Baskerville Old Face" w:eastAsia="Times New Roman" w:hAnsi="Baskerville Old Face" w:cs="Calibri"/>
                <w:sz w:val="20"/>
                <w:szCs w:val="20"/>
                <w:u w:val="single"/>
                <w:lang w:val="zh-CN"/>
              </w:rPr>
              <w:t>NON TAX REVENUE DEPARTMENT (NTR)</w:t>
            </w:r>
          </w:p>
        </w:tc>
        <w:tc>
          <w:tcPr>
            <w:tcW w:w="0" w:type="auto"/>
          </w:tcPr>
          <w:p w14:paraId="3DD5D44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2,042,234</w:t>
            </w:r>
          </w:p>
        </w:tc>
        <w:tc>
          <w:tcPr>
            <w:tcW w:w="0" w:type="auto"/>
          </w:tcPr>
          <w:p w14:paraId="4F3DB1F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2,884,318</w:t>
            </w:r>
          </w:p>
        </w:tc>
        <w:tc>
          <w:tcPr>
            <w:tcW w:w="0" w:type="auto"/>
          </w:tcPr>
          <w:p w14:paraId="0CE1021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842,084</w:t>
            </w:r>
          </w:p>
        </w:tc>
        <w:tc>
          <w:tcPr>
            <w:tcW w:w="0" w:type="auto"/>
          </w:tcPr>
          <w:p w14:paraId="2F1ABA8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41%</w:t>
            </w:r>
          </w:p>
        </w:tc>
      </w:tr>
      <w:tr w:rsidR="002E44F9" w:rsidRPr="00D304CF" w14:paraId="1DB10F5D"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7931F2F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Mines Revenue</w:t>
            </w:r>
          </w:p>
        </w:tc>
        <w:tc>
          <w:tcPr>
            <w:tcW w:w="0" w:type="auto"/>
            <w:shd w:val="clear" w:color="auto" w:fill="D9E2F3"/>
          </w:tcPr>
          <w:p w14:paraId="0C4282A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671,472</w:t>
            </w:r>
          </w:p>
        </w:tc>
        <w:tc>
          <w:tcPr>
            <w:tcW w:w="0" w:type="auto"/>
            <w:shd w:val="clear" w:color="auto" w:fill="D9E2F3"/>
          </w:tcPr>
          <w:p w14:paraId="6E9A74C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856,570</w:t>
            </w:r>
          </w:p>
        </w:tc>
        <w:tc>
          <w:tcPr>
            <w:tcW w:w="0" w:type="auto"/>
            <w:shd w:val="clear" w:color="auto" w:fill="D9E2F3"/>
          </w:tcPr>
          <w:p w14:paraId="367E5CF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185,098</w:t>
            </w:r>
          </w:p>
        </w:tc>
        <w:tc>
          <w:tcPr>
            <w:tcW w:w="0" w:type="auto"/>
            <w:shd w:val="clear" w:color="auto" w:fill="D9E2F3"/>
          </w:tcPr>
          <w:p w14:paraId="28C160F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28%</w:t>
            </w:r>
          </w:p>
        </w:tc>
      </w:tr>
      <w:tr w:rsidR="002E44F9" w:rsidRPr="00D304CF" w14:paraId="7D9A0463"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CA72865"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Royalty on Rutile</w:t>
            </w:r>
          </w:p>
        </w:tc>
        <w:tc>
          <w:tcPr>
            <w:tcW w:w="0" w:type="auto"/>
          </w:tcPr>
          <w:p w14:paraId="23C57AB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30,434</w:t>
            </w:r>
          </w:p>
        </w:tc>
        <w:tc>
          <w:tcPr>
            <w:tcW w:w="0" w:type="auto"/>
          </w:tcPr>
          <w:p w14:paraId="6A01980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15,540</w:t>
            </w:r>
          </w:p>
        </w:tc>
        <w:tc>
          <w:tcPr>
            <w:tcW w:w="0" w:type="auto"/>
          </w:tcPr>
          <w:p w14:paraId="5A31D3FA"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(14,894)</w:t>
            </w:r>
          </w:p>
        </w:tc>
        <w:tc>
          <w:tcPr>
            <w:tcW w:w="0" w:type="auto"/>
          </w:tcPr>
          <w:p w14:paraId="449E07B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-49%</w:t>
            </w:r>
          </w:p>
        </w:tc>
      </w:tr>
      <w:tr w:rsidR="002E44F9" w:rsidRPr="00D304CF" w14:paraId="658E0A2E"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18A74A2B"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Royalty on Bauxite</w:t>
            </w:r>
          </w:p>
        </w:tc>
        <w:tc>
          <w:tcPr>
            <w:tcW w:w="0" w:type="auto"/>
            <w:shd w:val="clear" w:color="auto" w:fill="D9E2F3"/>
          </w:tcPr>
          <w:p w14:paraId="64D5255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4,560</w:t>
            </w:r>
          </w:p>
        </w:tc>
        <w:tc>
          <w:tcPr>
            <w:tcW w:w="0" w:type="auto"/>
            <w:shd w:val="clear" w:color="auto" w:fill="D9E2F3"/>
          </w:tcPr>
          <w:p w14:paraId="6007678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22,031</w:t>
            </w:r>
          </w:p>
        </w:tc>
        <w:tc>
          <w:tcPr>
            <w:tcW w:w="0" w:type="auto"/>
            <w:shd w:val="clear" w:color="auto" w:fill="D9E2F3"/>
          </w:tcPr>
          <w:p w14:paraId="171AB05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17,472</w:t>
            </w:r>
          </w:p>
        </w:tc>
        <w:tc>
          <w:tcPr>
            <w:tcW w:w="0" w:type="auto"/>
            <w:shd w:val="clear" w:color="auto" w:fill="D9E2F3"/>
          </w:tcPr>
          <w:p w14:paraId="75EB790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383%</w:t>
            </w:r>
          </w:p>
        </w:tc>
      </w:tr>
      <w:tr w:rsidR="002E44F9" w:rsidRPr="00D304CF" w14:paraId="174D125F"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1529796E"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en-GB"/>
              </w:rPr>
            </w:pPr>
            <w:r w:rsidRPr="00D304CF">
              <w:rPr>
                <w:rFonts w:ascii="Baskerville Old Face" w:eastAsia="Times New Roman" w:hAnsi="Baskerville Old Face" w:cs="Calibri"/>
                <w:i/>
                <w:iCs/>
                <w:sz w:val="20"/>
                <w:szCs w:val="20"/>
                <w:lang w:val="en-GB"/>
              </w:rPr>
              <w:t>Royalties on Diamond and Gold</w:t>
            </w:r>
          </w:p>
        </w:tc>
        <w:tc>
          <w:tcPr>
            <w:tcW w:w="0" w:type="auto"/>
          </w:tcPr>
          <w:p w14:paraId="732427F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157,500</w:t>
            </w:r>
          </w:p>
        </w:tc>
        <w:tc>
          <w:tcPr>
            <w:tcW w:w="0" w:type="auto"/>
          </w:tcPr>
          <w:p w14:paraId="4D1DC84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257,204</w:t>
            </w:r>
          </w:p>
        </w:tc>
        <w:tc>
          <w:tcPr>
            <w:tcW w:w="0" w:type="auto"/>
          </w:tcPr>
          <w:p w14:paraId="0A9949C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99,704</w:t>
            </w:r>
          </w:p>
        </w:tc>
        <w:tc>
          <w:tcPr>
            <w:tcW w:w="0" w:type="auto"/>
          </w:tcPr>
          <w:p w14:paraId="35AF0B3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63%</w:t>
            </w:r>
          </w:p>
        </w:tc>
      </w:tr>
      <w:tr w:rsidR="002E44F9" w:rsidRPr="00D304CF" w14:paraId="20C7C64C"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02C68980"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 xml:space="preserve">Royalty on Iron Ore </w:t>
            </w:r>
          </w:p>
        </w:tc>
        <w:tc>
          <w:tcPr>
            <w:tcW w:w="0" w:type="auto"/>
            <w:shd w:val="clear" w:color="auto" w:fill="D9E2F3"/>
          </w:tcPr>
          <w:p w14:paraId="1595B5D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263,880</w:t>
            </w:r>
          </w:p>
        </w:tc>
        <w:tc>
          <w:tcPr>
            <w:tcW w:w="0" w:type="auto"/>
            <w:shd w:val="clear" w:color="auto" w:fill="D9E2F3"/>
          </w:tcPr>
          <w:p w14:paraId="2B6CBCE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330,744</w:t>
            </w:r>
          </w:p>
        </w:tc>
        <w:tc>
          <w:tcPr>
            <w:tcW w:w="0" w:type="auto"/>
            <w:shd w:val="clear" w:color="auto" w:fill="D9E2F3"/>
          </w:tcPr>
          <w:p w14:paraId="0597368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66,864</w:t>
            </w:r>
          </w:p>
        </w:tc>
        <w:tc>
          <w:tcPr>
            <w:tcW w:w="0" w:type="auto"/>
            <w:shd w:val="clear" w:color="auto" w:fill="D9E2F3"/>
          </w:tcPr>
          <w:p w14:paraId="15134EE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25%</w:t>
            </w:r>
          </w:p>
        </w:tc>
      </w:tr>
      <w:tr w:rsidR="002E44F9" w:rsidRPr="00D304CF" w14:paraId="1658EA6B"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2B0F102D" w14:textId="77777777" w:rsidR="002E44F9" w:rsidRPr="00D304CF" w:rsidRDefault="002E44F9" w:rsidP="006E4F32">
            <w:pPr>
              <w:ind w:firstLineChars="100" w:firstLine="201"/>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Licences</w:t>
            </w:r>
          </w:p>
        </w:tc>
        <w:tc>
          <w:tcPr>
            <w:tcW w:w="0" w:type="auto"/>
          </w:tcPr>
          <w:p w14:paraId="7BEC5B8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215,100</w:t>
            </w:r>
          </w:p>
        </w:tc>
        <w:tc>
          <w:tcPr>
            <w:tcW w:w="0" w:type="auto"/>
          </w:tcPr>
          <w:p w14:paraId="358000F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231,051</w:t>
            </w:r>
          </w:p>
        </w:tc>
        <w:tc>
          <w:tcPr>
            <w:tcW w:w="0" w:type="auto"/>
          </w:tcPr>
          <w:p w14:paraId="0AB1E31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15,952</w:t>
            </w:r>
          </w:p>
        </w:tc>
        <w:tc>
          <w:tcPr>
            <w:tcW w:w="0" w:type="auto"/>
          </w:tcPr>
          <w:p w14:paraId="6562B22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w:t>
            </w:r>
          </w:p>
        </w:tc>
      </w:tr>
      <w:tr w:rsidR="002E44F9" w:rsidRPr="00D304CF" w14:paraId="007DB693"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6C25CE74"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Other Departments</w:t>
            </w:r>
          </w:p>
        </w:tc>
        <w:tc>
          <w:tcPr>
            <w:tcW w:w="0" w:type="auto"/>
            <w:shd w:val="clear" w:color="auto" w:fill="D9E2F3"/>
          </w:tcPr>
          <w:p w14:paraId="016E323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1,370,761</w:t>
            </w:r>
          </w:p>
        </w:tc>
        <w:tc>
          <w:tcPr>
            <w:tcW w:w="0" w:type="auto"/>
            <w:shd w:val="clear" w:color="auto" w:fill="D9E2F3"/>
          </w:tcPr>
          <w:p w14:paraId="7B88A45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2,027,748</w:t>
            </w:r>
          </w:p>
        </w:tc>
        <w:tc>
          <w:tcPr>
            <w:tcW w:w="0" w:type="auto"/>
            <w:shd w:val="clear" w:color="auto" w:fill="D9E2F3"/>
          </w:tcPr>
          <w:p w14:paraId="4414B6C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656,987</w:t>
            </w:r>
          </w:p>
        </w:tc>
        <w:tc>
          <w:tcPr>
            <w:tcW w:w="0" w:type="auto"/>
            <w:shd w:val="clear" w:color="auto" w:fill="D9E2F3"/>
          </w:tcPr>
          <w:p w14:paraId="69B5DA1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48%</w:t>
            </w:r>
          </w:p>
        </w:tc>
      </w:tr>
      <w:tr w:rsidR="002E44F9" w:rsidRPr="00D304CF" w14:paraId="27537E4A"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71D1DAAC"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 xml:space="preserve"> Royalty on Fisheries etc</w:t>
            </w:r>
          </w:p>
        </w:tc>
        <w:tc>
          <w:tcPr>
            <w:tcW w:w="0" w:type="auto"/>
          </w:tcPr>
          <w:p w14:paraId="1ABEFE4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118,151</w:t>
            </w:r>
          </w:p>
        </w:tc>
        <w:tc>
          <w:tcPr>
            <w:tcW w:w="0" w:type="auto"/>
          </w:tcPr>
          <w:p w14:paraId="2C2EEB73"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223,559</w:t>
            </w:r>
          </w:p>
        </w:tc>
        <w:tc>
          <w:tcPr>
            <w:tcW w:w="0" w:type="auto"/>
          </w:tcPr>
          <w:p w14:paraId="1F0B70F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105,408</w:t>
            </w:r>
          </w:p>
        </w:tc>
        <w:tc>
          <w:tcPr>
            <w:tcW w:w="0" w:type="auto"/>
          </w:tcPr>
          <w:p w14:paraId="14F8C969"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89%</w:t>
            </w:r>
          </w:p>
        </w:tc>
      </w:tr>
      <w:tr w:rsidR="002E44F9" w:rsidRPr="00D304CF" w14:paraId="253C8C22"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492098C0"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Parastatals (Cargo Tracking 2023)</w:t>
            </w:r>
          </w:p>
        </w:tc>
        <w:tc>
          <w:tcPr>
            <w:tcW w:w="0" w:type="auto"/>
            <w:shd w:val="clear" w:color="auto" w:fill="D9E2F3"/>
          </w:tcPr>
          <w:p w14:paraId="0290DC9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312,400</w:t>
            </w:r>
          </w:p>
        </w:tc>
        <w:tc>
          <w:tcPr>
            <w:tcW w:w="0" w:type="auto"/>
            <w:shd w:val="clear" w:color="auto" w:fill="D9E2F3"/>
          </w:tcPr>
          <w:p w14:paraId="0A6C24D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154,402</w:t>
            </w:r>
          </w:p>
        </w:tc>
        <w:tc>
          <w:tcPr>
            <w:tcW w:w="0" w:type="auto"/>
            <w:shd w:val="clear" w:color="auto" w:fill="D9E2F3"/>
          </w:tcPr>
          <w:p w14:paraId="71CF041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(157,998)</w:t>
            </w:r>
          </w:p>
        </w:tc>
        <w:tc>
          <w:tcPr>
            <w:tcW w:w="0" w:type="auto"/>
            <w:shd w:val="clear" w:color="auto" w:fill="D9E2F3"/>
          </w:tcPr>
          <w:p w14:paraId="2DDD7E2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-51%</w:t>
            </w:r>
          </w:p>
        </w:tc>
      </w:tr>
      <w:tr w:rsidR="002E44F9" w:rsidRPr="00D304CF" w14:paraId="2E347A5C"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1ED8CD85"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Other Revenues</w:t>
            </w:r>
          </w:p>
        </w:tc>
        <w:tc>
          <w:tcPr>
            <w:tcW w:w="0" w:type="auto"/>
          </w:tcPr>
          <w:p w14:paraId="7E5120A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940,210</w:t>
            </w:r>
          </w:p>
        </w:tc>
        <w:tc>
          <w:tcPr>
            <w:tcW w:w="0" w:type="auto"/>
          </w:tcPr>
          <w:p w14:paraId="095DE556"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1,649,787</w:t>
            </w:r>
          </w:p>
        </w:tc>
        <w:tc>
          <w:tcPr>
            <w:tcW w:w="0" w:type="auto"/>
          </w:tcPr>
          <w:p w14:paraId="7233B8BB"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709,577</w:t>
            </w:r>
          </w:p>
        </w:tc>
        <w:tc>
          <w:tcPr>
            <w:tcW w:w="0" w:type="auto"/>
          </w:tcPr>
          <w:p w14:paraId="4542C961"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75%</w:t>
            </w:r>
          </w:p>
        </w:tc>
      </w:tr>
      <w:tr w:rsidR="002E44F9" w:rsidRPr="00D304CF" w14:paraId="15AC97E4"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2E46F962" w14:textId="77777777" w:rsidR="002E44F9" w:rsidRPr="00D304CF" w:rsidRDefault="002E44F9" w:rsidP="006E4F32">
            <w:pPr>
              <w:rPr>
                <w:rFonts w:ascii="Baskerville Old Face" w:eastAsia="Times New Roman" w:hAnsi="Baskerville Old Face" w:cs="Calibri"/>
                <w:b w:val="0"/>
                <w:bCs w:val="0"/>
                <w:i/>
                <w:iCs/>
                <w:sz w:val="20"/>
                <w:szCs w:val="20"/>
                <w:lang w:val="en-GB"/>
              </w:rPr>
            </w:pPr>
            <w:r w:rsidRPr="00D304CF">
              <w:rPr>
                <w:rFonts w:ascii="Baskerville Old Face" w:eastAsia="Times New Roman" w:hAnsi="Baskerville Old Face" w:cs="Calibri"/>
                <w:i/>
                <w:iCs/>
                <w:sz w:val="20"/>
                <w:szCs w:val="20"/>
                <w:lang w:val="en-GB"/>
              </w:rPr>
              <w:t>o/w TSA (</w:t>
            </w:r>
            <w:proofErr w:type="spellStart"/>
            <w:r w:rsidRPr="00D304CF">
              <w:rPr>
                <w:rFonts w:ascii="Baskerville Old Face" w:eastAsia="Times New Roman" w:hAnsi="Baskerville Old Face" w:cs="Calibri"/>
                <w:i/>
                <w:iCs/>
                <w:sz w:val="20"/>
                <w:szCs w:val="20"/>
                <w:lang w:val="en-GB"/>
              </w:rPr>
              <w:t>incl</w:t>
            </w:r>
            <w:proofErr w:type="spellEnd"/>
            <w:r w:rsidRPr="00D304CF">
              <w:rPr>
                <w:rFonts w:ascii="Baskerville Old Face" w:eastAsia="Times New Roman" w:hAnsi="Baskerville Old Face" w:cs="Calibri"/>
                <w:i/>
                <w:iCs/>
                <w:sz w:val="20"/>
                <w:szCs w:val="20"/>
                <w:lang w:val="en-GB"/>
              </w:rPr>
              <w:t xml:space="preserve"> Cargo </w:t>
            </w:r>
            <w:proofErr w:type="spellStart"/>
            <w:r w:rsidRPr="00D304CF">
              <w:rPr>
                <w:rFonts w:ascii="Baskerville Old Face" w:eastAsia="Times New Roman" w:hAnsi="Baskerville Old Face" w:cs="Calibri"/>
                <w:i/>
                <w:iCs/>
                <w:sz w:val="20"/>
                <w:szCs w:val="20"/>
                <w:lang w:val="en-GB"/>
              </w:rPr>
              <w:t>Trking</w:t>
            </w:r>
            <w:proofErr w:type="spellEnd"/>
            <w:r w:rsidRPr="00D304CF">
              <w:rPr>
                <w:rFonts w:ascii="Baskerville Old Face" w:eastAsia="Times New Roman" w:hAnsi="Baskerville Old Face" w:cs="Calibri"/>
                <w:i/>
                <w:iCs/>
                <w:sz w:val="20"/>
                <w:szCs w:val="20"/>
                <w:lang w:val="en-GB"/>
              </w:rPr>
              <w:t xml:space="preserve"> 2024)</w:t>
            </w:r>
          </w:p>
        </w:tc>
        <w:tc>
          <w:tcPr>
            <w:tcW w:w="0" w:type="auto"/>
            <w:shd w:val="clear" w:color="auto" w:fill="D9E2F3"/>
          </w:tcPr>
          <w:p w14:paraId="73D9F5E5"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827,107</w:t>
            </w:r>
          </w:p>
        </w:tc>
        <w:tc>
          <w:tcPr>
            <w:tcW w:w="0" w:type="auto"/>
            <w:shd w:val="clear" w:color="auto" w:fill="D9E2F3"/>
          </w:tcPr>
          <w:p w14:paraId="0BBB557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1,338,309</w:t>
            </w:r>
          </w:p>
        </w:tc>
        <w:tc>
          <w:tcPr>
            <w:tcW w:w="0" w:type="auto"/>
            <w:shd w:val="clear" w:color="auto" w:fill="D9E2F3"/>
          </w:tcPr>
          <w:p w14:paraId="2CCA991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511,202</w:t>
            </w:r>
          </w:p>
        </w:tc>
        <w:tc>
          <w:tcPr>
            <w:tcW w:w="0" w:type="auto"/>
            <w:shd w:val="clear" w:color="auto" w:fill="D9E2F3"/>
          </w:tcPr>
          <w:p w14:paraId="735EC4B0"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62%</w:t>
            </w:r>
          </w:p>
        </w:tc>
      </w:tr>
      <w:tr w:rsidR="002E44F9" w:rsidRPr="00D304CF" w14:paraId="7B384A21" w14:textId="77777777" w:rsidTr="006E4F32">
        <w:trPr>
          <w:trHeight w:val="308"/>
        </w:trPr>
        <w:tc>
          <w:tcPr>
            <w:cnfStyle w:val="001000000000" w:firstRow="0" w:lastRow="0" w:firstColumn="1" w:lastColumn="0" w:oddVBand="0" w:evenVBand="0" w:oddHBand="0" w:evenHBand="0" w:firstRowFirstColumn="0" w:firstRowLastColumn="0" w:lastRowFirstColumn="0" w:lastRowLastColumn="0"/>
            <w:tcW w:w="0" w:type="auto"/>
            <w:noWrap/>
          </w:tcPr>
          <w:p w14:paraId="194BB45C"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o/w Timber</w:t>
            </w:r>
          </w:p>
        </w:tc>
        <w:tc>
          <w:tcPr>
            <w:tcW w:w="0" w:type="auto"/>
          </w:tcPr>
          <w:p w14:paraId="0852FF8C"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17,858</w:t>
            </w:r>
          </w:p>
        </w:tc>
        <w:tc>
          <w:tcPr>
            <w:tcW w:w="0" w:type="auto"/>
          </w:tcPr>
          <w:p w14:paraId="7322545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w:t>
            </w:r>
          </w:p>
        </w:tc>
        <w:tc>
          <w:tcPr>
            <w:tcW w:w="0" w:type="auto"/>
          </w:tcPr>
          <w:p w14:paraId="070A1CB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(17,858)</w:t>
            </w:r>
          </w:p>
        </w:tc>
        <w:tc>
          <w:tcPr>
            <w:tcW w:w="0" w:type="auto"/>
          </w:tcPr>
          <w:p w14:paraId="29FD732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-100%</w:t>
            </w:r>
          </w:p>
        </w:tc>
      </w:tr>
      <w:tr w:rsidR="002E44F9" w:rsidRPr="00D304CF" w14:paraId="22753FE7"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9E2F3"/>
            <w:noWrap/>
          </w:tcPr>
          <w:p w14:paraId="3980CA73" w14:textId="77777777" w:rsidR="002E44F9" w:rsidRPr="00D304CF" w:rsidRDefault="002E44F9" w:rsidP="006E4F32">
            <w:pPr>
              <w:rPr>
                <w:rFonts w:ascii="Baskerville Old Face" w:eastAsia="Times New Roman" w:hAnsi="Baskerville Old Face" w:cs="Calibri"/>
                <w:b w:val="0"/>
                <w:bCs w:val="0"/>
                <w:i/>
                <w:iCs/>
                <w:sz w:val="20"/>
                <w:szCs w:val="20"/>
                <w:lang w:val="zh-CN"/>
              </w:rPr>
            </w:pPr>
            <w:r w:rsidRPr="00D304CF">
              <w:rPr>
                <w:rFonts w:ascii="Baskerville Old Face" w:eastAsia="Times New Roman" w:hAnsi="Baskerville Old Face" w:cs="Calibri"/>
                <w:i/>
                <w:iCs/>
                <w:sz w:val="20"/>
                <w:szCs w:val="20"/>
                <w:lang w:val="zh-CN"/>
              </w:rPr>
              <w:t>o/w Other MDAs</w:t>
            </w:r>
          </w:p>
        </w:tc>
        <w:tc>
          <w:tcPr>
            <w:tcW w:w="0" w:type="auto"/>
            <w:shd w:val="clear" w:color="auto" w:fill="D9E2F3"/>
          </w:tcPr>
          <w:p w14:paraId="1CE37E5D"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95,245</w:t>
            </w:r>
          </w:p>
        </w:tc>
        <w:tc>
          <w:tcPr>
            <w:tcW w:w="0" w:type="auto"/>
            <w:shd w:val="clear" w:color="auto" w:fill="D9E2F3"/>
          </w:tcPr>
          <w:p w14:paraId="5E736E6E"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i/>
                <w:iCs/>
                <w:sz w:val="20"/>
                <w:szCs w:val="20"/>
                <w:lang w:val="zh-CN"/>
              </w:rPr>
            </w:pPr>
            <w:r w:rsidRPr="00D304CF">
              <w:rPr>
                <w:rFonts w:ascii="Baskerville Old Face" w:eastAsia="Times New Roman" w:hAnsi="Baskerville Old Face" w:cs="Calibri"/>
                <w:b/>
                <w:bCs/>
                <w:i/>
                <w:iCs/>
                <w:sz w:val="20"/>
                <w:szCs w:val="20"/>
                <w:lang w:val="zh-CN"/>
              </w:rPr>
              <w:t>311,478</w:t>
            </w:r>
          </w:p>
        </w:tc>
        <w:tc>
          <w:tcPr>
            <w:tcW w:w="0" w:type="auto"/>
            <w:shd w:val="clear" w:color="auto" w:fill="D9E2F3"/>
          </w:tcPr>
          <w:p w14:paraId="0D605817"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216,234</w:t>
            </w:r>
          </w:p>
        </w:tc>
        <w:tc>
          <w:tcPr>
            <w:tcW w:w="0" w:type="auto"/>
            <w:shd w:val="clear" w:color="auto" w:fill="D9E2F3"/>
          </w:tcPr>
          <w:p w14:paraId="442033E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227%</w:t>
            </w:r>
          </w:p>
        </w:tc>
      </w:tr>
      <w:tr w:rsidR="002E44F9" w:rsidRPr="00D304CF" w14:paraId="605A7F10" w14:textId="77777777" w:rsidTr="006E4F32">
        <w:trPr>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07213FDD" w14:textId="77777777" w:rsidR="002E44F9" w:rsidRPr="00D304CF" w:rsidRDefault="002E44F9" w:rsidP="006E4F32">
            <w:pPr>
              <w:rPr>
                <w:rFonts w:ascii="Baskerville Old Face" w:eastAsia="Times New Roman" w:hAnsi="Baskerville Old Face" w:cs="Calibri"/>
                <w:b w:val="0"/>
                <w:bCs w:val="0"/>
                <w:sz w:val="20"/>
                <w:szCs w:val="20"/>
                <w:lang w:val="zh-CN"/>
              </w:rPr>
            </w:pPr>
            <w:r w:rsidRPr="00D304CF">
              <w:rPr>
                <w:rFonts w:ascii="Baskerville Old Face" w:eastAsia="Times New Roman" w:hAnsi="Baskerville Old Face" w:cs="Calibri"/>
                <w:sz w:val="20"/>
                <w:szCs w:val="20"/>
                <w:lang w:val="zh-CN"/>
              </w:rPr>
              <w:t>RUC</w:t>
            </w:r>
          </w:p>
        </w:tc>
        <w:tc>
          <w:tcPr>
            <w:tcW w:w="0" w:type="auto"/>
          </w:tcPr>
          <w:p w14:paraId="219BA494"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206,669</w:t>
            </w:r>
          </w:p>
        </w:tc>
        <w:tc>
          <w:tcPr>
            <w:tcW w:w="0" w:type="auto"/>
          </w:tcPr>
          <w:p w14:paraId="6B058A72"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129,343</w:t>
            </w:r>
          </w:p>
        </w:tc>
        <w:tc>
          <w:tcPr>
            <w:tcW w:w="0" w:type="auto"/>
          </w:tcPr>
          <w:p w14:paraId="4E9D1898"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(77,326)</w:t>
            </w:r>
          </w:p>
        </w:tc>
        <w:tc>
          <w:tcPr>
            <w:tcW w:w="0" w:type="auto"/>
          </w:tcPr>
          <w:p w14:paraId="7BC56FAF" w14:textId="77777777" w:rsidR="002E44F9" w:rsidRPr="00D304CF" w:rsidRDefault="002E44F9" w:rsidP="006E4F32">
            <w:pPr>
              <w:jc w:val="center"/>
              <w:cnfStyle w:val="000000000000" w:firstRow="0" w:lastRow="0" w:firstColumn="0" w:lastColumn="0" w:oddVBand="0" w:evenVBand="0" w:oddHBand="0" w:evenHBand="0" w:firstRowFirstColumn="0" w:firstRowLastColumn="0" w:lastRowFirstColumn="0" w:lastRowLastColumn="0"/>
              <w:rPr>
                <w:rFonts w:ascii="Baskerville Old Face" w:eastAsia="Times New Roman" w:hAnsi="Baskerville Old Face" w:cs="Calibri"/>
                <w:b/>
                <w:bCs/>
                <w:sz w:val="20"/>
                <w:szCs w:val="20"/>
                <w:lang w:val="zh-CN"/>
              </w:rPr>
            </w:pPr>
            <w:r w:rsidRPr="00D304CF">
              <w:rPr>
                <w:rFonts w:ascii="Baskerville Old Face" w:eastAsia="Times New Roman" w:hAnsi="Baskerville Old Face" w:cs="Calibri"/>
                <w:b/>
                <w:bCs/>
                <w:sz w:val="20"/>
                <w:szCs w:val="20"/>
                <w:lang w:val="zh-CN"/>
              </w:rPr>
              <w:t>-37%</w:t>
            </w:r>
          </w:p>
        </w:tc>
      </w:tr>
    </w:tbl>
    <w:p w14:paraId="0AC977A3" w14:textId="77777777" w:rsidR="002E44F9" w:rsidRPr="00D304CF" w:rsidRDefault="002E44F9" w:rsidP="002E44F9">
      <w:pPr>
        <w:jc w:val="both"/>
        <w:rPr>
          <w:rFonts w:ascii="Baskerville Old Face" w:eastAsia="DengXian" w:hAnsi="Baskerville Old Face" w:cs="Arial"/>
          <w:kern w:val="0"/>
          <w:sz w:val="24"/>
          <w:szCs w:val="24"/>
          <w:lang w:val="en-GB"/>
          <w14:ligatures w14:val="none"/>
        </w:rPr>
      </w:pPr>
    </w:p>
    <w:p w14:paraId="6DFF4E20" w14:textId="1FBD975F" w:rsidR="002E44F9" w:rsidRPr="00D304CF" w:rsidRDefault="002E44F9" w:rsidP="002E44F9">
      <w:p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The Domestic Tax Department (DTD) is targeted to collect NLe8.8 billion (representing 59%), Customs Service Department (CSD) to collect NLe3.1 billion (representing 21%), and NTR to collect NLe2.9 billion (representing 19.1%) of the total 2024 Domestic Revenue Target</w:t>
      </w:r>
      <w:r w:rsidR="008623AA">
        <w:rPr>
          <w:rFonts w:ascii="Baskerville Old Face" w:eastAsia="DengXian" w:hAnsi="Baskerville Old Face" w:cs="Arial"/>
          <w:kern w:val="0"/>
          <w:sz w:val="24"/>
          <w:szCs w:val="24"/>
          <w:lang w:val="en-GB"/>
          <w14:ligatures w14:val="none"/>
        </w:rPr>
        <w:t xml:space="preserve"> (Table 33)</w:t>
      </w:r>
      <w:r w:rsidRPr="00D304CF">
        <w:rPr>
          <w:rFonts w:ascii="Baskerville Old Face" w:eastAsia="DengXian" w:hAnsi="Baskerville Old Face" w:cs="Arial"/>
          <w:kern w:val="0"/>
          <w:sz w:val="24"/>
          <w:szCs w:val="24"/>
          <w:lang w:val="en-GB"/>
          <w14:ligatures w14:val="none"/>
        </w:rPr>
        <w:t xml:space="preserve">. Collection from Road User Charges (RUC) is estimated at NLe129 million (about 0.9% of total 2024 domestic revenue collection).  </w:t>
      </w:r>
    </w:p>
    <w:p w14:paraId="76651E61" w14:textId="77777777" w:rsidR="002E44F9" w:rsidRDefault="002E44F9" w:rsidP="002E44F9">
      <w:pPr>
        <w:jc w:val="both"/>
        <w:rPr>
          <w:rFonts w:ascii="Baskerville Old Face" w:eastAsia="DengXian" w:hAnsi="Baskerville Old Face" w:cs="Arial"/>
          <w:kern w:val="0"/>
          <w:sz w:val="24"/>
          <w:szCs w:val="24"/>
          <w:lang w:val="en-GB"/>
          <w14:ligatures w14:val="none"/>
        </w:rPr>
      </w:pPr>
    </w:p>
    <w:p w14:paraId="15661687" w14:textId="77777777" w:rsidR="00A6675A" w:rsidRPr="00D304CF" w:rsidRDefault="00A6675A" w:rsidP="002E44F9">
      <w:pPr>
        <w:jc w:val="both"/>
        <w:rPr>
          <w:rFonts w:ascii="Baskerville Old Face" w:eastAsia="DengXian" w:hAnsi="Baskerville Old Face" w:cs="Arial"/>
          <w:kern w:val="0"/>
          <w:sz w:val="24"/>
          <w:szCs w:val="24"/>
          <w:lang w:val="en-GB"/>
          <w14:ligatures w14:val="none"/>
        </w:rPr>
      </w:pPr>
    </w:p>
    <w:p w14:paraId="204B59B7" w14:textId="7506BF65" w:rsidR="002E44F9" w:rsidRPr="00D304CF" w:rsidRDefault="002E44F9" w:rsidP="002E44F9">
      <w:pPr>
        <w:jc w:val="both"/>
        <w:rPr>
          <w:rFonts w:ascii="Baskerville Old Face" w:eastAsia="DengXian" w:hAnsi="Baskerville Old Face" w:cs="Arial"/>
          <w:b/>
          <w:bCs/>
          <w:color w:val="00B0F0"/>
          <w:kern w:val="0"/>
          <w:sz w:val="24"/>
          <w:szCs w:val="24"/>
          <w:lang w:val="en-GB"/>
          <w14:ligatures w14:val="none"/>
        </w:rPr>
      </w:pPr>
      <w:r>
        <w:rPr>
          <w:rFonts w:ascii="Baskerville Old Face" w:eastAsia="DengXian" w:hAnsi="Baskerville Old Face" w:cs="Arial"/>
          <w:b/>
          <w:bCs/>
          <w:color w:val="00B0F0"/>
          <w:kern w:val="0"/>
          <w:sz w:val="24"/>
          <w:szCs w:val="24"/>
          <w:lang w:val="en-GB"/>
          <w14:ligatures w14:val="none"/>
        </w:rPr>
        <w:lastRenderedPageBreak/>
        <w:t>5</w:t>
      </w:r>
      <w:r w:rsidRPr="00F85140">
        <w:rPr>
          <w:rFonts w:ascii="Baskerville Old Face" w:eastAsia="DengXian" w:hAnsi="Baskerville Old Face" w:cs="Arial"/>
          <w:b/>
          <w:bCs/>
          <w:color w:val="00B0F0"/>
          <w:kern w:val="0"/>
          <w:sz w:val="24"/>
          <w:szCs w:val="24"/>
          <w:lang w:val="en-GB"/>
          <w14:ligatures w14:val="none"/>
        </w:rPr>
        <w:t>.2</w:t>
      </w:r>
      <w:r w:rsidRPr="00D304CF">
        <w:rPr>
          <w:rFonts w:ascii="Baskerville Old Face" w:eastAsia="DengXian" w:hAnsi="Baskerville Old Face" w:cs="Arial"/>
          <w:b/>
          <w:bCs/>
          <w:color w:val="00B0F0"/>
          <w:kern w:val="0"/>
          <w:sz w:val="24"/>
          <w:szCs w:val="24"/>
          <w:lang w:val="en-GB"/>
          <w14:ligatures w14:val="none"/>
        </w:rPr>
        <w:t xml:space="preserve"> Revenue Measures </w:t>
      </w:r>
      <w:r>
        <w:rPr>
          <w:rFonts w:ascii="Baskerville Old Face" w:eastAsia="DengXian" w:hAnsi="Baskerville Old Face" w:cs="Arial"/>
          <w:b/>
          <w:bCs/>
          <w:color w:val="00B0F0"/>
          <w:kern w:val="0"/>
          <w:sz w:val="24"/>
          <w:szCs w:val="24"/>
          <w:lang w:val="en-GB"/>
          <w14:ligatures w14:val="none"/>
        </w:rPr>
        <w:t>f</w:t>
      </w:r>
      <w:r w:rsidRPr="00D304CF">
        <w:rPr>
          <w:rFonts w:ascii="Baskerville Old Face" w:eastAsia="DengXian" w:hAnsi="Baskerville Old Face" w:cs="Arial"/>
          <w:b/>
          <w:bCs/>
          <w:color w:val="00B0F0"/>
          <w:kern w:val="0"/>
          <w:sz w:val="24"/>
          <w:szCs w:val="24"/>
          <w:lang w:val="en-GB"/>
          <w14:ligatures w14:val="none"/>
        </w:rPr>
        <w:t>or 2024</w:t>
      </w:r>
    </w:p>
    <w:p w14:paraId="05BD794E"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Configure NRA Revenue Systems with the policy provisions of the Finance Act 2024 and go live with implementation.</w:t>
      </w:r>
    </w:p>
    <w:p w14:paraId="50E3652D"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Implement a robust tax education programme including on implementation of the FA 2024 to enhance compliance.</w:t>
      </w:r>
    </w:p>
    <w:p w14:paraId="3EAD3FE5"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Follow up on identified uncollected revenues in the 2022 Audit Report</w:t>
      </w:r>
    </w:p>
    <w:p w14:paraId="17791826"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Identify anniversary dates for annual licences due for renewal in Q1 in the telecoms, mining and fisheries sectors and ensure payment.</w:t>
      </w:r>
    </w:p>
    <w:p w14:paraId="1BA0291F"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Monitor the use of the ECR registers and issuance of receipts to help improve on GST collection. We have profiled the non-compliant businesses based on ECR dashboard and now will send enforcement letters to notify them.</w:t>
      </w:r>
    </w:p>
    <w:p w14:paraId="6A565064"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Reignite effort at integrating ECR devices with accounting systems of taxpayers.</w:t>
      </w:r>
    </w:p>
    <w:p w14:paraId="0C570D22"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zh-CN"/>
          <w14:ligatures w14:val="none"/>
        </w:rPr>
      </w:pPr>
      <w:r w:rsidRPr="00D304CF">
        <w:rPr>
          <w:rFonts w:ascii="Baskerville Old Face" w:eastAsia="DengXian" w:hAnsi="Baskerville Old Face" w:cs="Arial"/>
          <w:kern w:val="0"/>
          <w:sz w:val="24"/>
          <w:szCs w:val="24"/>
          <w:lang w:val="en-GB"/>
          <w14:ligatures w14:val="none"/>
        </w:rPr>
        <w:t>Audit EDSA’s GST declarations and enforce collection.</w:t>
      </w:r>
    </w:p>
    <w:p w14:paraId="029F8E0C"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Configure the NTR Mobile App for collection of annual circulation fee.</w:t>
      </w:r>
    </w:p>
    <w:p w14:paraId="3E191AC8"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Follow up on full implementation of N-soft project to enhance tax revenues from telecoms.</w:t>
      </w:r>
    </w:p>
    <w:p w14:paraId="64253BE1"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Fast-track implementation of the Excise Tax Stamps, which will not only help increase Excise Tax collection, but more so on GST collection due to improved availability of reliable data on domestic production and importation of exercisable goods. </w:t>
      </w:r>
    </w:p>
    <w:p w14:paraId="037713B0"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Undertake regional block registration exercise to capture unregistered businesses in the regional cities.</w:t>
      </w:r>
    </w:p>
    <w:p w14:paraId="0A3AFE77"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Fast track the implementation of the safe harbour scheme for more accurate declaration and valuation of minerals.</w:t>
      </w:r>
    </w:p>
    <w:p w14:paraId="1440BF33"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Expanding the audit plan to cover a higher proportion of large taxpayers and taxpayers in the extractives industry.</w:t>
      </w:r>
    </w:p>
    <w:p w14:paraId="12F3C233"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Setting up and operationalising the Revenue Court to deal with tax defaulters and other revenue offences.</w:t>
      </w:r>
    </w:p>
    <w:p w14:paraId="2C6DDA9F"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Extension of NTR Mobile app to collect tax payments from SMEs and Customs Borders. </w:t>
      </w:r>
    </w:p>
    <w:p w14:paraId="0D68D32B"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Undertale data analytics exercise to expand the tax base, identify risky taxpayers and taxpayer behaviours, and track non-compliance. </w:t>
      </w:r>
    </w:p>
    <w:p w14:paraId="0979BE17"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Develop and implement compliance improvement plans for large taxpayers, Extractive and High Net Worth Individuals.</w:t>
      </w:r>
    </w:p>
    <w:p w14:paraId="1E7E24F1"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Implement the World Bank Digitalisation plan for the NRA including the integration of NRA internal Systems for better reconciliation of revenue and taxpayer assessment. </w:t>
      </w:r>
    </w:p>
    <w:p w14:paraId="685BE7F2"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lastRenderedPageBreak/>
        <w:t>Initiating reviews and audits of cross-border transactions with a view to identifying and deterring tax evasion through transfer pricing fraud</w:t>
      </w:r>
    </w:p>
    <w:p w14:paraId="28DE2A2C"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Exploring approaches that leverage sources of information about tax obligations of self-employed regulated professionals.</w:t>
      </w:r>
    </w:p>
    <w:p w14:paraId="6E04AC1A"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Extension of NTR Mobile app to collect tax payments from SMEs and Customs Borders, </w:t>
      </w:r>
    </w:p>
    <w:p w14:paraId="444B64A5"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Completion of the ECOWAS Regional Transit monitoring project, </w:t>
      </w:r>
    </w:p>
    <w:p w14:paraId="1B60E9E2"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Implementation of the fuel marking scheme</w:t>
      </w:r>
    </w:p>
    <w:p w14:paraId="6FF931B4" w14:textId="77777777" w:rsidR="002E44F9" w:rsidRPr="00D304CF" w:rsidRDefault="002E44F9" w:rsidP="002E44F9">
      <w:pPr>
        <w:numPr>
          <w:ilvl w:val="0"/>
          <w:numId w:val="47"/>
        </w:numPr>
        <w:jc w:val="both"/>
        <w:rPr>
          <w:rFonts w:ascii="Baskerville Old Face" w:eastAsia="DengXian" w:hAnsi="Baskerville Old Face" w:cs="Arial"/>
          <w:kern w:val="0"/>
          <w:sz w:val="24"/>
          <w:szCs w:val="24"/>
          <w:lang w:val="en-GB"/>
          <w14:ligatures w14:val="none"/>
        </w:rPr>
      </w:pPr>
      <w:r w:rsidRPr="00D304CF">
        <w:rPr>
          <w:rFonts w:ascii="Baskerville Old Face" w:eastAsia="DengXian" w:hAnsi="Baskerville Old Face" w:cs="Arial"/>
          <w:kern w:val="0"/>
          <w:sz w:val="24"/>
          <w:szCs w:val="24"/>
          <w:lang w:val="en-GB"/>
          <w14:ligatures w14:val="none"/>
        </w:rPr>
        <w:t xml:space="preserve">Strengthening Customs Valuation through acquiring </w:t>
      </w:r>
      <w:r w:rsidRPr="00D304CF">
        <w:rPr>
          <w:rFonts w:ascii="Baskerville Old Face" w:eastAsia="DengXian" w:hAnsi="Baskerville Old Face" w:cs="Arial"/>
          <w:i/>
          <w:iCs/>
          <w:kern w:val="0"/>
          <w:sz w:val="24"/>
          <w:szCs w:val="24"/>
          <w:lang w:val="en-GB"/>
          <w14:ligatures w14:val="none"/>
        </w:rPr>
        <w:t xml:space="preserve">a Price Reference Database </w:t>
      </w:r>
      <w:r w:rsidRPr="00D304CF">
        <w:rPr>
          <w:rFonts w:ascii="Baskerville Old Face" w:eastAsia="DengXian" w:hAnsi="Baskerville Old Face" w:cs="Arial"/>
          <w:kern w:val="0"/>
          <w:sz w:val="24"/>
          <w:szCs w:val="24"/>
          <w:lang w:val="en-GB"/>
          <w14:ligatures w14:val="none"/>
        </w:rPr>
        <w:t xml:space="preserve">to support the valuation module and fully operationalise the module in ASYCUDA World and </w:t>
      </w:r>
      <w:r w:rsidRPr="00D304CF">
        <w:rPr>
          <w:rFonts w:ascii="Baskerville Old Face" w:eastAsia="DengXian" w:hAnsi="Baskerville Old Face" w:cs="Arial"/>
          <w:i/>
          <w:iCs/>
          <w:kern w:val="0"/>
          <w:sz w:val="24"/>
          <w:szCs w:val="24"/>
          <w:lang w:val="en-GB"/>
          <w14:ligatures w14:val="none"/>
        </w:rPr>
        <w:t>exploring the use of Artificial Intelligence (AI) technology to track and detect issues of technical smuggling.</w:t>
      </w:r>
      <w:r w:rsidRPr="00D304CF">
        <w:rPr>
          <w:rFonts w:ascii="Baskerville Old Face" w:eastAsia="DengXian" w:hAnsi="Baskerville Old Face" w:cs="Arial"/>
          <w:kern w:val="0"/>
          <w:sz w:val="24"/>
          <w:szCs w:val="24"/>
          <w:lang w:val="en-GB"/>
          <w14:ligatures w14:val="none"/>
        </w:rPr>
        <w:t xml:space="preserve"> </w:t>
      </w:r>
    </w:p>
    <w:p w14:paraId="2F186C0A" w14:textId="77777777" w:rsidR="00F452D5" w:rsidRPr="002E44F9" w:rsidRDefault="00F452D5" w:rsidP="001A1976">
      <w:pPr>
        <w:rPr>
          <w:rFonts w:ascii="Baskerville Old Face" w:hAnsi="Baskerville Old Face" w:cs="Times New Roman"/>
          <w:sz w:val="24"/>
          <w:szCs w:val="24"/>
          <w:lang w:val="en-GB"/>
        </w:rPr>
      </w:pPr>
    </w:p>
    <w:p w14:paraId="21E50923" w14:textId="77777777" w:rsidR="00F452D5" w:rsidRDefault="00F452D5" w:rsidP="001A1976">
      <w:pPr>
        <w:rPr>
          <w:rFonts w:ascii="Baskerville Old Face" w:hAnsi="Baskerville Old Face" w:cs="Times New Roman"/>
          <w:sz w:val="24"/>
          <w:szCs w:val="24"/>
        </w:rPr>
      </w:pPr>
    </w:p>
    <w:p w14:paraId="09737CA5" w14:textId="77777777" w:rsidR="00F452D5" w:rsidRDefault="00F452D5" w:rsidP="001A1976">
      <w:pPr>
        <w:rPr>
          <w:rFonts w:ascii="Baskerville Old Face" w:hAnsi="Baskerville Old Face" w:cs="Times New Roman"/>
          <w:sz w:val="24"/>
          <w:szCs w:val="24"/>
        </w:rPr>
      </w:pPr>
    </w:p>
    <w:p w14:paraId="378C1603" w14:textId="77777777" w:rsidR="00F452D5" w:rsidRDefault="00F452D5" w:rsidP="001A1976">
      <w:pPr>
        <w:rPr>
          <w:rFonts w:ascii="Baskerville Old Face" w:hAnsi="Baskerville Old Face" w:cs="Times New Roman"/>
          <w:sz w:val="24"/>
          <w:szCs w:val="24"/>
        </w:rPr>
      </w:pPr>
    </w:p>
    <w:p w14:paraId="57D9888D" w14:textId="77777777" w:rsidR="00F452D5" w:rsidRDefault="00F452D5" w:rsidP="001A1976">
      <w:pPr>
        <w:rPr>
          <w:rFonts w:ascii="Baskerville Old Face" w:hAnsi="Baskerville Old Face" w:cs="Times New Roman"/>
          <w:sz w:val="24"/>
          <w:szCs w:val="24"/>
        </w:rPr>
      </w:pPr>
    </w:p>
    <w:p w14:paraId="0E24DFBF" w14:textId="77777777" w:rsidR="00F452D5" w:rsidRDefault="00F452D5" w:rsidP="001A1976">
      <w:pPr>
        <w:rPr>
          <w:rFonts w:ascii="Baskerville Old Face" w:hAnsi="Baskerville Old Face" w:cs="Times New Roman"/>
          <w:sz w:val="24"/>
          <w:szCs w:val="24"/>
        </w:rPr>
      </w:pPr>
    </w:p>
    <w:p w14:paraId="719F1BA7" w14:textId="77777777" w:rsidR="00A6675A" w:rsidRDefault="00A6675A" w:rsidP="001A1976">
      <w:pPr>
        <w:rPr>
          <w:rFonts w:ascii="Baskerville Old Face" w:hAnsi="Baskerville Old Face" w:cs="Times New Roman"/>
          <w:sz w:val="24"/>
          <w:szCs w:val="24"/>
        </w:rPr>
      </w:pPr>
    </w:p>
    <w:p w14:paraId="6F8114F6" w14:textId="77777777" w:rsidR="00A6675A" w:rsidRDefault="00A6675A" w:rsidP="001A1976">
      <w:pPr>
        <w:rPr>
          <w:rFonts w:ascii="Baskerville Old Face" w:hAnsi="Baskerville Old Face" w:cs="Times New Roman"/>
          <w:sz w:val="24"/>
          <w:szCs w:val="24"/>
        </w:rPr>
      </w:pPr>
    </w:p>
    <w:p w14:paraId="6D329000" w14:textId="77777777" w:rsidR="00A6675A" w:rsidRDefault="00A6675A" w:rsidP="001A1976">
      <w:pPr>
        <w:rPr>
          <w:rFonts w:ascii="Baskerville Old Face" w:hAnsi="Baskerville Old Face" w:cs="Times New Roman"/>
          <w:sz w:val="24"/>
          <w:szCs w:val="24"/>
        </w:rPr>
      </w:pPr>
    </w:p>
    <w:p w14:paraId="7D004EA2" w14:textId="77777777" w:rsidR="00A6675A" w:rsidRDefault="00A6675A" w:rsidP="001A1976">
      <w:pPr>
        <w:rPr>
          <w:rFonts w:ascii="Baskerville Old Face" w:hAnsi="Baskerville Old Face" w:cs="Times New Roman"/>
          <w:sz w:val="24"/>
          <w:szCs w:val="24"/>
        </w:rPr>
      </w:pPr>
    </w:p>
    <w:p w14:paraId="47D15542" w14:textId="77777777" w:rsidR="00A6675A" w:rsidRDefault="00A6675A" w:rsidP="001A1976">
      <w:pPr>
        <w:rPr>
          <w:rFonts w:ascii="Baskerville Old Face" w:hAnsi="Baskerville Old Face" w:cs="Times New Roman"/>
          <w:sz w:val="24"/>
          <w:szCs w:val="24"/>
        </w:rPr>
      </w:pPr>
    </w:p>
    <w:p w14:paraId="6EE49814" w14:textId="77777777" w:rsidR="00A6675A" w:rsidRDefault="00A6675A" w:rsidP="001A1976">
      <w:pPr>
        <w:rPr>
          <w:rFonts w:ascii="Baskerville Old Face" w:hAnsi="Baskerville Old Face" w:cs="Times New Roman"/>
          <w:sz w:val="24"/>
          <w:szCs w:val="24"/>
        </w:rPr>
      </w:pPr>
    </w:p>
    <w:p w14:paraId="4AACB370" w14:textId="77777777" w:rsidR="00A6675A" w:rsidRDefault="00A6675A" w:rsidP="001A1976">
      <w:pPr>
        <w:rPr>
          <w:rFonts w:ascii="Baskerville Old Face" w:hAnsi="Baskerville Old Face" w:cs="Times New Roman"/>
          <w:sz w:val="24"/>
          <w:szCs w:val="24"/>
        </w:rPr>
      </w:pPr>
    </w:p>
    <w:p w14:paraId="5A488889" w14:textId="77777777" w:rsidR="00A6675A" w:rsidRDefault="00A6675A" w:rsidP="001A1976">
      <w:pPr>
        <w:rPr>
          <w:rFonts w:ascii="Baskerville Old Face" w:hAnsi="Baskerville Old Face" w:cs="Times New Roman"/>
          <w:sz w:val="24"/>
          <w:szCs w:val="24"/>
        </w:rPr>
      </w:pPr>
    </w:p>
    <w:p w14:paraId="39973227" w14:textId="77777777" w:rsidR="00A6675A" w:rsidRDefault="00A6675A" w:rsidP="001A1976">
      <w:pPr>
        <w:rPr>
          <w:rFonts w:ascii="Baskerville Old Face" w:hAnsi="Baskerville Old Face" w:cs="Times New Roman"/>
          <w:sz w:val="24"/>
          <w:szCs w:val="24"/>
        </w:rPr>
      </w:pPr>
    </w:p>
    <w:p w14:paraId="3ADC1314" w14:textId="77777777" w:rsidR="00A6675A" w:rsidRDefault="00A6675A" w:rsidP="001A1976">
      <w:pPr>
        <w:rPr>
          <w:rFonts w:ascii="Baskerville Old Face" w:hAnsi="Baskerville Old Face" w:cs="Times New Roman"/>
          <w:sz w:val="24"/>
          <w:szCs w:val="24"/>
        </w:rPr>
      </w:pPr>
    </w:p>
    <w:p w14:paraId="2C795ABC" w14:textId="77777777" w:rsidR="00A6675A" w:rsidRDefault="00A6675A" w:rsidP="001A1976">
      <w:pPr>
        <w:rPr>
          <w:rFonts w:ascii="Baskerville Old Face" w:hAnsi="Baskerville Old Face" w:cs="Times New Roman"/>
          <w:sz w:val="24"/>
          <w:szCs w:val="24"/>
        </w:rPr>
      </w:pPr>
    </w:p>
    <w:p w14:paraId="5E09E4E4" w14:textId="77777777" w:rsidR="00A6675A" w:rsidRDefault="00A6675A" w:rsidP="001A1976">
      <w:pPr>
        <w:rPr>
          <w:rFonts w:ascii="Baskerville Old Face" w:hAnsi="Baskerville Old Face" w:cs="Times New Roman"/>
          <w:sz w:val="24"/>
          <w:szCs w:val="24"/>
        </w:rPr>
      </w:pPr>
    </w:p>
    <w:p w14:paraId="73A2678A" w14:textId="77777777" w:rsidR="00D96629" w:rsidRDefault="00FD4A9C" w:rsidP="008C5C22">
      <w:pPr>
        <w:pStyle w:val="Heading1"/>
      </w:pPr>
      <w:bookmarkStart w:id="118" w:name="_Toc198205724"/>
      <w:r w:rsidRPr="008C5C22">
        <w:lastRenderedPageBreak/>
        <w:t>APPENDIX</w:t>
      </w:r>
      <w:bookmarkEnd w:id="118"/>
    </w:p>
    <w:p w14:paraId="3FE1C851" w14:textId="16DB3C3B" w:rsidR="00FD4A9C" w:rsidRPr="006B77FE" w:rsidRDefault="0084504A" w:rsidP="006B77FE">
      <w:pPr>
        <w:pStyle w:val="Heading2"/>
        <w:rPr>
          <w:szCs w:val="24"/>
        </w:rPr>
      </w:pPr>
      <w:bookmarkStart w:id="119" w:name="_Toc198205725"/>
      <w:r w:rsidRPr="006B77FE">
        <w:rPr>
          <w:szCs w:val="24"/>
        </w:rPr>
        <w:t>ABRIDGED VERSION OF THE 2021-2023 AUDITED FINANCIAL STATEMENTS OF THE NRA</w:t>
      </w:r>
      <w:bookmarkEnd w:id="119"/>
    </w:p>
    <w:p w14:paraId="08CFF3C3" w14:textId="77777777" w:rsidR="00FF7383" w:rsidRPr="00FF7383" w:rsidRDefault="00FF7383" w:rsidP="00FF7383"/>
    <w:p w14:paraId="5B2F8969" w14:textId="77777777" w:rsidR="00E74B26" w:rsidRDefault="00E74B26" w:rsidP="00E74B26">
      <w:pPr>
        <w:jc w:val="center"/>
        <w:rPr>
          <w:rFonts w:ascii="Baskerville Old Face" w:hAnsi="Baskerville Old Face"/>
          <w:b/>
          <w:bCs/>
          <w:sz w:val="24"/>
          <w:szCs w:val="24"/>
          <w:lang w:val="en-GB"/>
        </w:rPr>
      </w:pPr>
    </w:p>
    <w:p w14:paraId="769A96E0" w14:textId="79701055" w:rsidR="00FD4A9C" w:rsidRPr="00E74B26" w:rsidRDefault="00616B6A" w:rsidP="00E74B26">
      <w:pPr>
        <w:jc w:val="center"/>
        <w:rPr>
          <w:rFonts w:ascii="Baskerville Old Face" w:hAnsi="Baskerville Old Face"/>
          <w:b/>
          <w:bCs/>
          <w:sz w:val="24"/>
          <w:szCs w:val="24"/>
          <w:u w:val="single"/>
          <w:lang w:val="en-GB"/>
        </w:rPr>
      </w:pPr>
      <w:r w:rsidRPr="00E74B26">
        <w:rPr>
          <w:rFonts w:ascii="Baskerville Old Face" w:hAnsi="Baskerville Old Face"/>
          <w:b/>
          <w:bCs/>
          <w:sz w:val="24"/>
          <w:szCs w:val="24"/>
          <w:u w:val="single"/>
          <w:lang w:val="en-GB"/>
        </w:rPr>
        <w:t>STATEMENT OF COMPREHENSIVE INCOME</w:t>
      </w:r>
    </w:p>
    <w:p w14:paraId="3DE41E2B" w14:textId="77777777" w:rsidR="007A2A44" w:rsidRDefault="007A2A44" w:rsidP="007A2A44">
      <w:pPr>
        <w:rPr>
          <w:lang w:val="en-GB"/>
        </w:rPr>
      </w:pPr>
    </w:p>
    <w:tbl>
      <w:tblPr>
        <w:tblW w:w="9226" w:type="dxa"/>
        <w:jc w:val="center"/>
        <w:tblLook w:val="04A0" w:firstRow="1" w:lastRow="0" w:firstColumn="1" w:lastColumn="0" w:noHBand="0" w:noVBand="1"/>
      </w:tblPr>
      <w:tblGrid>
        <w:gridCol w:w="4057"/>
        <w:gridCol w:w="2177"/>
        <w:gridCol w:w="1528"/>
        <w:gridCol w:w="1464"/>
      </w:tblGrid>
      <w:tr w:rsidR="007A2A44" w:rsidRPr="008314D3" w14:paraId="05BD7565" w14:textId="77777777" w:rsidTr="008314D3">
        <w:trPr>
          <w:trHeight w:val="311"/>
          <w:jc w:val="center"/>
        </w:trPr>
        <w:tc>
          <w:tcPr>
            <w:tcW w:w="4057" w:type="dxa"/>
            <w:shd w:val="clear" w:color="auto" w:fill="auto"/>
            <w:noWrap/>
            <w:vAlign w:val="bottom"/>
            <w:hideMark/>
          </w:tcPr>
          <w:p w14:paraId="2A39F9AD" w14:textId="77777777" w:rsidR="007A2A44" w:rsidRPr="008314D3" w:rsidRDefault="007A2A44" w:rsidP="00D66DF0">
            <w:pPr>
              <w:spacing w:afterLines="20" w:after="48"/>
              <w:rPr>
                <w:rFonts w:eastAsia="Times New Roman"/>
                <w:lang w:eastAsia="en-GB"/>
              </w:rPr>
            </w:pPr>
          </w:p>
        </w:tc>
        <w:tc>
          <w:tcPr>
            <w:tcW w:w="2177" w:type="dxa"/>
            <w:shd w:val="clear" w:color="auto" w:fill="auto"/>
            <w:noWrap/>
            <w:vAlign w:val="bottom"/>
            <w:hideMark/>
          </w:tcPr>
          <w:p w14:paraId="0D2C2FA0" w14:textId="0CEF29D4"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202</w:t>
            </w:r>
            <w:r w:rsidR="00EF68D6">
              <w:rPr>
                <w:rFonts w:eastAsia="Times New Roman" w:cs="Arial"/>
                <w:b/>
                <w:bCs/>
                <w:color w:val="000000"/>
                <w:lang w:eastAsia="en-GB"/>
              </w:rPr>
              <w:t>3</w:t>
            </w:r>
          </w:p>
        </w:tc>
        <w:tc>
          <w:tcPr>
            <w:tcW w:w="1528" w:type="dxa"/>
            <w:shd w:val="clear" w:color="auto" w:fill="auto"/>
            <w:noWrap/>
            <w:vAlign w:val="bottom"/>
            <w:hideMark/>
          </w:tcPr>
          <w:p w14:paraId="732BD56E" w14:textId="77E4923D"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202</w:t>
            </w:r>
            <w:r w:rsidR="00EF68D6">
              <w:rPr>
                <w:rFonts w:eastAsia="Times New Roman" w:cs="Arial"/>
                <w:b/>
                <w:bCs/>
                <w:color w:val="000000"/>
                <w:lang w:eastAsia="en-GB"/>
              </w:rPr>
              <w:t>2</w:t>
            </w:r>
          </w:p>
        </w:tc>
        <w:tc>
          <w:tcPr>
            <w:tcW w:w="1464" w:type="dxa"/>
          </w:tcPr>
          <w:p w14:paraId="73A7C1A9" w14:textId="59906AF9"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202</w:t>
            </w:r>
            <w:r w:rsidR="00EF68D6">
              <w:rPr>
                <w:rFonts w:eastAsia="Times New Roman" w:cs="Arial"/>
                <w:b/>
                <w:bCs/>
                <w:color w:val="000000"/>
                <w:lang w:eastAsia="en-GB"/>
              </w:rPr>
              <w:t>1</w:t>
            </w:r>
          </w:p>
        </w:tc>
      </w:tr>
      <w:tr w:rsidR="007A2A44" w:rsidRPr="008314D3" w14:paraId="4D9D2008" w14:textId="77777777" w:rsidTr="008314D3">
        <w:trPr>
          <w:trHeight w:val="311"/>
          <w:jc w:val="center"/>
        </w:trPr>
        <w:tc>
          <w:tcPr>
            <w:tcW w:w="4057" w:type="dxa"/>
            <w:shd w:val="clear" w:color="auto" w:fill="auto"/>
            <w:noWrap/>
            <w:vAlign w:val="bottom"/>
            <w:hideMark/>
          </w:tcPr>
          <w:p w14:paraId="504D670D" w14:textId="77777777" w:rsidR="007A2A44" w:rsidRPr="008314D3" w:rsidRDefault="007A2A44" w:rsidP="00D66DF0">
            <w:pPr>
              <w:spacing w:afterLines="20" w:after="48"/>
              <w:jc w:val="center"/>
              <w:rPr>
                <w:rFonts w:eastAsia="Times New Roman" w:cs="Arial"/>
                <w:b/>
                <w:bCs/>
                <w:color w:val="000000"/>
                <w:lang w:eastAsia="en-GB"/>
              </w:rPr>
            </w:pPr>
          </w:p>
        </w:tc>
        <w:tc>
          <w:tcPr>
            <w:tcW w:w="2177" w:type="dxa"/>
            <w:shd w:val="clear" w:color="auto" w:fill="auto"/>
            <w:noWrap/>
            <w:vAlign w:val="bottom"/>
            <w:hideMark/>
          </w:tcPr>
          <w:p w14:paraId="447742E0" w14:textId="77777777"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Le.'000</w:t>
            </w:r>
          </w:p>
        </w:tc>
        <w:tc>
          <w:tcPr>
            <w:tcW w:w="1528" w:type="dxa"/>
            <w:shd w:val="clear" w:color="auto" w:fill="auto"/>
            <w:noWrap/>
            <w:vAlign w:val="bottom"/>
            <w:hideMark/>
          </w:tcPr>
          <w:p w14:paraId="2E4D6D75" w14:textId="77777777"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Le.'000</w:t>
            </w:r>
          </w:p>
        </w:tc>
        <w:tc>
          <w:tcPr>
            <w:tcW w:w="1464" w:type="dxa"/>
          </w:tcPr>
          <w:p w14:paraId="6B6CF26D" w14:textId="77777777" w:rsidR="007A2A44" w:rsidRPr="008314D3" w:rsidRDefault="007A2A44" w:rsidP="00D66DF0">
            <w:pPr>
              <w:spacing w:afterLines="20" w:after="48"/>
              <w:jc w:val="center"/>
              <w:rPr>
                <w:rFonts w:eastAsia="Times New Roman" w:cs="Arial"/>
                <w:b/>
                <w:bCs/>
                <w:color w:val="000000"/>
                <w:lang w:eastAsia="en-GB"/>
              </w:rPr>
            </w:pPr>
            <w:r w:rsidRPr="008314D3">
              <w:rPr>
                <w:rFonts w:eastAsia="Times New Roman" w:cs="Arial"/>
                <w:b/>
                <w:bCs/>
                <w:color w:val="000000"/>
                <w:lang w:eastAsia="en-GB"/>
              </w:rPr>
              <w:t>Le.'000</w:t>
            </w:r>
          </w:p>
        </w:tc>
      </w:tr>
      <w:tr w:rsidR="007A2A44" w:rsidRPr="008314D3" w14:paraId="3A6298D4" w14:textId="77777777" w:rsidTr="008314D3">
        <w:trPr>
          <w:trHeight w:val="311"/>
          <w:jc w:val="center"/>
        </w:trPr>
        <w:tc>
          <w:tcPr>
            <w:tcW w:w="4057" w:type="dxa"/>
            <w:shd w:val="clear" w:color="auto" w:fill="auto"/>
            <w:noWrap/>
            <w:vAlign w:val="bottom"/>
          </w:tcPr>
          <w:p w14:paraId="1FE2A40E" w14:textId="77777777" w:rsidR="007A2A44" w:rsidRPr="008314D3" w:rsidRDefault="007A2A44" w:rsidP="00D66DF0">
            <w:pPr>
              <w:spacing w:afterLines="20" w:after="48"/>
              <w:rPr>
                <w:rFonts w:eastAsia="Times New Roman" w:cs="Arial"/>
                <w:b/>
                <w:bCs/>
                <w:color w:val="000000"/>
                <w:lang w:eastAsia="en-GB"/>
              </w:rPr>
            </w:pPr>
            <w:r w:rsidRPr="008314D3">
              <w:rPr>
                <w:b/>
                <w:bCs/>
                <w:color w:val="000000"/>
              </w:rPr>
              <w:t>INCOME</w:t>
            </w:r>
          </w:p>
        </w:tc>
        <w:tc>
          <w:tcPr>
            <w:tcW w:w="2177" w:type="dxa"/>
            <w:shd w:val="clear" w:color="auto" w:fill="auto"/>
            <w:noWrap/>
            <w:vAlign w:val="bottom"/>
          </w:tcPr>
          <w:p w14:paraId="54BC7C0F" w14:textId="77777777" w:rsidR="007A2A44" w:rsidRPr="008314D3" w:rsidRDefault="007A2A44" w:rsidP="00D66DF0">
            <w:pPr>
              <w:spacing w:afterLines="20" w:after="48"/>
              <w:jc w:val="center"/>
              <w:rPr>
                <w:rFonts w:eastAsia="Times New Roman"/>
                <w:lang w:eastAsia="en-GB"/>
              </w:rPr>
            </w:pPr>
          </w:p>
        </w:tc>
        <w:tc>
          <w:tcPr>
            <w:tcW w:w="1528" w:type="dxa"/>
            <w:shd w:val="clear" w:color="auto" w:fill="auto"/>
            <w:noWrap/>
            <w:vAlign w:val="bottom"/>
          </w:tcPr>
          <w:p w14:paraId="5DF03685" w14:textId="77777777" w:rsidR="007A2A44" w:rsidRPr="008314D3" w:rsidRDefault="007A2A44" w:rsidP="00D66DF0">
            <w:pPr>
              <w:spacing w:afterLines="20" w:after="48"/>
              <w:jc w:val="center"/>
              <w:rPr>
                <w:rFonts w:eastAsia="Times New Roman"/>
                <w:lang w:eastAsia="en-GB"/>
              </w:rPr>
            </w:pPr>
          </w:p>
        </w:tc>
        <w:tc>
          <w:tcPr>
            <w:tcW w:w="1464" w:type="dxa"/>
          </w:tcPr>
          <w:p w14:paraId="63687BCF" w14:textId="77777777" w:rsidR="007A2A44" w:rsidRPr="008314D3" w:rsidRDefault="007A2A44" w:rsidP="00D66DF0">
            <w:pPr>
              <w:spacing w:afterLines="20" w:after="48"/>
              <w:jc w:val="center"/>
              <w:rPr>
                <w:rFonts w:eastAsia="Times New Roman"/>
                <w:lang w:eastAsia="en-GB"/>
              </w:rPr>
            </w:pPr>
          </w:p>
        </w:tc>
      </w:tr>
      <w:tr w:rsidR="00EF68D6" w:rsidRPr="008314D3" w14:paraId="0780D8AF" w14:textId="77777777" w:rsidTr="008314D3">
        <w:trPr>
          <w:trHeight w:val="311"/>
          <w:jc w:val="center"/>
        </w:trPr>
        <w:tc>
          <w:tcPr>
            <w:tcW w:w="4057" w:type="dxa"/>
            <w:shd w:val="clear" w:color="auto" w:fill="auto"/>
            <w:noWrap/>
            <w:vAlign w:val="bottom"/>
          </w:tcPr>
          <w:p w14:paraId="738DD4AE" w14:textId="77777777" w:rsidR="00EF68D6" w:rsidRPr="008314D3" w:rsidRDefault="00EF68D6" w:rsidP="00EF68D6">
            <w:pPr>
              <w:spacing w:afterLines="20" w:after="48"/>
              <w:rPr>
                <w:rFonts w:eastAsia="Times New Roman" w:cs="Arial"/>
                <w:color w:val="000000"/>
                <w:lang w:eastAsia="en-GB"/>
              </w:rPr>
            </w:pPr>
            <w:r w:rsidRPr="008314D3">
              <w:rPr>
                <w:color w:val="000000"/>
              </w:rPr>
              <w:t>Revenue</w:t>
            </w:r>
          </w:p>
        </w:tc>
        <w:tc>
          <w:tcPr>
            <w:tcW w:w="2177" w:type="dxa"/>
            <w:shd w:val="clear" w:color="auto" w:fill="auto"/>
            <w:noWrap/>
            <w:vAlign w:val="center"/>
          </w:tcPr>
          <w:p w14:paraId="232504FC" w14:textId="5C1DD4EF" w:rsidR="00EF68D6" w:rsidRPr="008314D3" w:rsidRDefault="00050A60" w:rsidP="00EF68D6">
            <w:pPr>
              <w:spacing w:afterLines="20" w:after="48"/>
              <w:jc w:val="center"/>
              <w:rPr>
                <w:rFonts w:eastAsia="Times New Roman" w:cs="Arial"/>
                <w:color w:val="000000"/>
                <w:lang w:eastAsia="en-GB"/>
              </w:rPr>
            </w:pPr>
            <w:r>
              <w:rPr>
                <w:rFonts w:eastAsia="Times New Roman" w:cs="Arial"/>
                <w:color w:val="000000"/>
                <w:lang w:eastAsia="en-GB"/>
              </w:rPr>
              <w:t>277,360,000</w:t>
            </w:r>
          </w:p>
        </w:tc>
        <w:tc>
          <w:tcPr>
            <w:tcW w:w="1528" w:type="dxa"/>
            <w:shd w:val="clear" w:color="auto" w:fill="auto"/>
            <w:noWrap/>
            <w:vAlign w:val="center"/>
          </w:tcPr>
          <w:p w14:paraId="5E3CEF11" w14:textId="3BFA490C"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191,130,000 </w:t>
            </w:r>
          </w:p>
        </w:tc>
        <w:tc>
          <w:tcPr>
            <w:tcW w:w="1464" w:type="dxa"/>
            <w:vAlign w:val="center"/>
          </w:tcPr>
          <w:p w14:paraId="62AC4FDE" w14:textId="632EDE70"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207,171,235</w:t>
            </w:r>
          </w:p>
        </w:tc>
      </w:tr>
      <w:tr w:rsidR="00EF68D6" w:rsidRPr="008314D3" w14:paraId="1E0E1282" w14:textId="77777777" w:rsidTr="008314D3">
        <w:trPr>
          <w:trHeight w:val="311"/>
          <w:jc w:val="center"/>
        </w:trPr>
        <w:tc>
          <w:tcPr>
            <w:tcW w:w="4057" w:type="dxa"/>
            <w:shd w:val="clear" w:color="auto" w:fill="auto"/>
            <w:noWrap/>
            <w:vAlign w:val="bottom"/>
          </w:tcPr>
          <w:p w14:paraId="75056DAA" w14:textId="77777777" w:rsidR="00EF68D6" w:rsidRPr="008314D3" w:rsidRDefault="00EF68D6" w:rsidP="00EF68D6">
            <w:pPr>
              <w:spacing w:afterLines="20" w:after="48"/>
              <w:rPr>
                <w:rFonts w:eastAsia="Times New Roman" w:cs="Arial"/>
                <w:color w:val="000000"/>
                <w:lang w:eastAsia="en-GB"/>
              </w:rPr>
            </w:pPr>
            <w:r w:rsidRPr="008314D3">
              <w:rPr>
                <w:color w:val="000000"/>
              </w:rPr>
              <w:t>Other Operating Income</w:t>
            </w:r>
          </w:p>
        </w:tc>
        <w:tc>
          <w:tcPr>
            <w:tcW w:w="2177" w:type="dxa"/>
            <w:shd w:val="clear" w:color="auto" w:fill="auto"/>
            <w:noWrap/>
            <w:vAlign w:val="center"/>
          </w:tcPr>
          <w:p w14:paraId="6C4D0685" w14:textId="4D9DA855" w:rsidR="00EF68D6" w:rsidRPr="008314D3" w:rsidRDefault="00050A60" w:rsidP="00EF68D6">
            <w:pPr>
              <w:spacing w:afterLines="20" w:after="48"/>
              <w:jc w:val="center"/>
              <w:rPr>
                <w:rFonts w:eastAsia="Times New Roman" w:cs="Arial"/>
                <w:color w:val="000000"/>
                <w:lang w:eastAsia="en-GB"/>
              </w:rPr>
            </w:pPr>
            <w:r>
              <w:rPr>
                <w:rFonts w:eastAsia="Times New Roman" w:cs="Arial"/>
                <w:color w:val="000000"/>
                <w:lang w:eastAsia="en-GB"/>
              </w:rPr>
              <w:t>17,455,86</w:t>
            </w:r>
            <w:r w:rsidR="00A256CD">
              <w:rPr>
                <w:rFonts w:eastAsia="Times New Roman" w:cs="Arial"/>
                <w:color w:val="000000"/>
                <w:lang w:eastAsia="en-GB"/>
              </w:rPr>
              <w:t>9</w:t>
            </w:r>
          </w:p>
        </w:tc>
        <w:tc>
          <w:tcPr>
            <w:tcW w:w="1528" w:type="dxa"/>
            <w:shd w:val="clear" w:color="auto" w:fill="auto"/>
            <w:noWrap/>
            <w:vAlign w:val="center"/>
          </w:tcPr>
          <w:p w14:paraId="62000E95" w14:textId="0BD121D6"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5,394,119 </w:t>
            </w:r>
          </w:p>
        </w:tc>
        <w:tc>
          <w:tcPr>
            <w:tcW w:w="1464" w:type="dxa"/>
            <w:vAlign w:val="center"/>
          </w:tcPr>
          <w:p w14:paraId="373C441E" w14:textId="18186168"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7,259,575</w:t>
            </w:r>
          </w:p>
        </w:tc>
      </w:tr>
      <w:tr w:rsidR="00EF68D6" w:rsidRPr="008314D3" w14:paraId="6DF0ABC5" w14:textId="77777777" w:rsidTr="008314D3">
        <w:trPr>
          <w:trHeight w:val="330"/>
          <w:jc w:val="center"/>
        </w:trPr>
        <w:tc>
          <w:tcPr>
            <w:tcW w:w="4057" w:type="dxa"/>
            <w:shd w:val="clear" w:color="auto" w:fill="auto"/>
            <w:noWrap/>
            <w:vAlign w:val="bottom"/>
          </w:tcPr>
          <w:p w14:paraId="1CE8D660" w14:textId="77777777" w:rsidR="00EF68D6" w:rsidRPr="008314D3" w:rsidRDefault="00EF68D6" w:rsidP="00EF68D6">
            <w:pPr>
              <w:spacing w:afterLines="20" w:after="48"/>
              <w:rPr>
                <w:rFonts w:eastAsia="Times New Roman" w:cs="Arial"/>
                <w:b/>
                <w:bCs/>
                <w:color w:val="000000"/>
                <w:lang w:eastAsia="en-GB"/>
              </w:rPr>
            </w:pPr>
            <w:r w:rsidRPr="008314D3">
              <w:rPr>
                <w:rFonts w:eastAsia="Times New Roman" w:cs="Arial"/>
                <w:b/>
                <w:bCs/>
                <w:color w:val="000000"/>
                <w:lang w:eastAsia="en-GB"/>
              </w:rPr>
              <w:t>TOTAL INCOME</w:t>
            </w:r>
          </w:p>
        </w:tc>
        <w:tc>
          <w:tcPr>
            <w:tcW w:w="2177" w:type="dxa"/>
            <w:shd w:val="clear" w:color="auto" w:fill="auto"/>
            <w:noWrap/>
            <w:vAlign w:val="center"/>
          </w:tcPr>
          <w:p w14:paraId="2B74EFDA" w14:textId="6D423F2A" w:rsidR="00EF68D6" w:rsidRPr="008314D3" w:rsidRDefault="00A256CD" w:rsidP="00EF68D6">
            <w:pPr>
              <w:spacing w:afterLines="20" w:after="48"/>
              <w:jc w:val="center"/>
              <w:rPr>
                <w:rFonts w:eastAsia="Times New Roman" w:cs="Arial"/>
                <w:b/>
                <w:bCs/>
                <w:color w:val="000000"/>
                <w:lang w:eastAsia="en-GB"/>
              </w:rPr>
            </w:pPr>
            <w:r>
              <w:rPr>
                <w:rFonts w:eastAsia="Times New Roman" w:cs="Arial"/>
                <w:b/>
                <w:bCs/>
                <w:color w:val="000000"/>
                <w:lang w:eastAsia="en-GB"/>
              </w:rPr>
              <w:t>294,815,869</w:t>
            </w:r>
          </w:p>
        </w:tc>
        <w:tc>
          <w:tcPr>
            <w:tcW w:w="1528" w:type="dxa"/>
            <w:shd w:val="clear" w:color="auto" w:fill="auto"/>
            <w:noWrap/>
            <w:vAlign w:val="center"/>
          </w:tcPr>
          <w:p w14:paraId="402242E8" w14:textId="710BC55D" w:rsidR="00EF68D6" w:rsidRPr="008314D3" w:rsidRDefault="00EF68D6" w:rsidP="00EF68D6">
            <w:pPr>
              <w:spacing w:afterLines="20" w:after="48"/>
              <w:jc w:val="center"/>
              <w:rPr>
                <w:rFonts w:eastAsia="Times New Roman" w:cs="Arial"/>
                <w:b/>
                <w:bCs/>
                <w:color w:val="000000"/>
                <w:lang w:eastAsia="en-GB"/>
              </w:rPr>
            </w:pPr>
            <w:r w:rsidRPr="008314D3">
              <w:rPr>
                <w:b/>
                <w:bCs/>
                <w:color w:val="000000"/>
              </w:rPr>
              <w:t xml:space="preserve">  196,524,119 </w:t>
            </w:r>
          </w:p>
        </w:tc>
        <w:tc>
          <w:tcPr>
            <w:tcW w:w="1464" w:type="dxa"/>
            <w:vAlign w:val="center"/>
          </w:tcPr>
          <w:p w14:paraId="7D6D8768" w14:textId="7A5D89C6" w:rsidR="00EF68D6" w:rsidRPr="008314D3" w:rsidRDefault="00EF68D6" w:rsidP="00EF68D6">
            <w:pPr>
              <w:spacing w:afterLines="20" w:after="48"/>
              <w:jc w:val="center"/>
              <w:rPr>
                <w:rFonts w:eastAsia="Times New Roman" w:cs="Arial"/>
                <w:b/>
                <w:bCs/>
                <w:color w:val="000000"/>
                <w:lang w:eastAsia="en-GB"/>
              </w:rPr>
            </w:pPr>
            <w:r w:rsidRPr="008314D3">
              <w:rPr>
                <w:rFonts w:eastAsia="Times New Roman" w:cs="Arial"/>
                <w:b/>
                <w:bCs/>
                <w:color w:val="000000"/>
                <w:lang w:eastAsia="en-GB"/>
              </w:rPr>
              <w:t>214,430,810</w:t>
            </w:r>
          </w:p>
        </w:tc>
      </w:tr>
      <w:tr w:rsidR="00EF68D6" w:rsidRPr="008314D3" w14:paraId="0614D868" w14:textId="77777777" w:rsidTr="008314D3">
        <w:trPr>
          <w:trHeight w:val="330"/>
          <w:jc w:val="center"/>
        </w:trPr>
        <w:tc>
          <w:tcPr>
            <w:tcW w:w="4057" w:type="dxa"/>
            <w:shd w:val="clear" w:color="auto" w:fill="auto"/>
            <w:noWrap/>
            <w:vAlign w:val="bottom"/>
          </w:tcPr>
          <w:p w14:paraId="44FAA2AC" w14:textId="77777777" w:rsidR="00EF68D6" w:rsidRPr="008314D3" w:rsidRDefault="00EF68D6" w:rsidP="00EF68D6">
            <w:pPr>
              <w:spacing w:afterLines="20" w:after="48"/>
              <w:rPr>
                <w:rFonts w:eastAsia="Times New Roman" w:cs="Arial"/>
                <w:color w:val="000000"/>
                <w:lang w:eastAsia="en-GB"/>
              </w:rPr>
            </w:pPr>
          </w:p>
        </w:tc>
        <w:tc>
          <w:tcPr>
            <w:tcW w:w="2177" w:type="dxa"/>
            <w:shd w:val="clear" w:color="auto" w:fill="auto"/>
            <w:noWrap/>
            <w:vAlign w:val="center"/>
          </w:tcPr>
          <w:p w14:paraId="5E3F6EEF" w14:textId="77777777" w:rsidR="00EF68D6" w:rsidRPr="008314D3" w:rsidRDefault="00EF68D6" w:rsidP="00EF68D6">
            <w:pPr>
              <w:spacing w:afterLines="20" w:after="48"/>
              <w:jc w:val="center"/>
              <w:rPr>
                <w:rFonts w:eastAsia="Times New Roman"/>
                <w:lang w:eastAsia="en-GB"/>
              </w:rPr>
            </w:pPr>
          </w:p>
        </w:tc>
        <w:tc>
          <w:tcPr>
            <w:tcW w:w="1528" w:type="dxa"/>
            <w:shd w:val="clear" w:color="auto" w:fill="auto"/>
            <w:noWrap/>
            <w:vAlign w:val="center"/>
          </w:tcPr>
          <w:p w14:paraId="428FA77B" w14:textId="77777777" w:rsidR="00EF68D6" w:rsidRPr="008314D3" w:rsidRDefault="00EF68D6" w:rsidP="00EF68D6">
            <w:pPr>
              <w:spacing w:afterLines="20" w:after="48"/>
              <w:jc w:val="center"/>
              <w:rPr>
                <w:rFonts w:eastAsia="Times New Roman"/>
                <w:lang w:eastAsia="en-GB"/>
              </w:rPr>
            </w:pPr>
          </w:p>
        </w:tc>
        <w:tc>
          <w:tcPr>
            <w:tcW w:w="1464" w:type="dxa"/>
            <w:vAlign w:val="center"/>
          </w:tcPr>
          <w:p w14:paraId="1C18FFAA" w14:textId="77777777" w:rsidR="00EF68D6" w:rsidRPr="008314D3" w:rsidRDefault="00EF68D6" w:rsidP="00EF68D6">
            <w:pPr>
              <w:spacing w:afterLines="20" w:after="48"/>
              <w:jc w:val="center"/>
              <w:rPr>
                <w:rFonts w:eastAsia="Times New Roman"/>
                <w:lang w:eastAsia="en-GB"/>
              </w:rPr>
            </w:pPr>
          </w:p>
        </w:tc>
      </w:tr>
      <w:tr w:rsidR="00EF68D6" w:rsidRPr="008314D3" w14:paraId="5FE22939" w14:textId="77777777" w:rsidTr="008314D3">
        <w:trPr>
          <w:trHeight w:val="311"/>
          <w:jc w:val="center"/>
        </w:trPr>
        <w:tc>
          <w:tcPr>
            <w:tcW w:w="4057" w:type="dxa"/>
            <w:shd w:val="clear" w:color="auto" w:fill="auto"/>
            <w:noWrap/>
            <w:vAlign w:val="bottom"/>
          </w:tcPr>
          <w:p w14:paraId="68BEB15F" w14:textId="77777777" w:rsidR="00EF68D6" w:rsidRPr="008314D3" w:rsidRDefault="00EF68D6" w:rsidP="00EF68D6">
            <w:pPr>
              <w:spacing w:afterLines="20" w:after="48"/>
              <w:rPr>
                <w:rFonts w:eastAsia="Times New Roman" w:cs="Arial"/>
                <w:b/>
                <w:bCs/>
                <w:color w:val="000000"/>
                <w:lang w:eastAsia="en-GB"/>
              </w:rPr>
            </w:pPr>
            <w:r w:rsidRPr="008314D3">
              <w:rPr>
                <w:b/>
                <w:bCs/>
                <w:color w:val="000000"/>
              </w:rPr>
              <w:t>EXPENDITURE:</w:t>
            </w:r>
          </w:p>
        </w:tc>
        <w:tc>
          <w:tcPr>
            <w:tcW w:w="2177" w:type="dxa"/>
            <w:shd w:val="clear" w:color="auto" w:fill="auto"/>
            <w:noWrap/>
            <w:vAlign w:val="center"/>
          </w:tcPr>
          <w:p w14:paraId="76A76E10" w14:textId="77777777" w:rsidR="00EF68D6" w:rsidRPr="008314D3" w:rsidRDefault="00EF68D6" w:rsidP="00EF68D6">
            <w:pPr>
              <w:spacing w:afterLines="20" w:after="48"/>
              <w:jc w:val="center"/>
              <w:rPr>
                <w:rFonts w:eastAsia="Times New Roman"/>
                <w:lang w:eastAsia="en-GB"/>
              </w:rPr>
            </w:pPr>
          </w:p>
        </w:tc>
        <w:tc>
          <w:tcPr>
            <w:tcW w:w="1528" w:type="dxa"/>
            <w:shd w:val="clear" w:color="auto" w:fill="auto"/>
            <w:noWrap/>
            <w:vAlign w:val="center"/>
          </w:tcPr>
          <w:p w14:paraId="103652E0" w14:textId="77777777" w:rsidR="00EF68D6" w:rsidRPr="008314D3" w:rsidRDefault="00EF68D6" w:rsidP="00EF68D6">
            <w:pPr>
              <w:spacing w:afterLines="20" w:after="48"/>
              <w:jc w:val="center"/>
              <w:rPr>
                <w:rFonts w:eastAsia="Times New Roman"/>
                <w:lang w:eastAsia="en-GB"/>
              </w:rPr>
            </w:pPr>
          </w:p>
        </w:tc>
        <w:tc>
          <w:tcPr>
            <w:tcW w:w="1464" w:type="dxa"/>
            <w:vAlign w:val="center"/>
          </w:tcPr>
          <w:p w14:paraId="0F1626FB" w14:textId="77777777" w:rsidR="00EF68D6" w:rsidRPr="008314D3" w:rsidRDefault="00EF68D6" w:rsidP="00EF68D6">
            <w:pPr>
              <w:spacing w:afterLines="20" w:after="48"/>
              <w:jc w:val="center"/>
              <w:rPr>
                <w:rFonts w:eastAsia="Times New Roman"/>
                <w:lang w:eastAsia="en-GB"/>
              </w:rPr>
            </w:pPr>
          </w:p>
        </w:tc>
      </w:tr>
      <w:tr w:rsidR="00EF68D6" w:rsidRPr="008314D3" w14:paraId="53D9C591" w14:textId="77777777" w:rsidTr="008314D3">
        <w:trPr>
          <w:trHeight w:val="311"/>
          <w:jc w:val="center"/>
        </w:trPr>
        <w:tc>
          <w:tcPr>
            <w:tcW w:w="4057" w:type="dxa"/>
            <w:shd w:val="clear" w:color="auto" w:fill="auto"/>
            <w:noWrap/>
            <w:vAlign w:val="bottom"/>
          </w:tcPr>
          <w:p w14:paraId="025458D6" w14:textId="77777777" w:rsidR="00EF68D6" w:rsidRPr="008314D3" w:rsidRDefault="00EF68D6" w:rsidP="00EF68D6">
            <w:pPr>
              <w:spacing w:afterLines="20" w:after="48"/>
              <w:rPr>
                <w:rFonts w:eastAsia="Times New Roman" w:cs="Arial"/>
                <w:color w:val="000000"/>
                <w:lang w:eastAsia="en-GB"/>
              </w:rPr>
            </w:pPr>
            <w:r w:rsidRPr="008314D3">
              <w:rPr>
                <w:color w:val="000000"/>
              </w:rPr>
              <w:t>Governance Costs</w:t>
            </w:r>
          </w:p>
        </w:tc>
        <w:tc>
          <w:tcPr>
            <w:tcW w:w="2177" w:type="dxa"/>
            <w:shd w:val="clear" w:color="auto" w:fill="auto"/>
            <w:noWrap/>
            <w:vAlign w:val="center"/>
          </w:tcPr>
          <w:p w14:paraId="78E0B725" w14:textId="26605BED" w:rsidR="00EF68D6" w:rsidRPr="008314D3" w:rsidRDefault="00A256CD" w:rsidP="00EF68D6">
            <w:pPr>
              <w:spacing w:afterLines="20" w:after="48"/>
              <w:jc w:val="center"/>
              <w:rPr>
                <w:rFonts w:eastAsia="Times New Roman" w:cs="Arial"/>
                <w:color w:val="000000"/>
                <w:lang w:eastAsia="en-GB"/>
              </w:rPr>
            </w:pPr>
            <w:r>
              <w:rPr>
                <w:rFonts w:eastAsia="Times New Roman" w:cs="Arial"/>
                <w:color w:val="000000"/>
                <w:lang w:eastAsia="en-GB"/>
              </w:rPr>
              <w:t>10,915,184</w:t>
            </w:r>
          </w:p>
        </w:tc>
        <w:tc>
          <w:tcPr>
            <w:tcW w:w="1528" w:type="dxa"/>
            <w:shd w:val="clear" w:color="auto" w:fill="auto"/>
            <w:noWrap/>
            <w:vAlign w:val="center"/>
          </w:tcPr>
          <w:p w14:paraId="5FDF097E" w14:textId="6B9F6A95"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6,468,860 </w:t>
            </w:r>
          </w:p>
        </w:tc>
        <w:tc>
          <w:tcPr>
            <w:tcW w:w="1464" w:type="dxa"/>
            <w:vAlign w:val="center"/>
          </w:tcPr>
          <w:p w14:paraId="0A7C0BB5" w14:textId="717B7D91"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9,262,118</w:t>
            </w:r>
          </w:p>
        </w:tc>
      </w:tr>
      <w:tr w:rsidR="00EF68D6" w:rsidRPr="008314D3" w14:paraId="07FEBE71" w14:textId="77777777" w:rsidTr="008314D3">
        <w:trPr>
          <w:trHeight w:val="311"/>
          <w:jc w:val="center"/>
        </w:trPr>
        <w:tc>
          <w:tcPr>
            <w:tcW w:w="4057" w:type="dxa"/>
            <w:shd w:val="clear" w:color="auto" w:fill="auto"/>
            <w:noWrap/>
            <w:vAlign w:val="bottom"/>
          </w:tcPr>
          <w:p w14:paraId="647D28F6" w14:textId="77777777" w:rsidR="00EF68D6" w:rsidRPr="008314D3" w:rsidRDefault="00EF68D6" w:rsidP="00EF68D6">
            <w:pPr>
              <w:spacing w:afterLines="20" w:after="48"/>
              <w:rPr>
                <w:rFonts w:eastAsia="Times New Roman" w:cs="Arial"/>
                <w:color w:val="000000"/>
                <w:lang w:eastAsia="en-GB"/>
              </w:rPr>
            </w:pPr>
            <w:r w:rsidRPr="008314D3">
              <w:rPr>
                <w:color w:val="000000"/>
              </w:rPr>
              <w:t>Staff Costs</w:t>
            </w:r>
          </w:p>
        </w:tc>
        <w:tc>
          <w:tcPr>
            <w:tcW w:w="2177" w:type="dxa"/>
            <w:shd w:val="clear" w:color="auto" w:fill="auto"/>
            <w:noWrap/>
            <w:vAlign w:val="center"/>
          </w:tcPr>
          <w:p w14:paraId="309944AD" w14:textId="269E6C45" w:rsidR="00EF68D6" w:rsidRPr="008314D3" w:rsidRDefault="00A256CD" w:rsidP="00EF68D6">
            <w:pPr>
              <w:spacing w:afterLines="20" w:after="48"/>
              <w:jc w:val="center"/>
              <w:rPr>
                <w:rFonts w:eastAsia="Times New Roman" w:cs="Arial"/>
                <w:color w:val="000000"/>
                <w:lang w:eastAsia="en-GB"/>
              </w:rPr>
            </w:pPr>
            <w:r>
              <w:rPr>
                <w:rFonts w:eastAsia="Times New Roman" w:cs="Arial"/>
                <w:color w:val="000000"/>
                <w:lang w:eastAsia="en-GB"/>
              </w:rPr>
              <w:t>167,171,247</w:t>
            </w:r>
          </w:p>
        </w:tc>
        <w:tc>
          <w:tcPr>
            <w:tcW w:w="1528" w:type="dxa"/>
            <w:shd w:val="clear" w:color="auto" w:fill="auto"/>
            <w:noWrap/>
            <w:vAlign w:val="center"/>
          </w:tcPr>
          <w:p w14:paraId="02EC7C7D" w14:textId="5DC8C240"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144,416,424 </w:t>
            </w:r>
          </w:p>
        </w:tc>
        <w:tc>
          <w:tcPr>
            <w:tcW w:w="1464" w:type="dxa"/>
            <w:vAlign w:val="center"/>
          </w:tcPr>
          <w:p w14:paraId="45708081" w14:textId="298D21A2"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128,554,442</w:t>
            </w:r>
          </w:p>
        </w:tc>
      </w:tr>
      <w:tr w:rsidR="00EF68D6" w:rsidRPr="008314D3" w14:paraId="158FEA27" w14:textId="77777777" w:rsidTr="008314D3">
        <w:trPr>
          <w:trHeight w:val="311"/>
          <w:jc w:val="center"/>
        </w:trPr>
        <w:tc>
          <w:tcPr>
            <w:tcW w:w="4057" w:type="dxa"/>
            <w:shd w:val="clear" w:color="auto" w:fill="auto"/>
            <w:noWrap/>
            <w:vAlign w:val="bottom"/>
          </w:tcPr>
          <w:p w14:paraId="52DCBCE8" w14:textId="77777777" w:rsidR="00EF68D6" w:rsidRPr="008314D3" w:rsidRDefault="00EF68D6" w:rsidP="00EF68D6">
            <w:pPr>
              <w:spacing w:afterLines="20" w:after="48"/>
              <w:rPr>
                <w:rFonts w:eastAsia="Times New Roman" w:cs="Arial"/>
                <w:color w:val="000000"/>
                <w:lang w:eastAsia="en-GB"/>
              </w:rPr>
            </w:pPr>
            <w:r w:rsidRPr="008314D3">
              <w:rPr>
                <w:color w:val="000000"/>
              </w:rPr>
              <w:t>Communication Costs</w:t>
            </w:r>
          </w:p>
        </w:tc>
        <w:tc>
          <w:tcPr>
            <w:tcW w:w="2177" w:type="dxa"/>
            <w:shd w:val="clear" w:color="auto" w:fill="auto"/>
            <w:noWrap/>
            <w:vAlign w:val="center"/>
          </w:tcPr>
          <w:p w14:paraId="7947F189" w14:textId="31682894" w:rsidR="00EF68D6" w:rsidRPr="008314D3" w:rsidRDefault="00A256CD" w:rsidP="00EF68D6">
            <w:pPr>
              <w:spacing w:afterLines="20" w:after="48"/>
              <w:jc w:val="center"/>
              <w:rPr>
                <w:rFonts w:eastAsia="Times New Roman" w:cs="Arial"/>
                <w:color w:val="000000"/>
                <w:lang w:eastAsia="en-GB"/>
              </w:rPr>
            </w:pPr>
            <w:r>
              <w:rPr>
                <w:rFonts w:eastAsia="Times New Roman" w:cs="Arial"/>
                <w:color w:val="000000"/>
                <w:lang w:eastAsia="en-GB"/>
              </w:rPr>
              <w:t>6,135,661</w:t>
            </w:r>
          </w:p>
        </w:tc>
        <w:tc>
          <w:tcPr>
            <w:tcW w:w="1528" w:type="dxa"/>
            <w:shd w:val="clear" w:color="auto" w:fill="auto"/>
            <w:noWrap/>
            <w:vAlign w:val="center"/>
          </w:tcPr>
          <w:p w14:paraId="580A0C21" w14:textId="79D0EF48" w:rsidR="00EF68D6" w:rsidRPr="008314D3" w:rsidRDefault="00EF68D6" w:rsidP="00EF68D6">
            <w:pPr>
              <w:spacing w:afterLines="20" w:after="48"/>
              <w:jc w:val="center"/>
              <w:rPr>
                <w:rFonts w:eastAsia="Times New Roman"/>
                <w:lang w:eastAsia="en-GB"/>
              </w:rPr>
            </w:pPr>
            <w:r w:rsidRPr="008314D3">
              <w:rPr>
                <w:color w:val="000000"/>
              </w:rPr>
              <w:t xml:space="preserve">       5,846,930 </w:t>
            </w:r>
          </w:p>
        </w:tc>
        <w:tc>
          <w:tcPr>
            <w:tcW w:w="1464" w:type="dxa"/>
            <w:vAlign w:val="center"/>
          </w:tcPr>
          <w:p w14:paraId="14803578" w14:textId="2650045E"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6,841,728</w:t>
            </w:r>
          </w:p>
        </w:tc>
      </w:tr>
      <w:tr w:rsidR="00EF68D6" w:rsidRPr="008314D3" w14:paraId="6E9AA7EE" w14:textId="77777777" w:rsidTr="008314D3">
        <w:trPr>
          <w:trHeight w:val="311"/>
          <w:jc w:val="center"/>
        </w:trPr>
        <w:tc>
          <w:tcPr>
            <w:tcW w:w="4057" w:type="dxa"/>
            <w:shd w:val="clear" w:color="auto" w:fill="auto"/>
            <w:noWrap/>
            <w:vAlign w:val="bottom"/>
          </w:tcPr>
          <w:p w14:paraId="4D169E6D" w14:textId="77777777" w:rsidR="00EF68D6" w:rsidRPr="008314D3" w:rsidRDefault="00EF68D6" w:rsidP="00EF68D6">
            <w:pPr>
              <w:spacing w:afterLines="20" w:after="48"/>
              <w:rPr>
                <w:rFonts w:eastAsia="Times New Roman" w:cs="Arial"/>
                <w:color w:val="000000"/>
                <w:lang w:eastAsia="en-GB"/>
              </w:rPr>
            </w:pPr>
            <w:r w:rsidRPr="008314D3">
              <w:rPr>
                <w:color w:val="000000"/>
              </w:rPr>
              <w:t>Promotion Costs</w:t>
            </w:r>
          </w:p>
        </w:tc>
        <w:tc>
          <w:tcPr>
            <w:tcW w:w="2177" w:type="dxa"/>
            <w:shd w:val="clear" w:color="auto" w:fill="auto"/>
            <w:noWrap/>
            <w:vAlign w:val="center"/>
          </w:tcPr>
          <w:p w14:paraId="77C8A7A4" w14:textId="68CDF145" w:rsidR="00EF68D6" w:rsidRPr="008314D3" w:rsidRDefault="00626F6A" w:rsidP="00EF68D6">
            <w:pPr>
              <w:spacing w:afterLines="20" w:after="48"/>
              <w:jc w:val="center"/>
              <w:rPr>
                <w:rFonts w:eastAsia="Times New Roman" w:cs="Arial"/>
                <w:color w:val="000000"/>
                <w:lang w:eastAsia="en-GB"/>
              </w:rPr>
            </w:pPr>
            <w:r>
              <w:rPr>
                <w:rFonts w:eastAsia="Times New Roman" w:cs="Arial"/>
                <w:color w:val="000000"/>
                <w:lang w:eastAsia="en-GB"/>
              </w:rPr>
              <w:t>1,062,735</w:t>
            </w:r>
          </w:p>
        </w:tc>
        <w:tc>
          <w:tcPr>
            <w:tcW w:w="1528" w:type="dxa"/>
            <w:shd w:val="clear" w:color="auto" w:fill="auto"/>
            <w:noWrap/>
            <w:vAlign w:val="center"/>
          </w:tcPr>
          <w:p w14:paraId="67D43BEE" w14:textId="5F789BC9"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2,087,319 </w:t>
            </w:r>
          </w:p>
        </w:tc>
        <w:tc>
          <w:tcPr>
            <w:tcW w:w="1464" w:type="dxa"/>
            <w:vAlign w:val="center"/>
          </w:tcPr>
          <w:p w14:paraId="540C1551" w14:textId="66C44CAF"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1,495,949</w:t>
            </w:r>
          </w:p>
        </w:tc>
      </w:tr>
      <w:tr w:rsidR="00EF68D6" w:rsidRPr="008314D3" w14:paraId="23C67118" w14:textId="77777777" w:rsidTr="008314D3">
        <w:trPr>
          <w:trHeight w:val="311"/>
          <w:jc w:val="center"/>
        </w:trPr>
        <w:tc>
          <w:tcPr>
            <w:tcW w:w="4057" w:type="dxa"/>
            <w:shd w:val="clear" w:color="auto" w:fill="auto"/>
            <w:noWrap/>
            <w:vAlign w:val="bottom"/>
          </w:tcPr>
          <w:p w14:paraId="3E2937B1" w14:textId="77777777" w:rsidR="00EF68D6" w:rsidRPr="008314D3" w:rsidRDefault="00EF68D6" w:rsidP="00EF68D6">
            <w:pPr>
              <w:spacing w:afterLines="20" w:after="48"/>
              <w:rPr>
                <w:rFonts w:eastAsia="Times New Roman" w:cs="Arial"/>
                <w:color w:val="000000"/>
                <w:lang w:eastAsia="en-GB"/>
              </w:rPr>
            </w:pPr>
            <w:r w:rsidRPr="008314D3">
              <w:rPr>
                <w:color w:val="000000"/>
              </w:rPr>
              <w:t>Establishment Costs</w:t>
            </w:r>
          </w:p>
        </w:tc>
        <w:tc>
          <w:tcPr>
            <w:tcW w:w="2177" w:type="dxa"/>
            <w:shd w:val="clear" w:color="auto" w:fill="auto"/>
            <w:noWrap/>
            <w:vAlign w:val="center"/>
          </w:tcPr>
          <w:p w14:paraId="4E4A603C" w14:textId="45D2289D" w:rsidR="00EF68D6" w:rsidRPr="008314D3" w:rsidRDefault="00626F6A" w:rsidP="00EF68D6">
            <w:pPr>
              <w:spacing w:afterLines="20" w:after="48"/>
              <w:jc w:val="center"/>
              <w:rPr>
                <w:rFonts w:eastAsia="Times New Roman" w:cs="Arial"/>
                <w:color w:val="000000"/>
                <w:lang w:eastAsia="en-GB"/>
              </w:rPr>
            </w:pPr>
            <w:r>
              <w:rPr>
                <w:rFonts w:eastAsia="Times New Roman" w:cs="Arial"/>
                <w:color w:val="000000"/>
                <w:lang w:eastAsia="en-GB"/>
              </w:rPr>
              <w:t>18,794,838</w:t>
            </w:r>
          </w:p>
        </w:tc>
        <w:tc>
          <w:tcPr>
            <w:tcW w:w="1528" w:type="dxa"/>
            <w:shd w:val="clear" w:color="auto" w:fill="auto"/>
            <w:noWrap/>
            <w:vAlign w:val="center"/>
          </w:tcPr>
          <w:p w14:paraId="165ABCF5" w14:textId="30FD46F6"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15,169,875 </w:t>
            </w:r>
          </w:p>
        </w:tc>
        <w:tc>
          <w:tcPr>
            <w:tcW w:w="1464" w:type="dxa"/>
            <w:vAlign w:val="center"/>
          </w:tcPr>
          <w:p w14:paraId="320FD0B5" w14:textId="13BEBACE"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17,237,847</w:t>
            </w:r>
          </w:p>
        </w:tc>
      </w:tr>
      <w:tr w:rsidR="00EF68D6" w:rsidRPr="008314D3" w14:paraId="6BE58051" w14:textId="77777777" w:rsidTr="008314D3">
        <w:trPr>
          <w:trHeight w:val="330"/>
          <w:jc w:val="center"/>
        </w:trPr>
        <w:tc>
          <w:tcPr>
            <w:tcW w:w="4057" w:type="dxa"/>
            <w:shd w:val="clear" w:color="auto" w:fill="auto"/>
            <w:noWrap/>
            <w:vAlign w:val="bottom"/>
          </w:tcPr>
          <w:p w14:paraId="0EED682F" w14:textId="77777777" w:rsidR="00EF68D6" w:rsidRPr="008314D3" w:rsidRDefault="00EF68D6" w:rsidP="00EF68D6">
            <w:pPr>
              <w:spacing w:afterLines="20" w:after="48"/>
              <w:rPr>
                <w:rFonts w:eastAsia="Times New Roman" w:cs="Arial"/>
                <w:b/>
                <w:bCs/>
                <w:color w:val="000000"/>
                <w:lang w:eastAsia="en-GB"/>
              </w:rPr>
            </w:pPr>
            <w:r w:rsidRPr="008314D3">
              <w:rPr>
                <w:color w:val="000000"/>
              </w:rPr>
              <w:t>ICT Maintenance Costs</w:t>
            </w:r>
          </w:p>
        </w:tc>
        <w:tc>
          <w:tcPr>
            <w:tcW w:w="2177" w:type="dxa"/>
            <w:shd w:val="clear" w:color="auto" w:fill="auto"/>
            <w:noWrap/>
            <w:vAlign w:val="center"/>
          </w:tcPr>
          <w:p w14:paraId="44C28AF9" w14:textId="5FFAB33B" w:rsidR="00EF68D6" w:rsidRPr="008314D3" w:rsidRDefault="00626F6A" w:rsidP="00EF68D6">
            <w:pPr>
              <w:spacing w:afterLines="20" w:after="48"/>
              <w:jc w:val="center"/>
              <w:rPr>
                <w:rFonts w:eastAsia="Times New Roman" w:cs="Arial"/>
                <w:color w:val="000000"/>
                <w:lang w:eastAsia="en-GB"/>
              </w:rPr>
            </w:pPr>
            <w:r>
              <w:rPr>
                <w:rFonts w:eastAsia="Times New Roman" w:cs="Arial"/>
                <w:color w:val="000000"/>
                <w:lang w:eastAsia="en-GB"/>
              </w:rPr>
              <w:t>10,776,868</w:t>
            </w:r>
          </w:p>
        </w:tc>
        <w:tc>
          <w:tcPr>
            <w:tcW w:w="1528" w:type="dxa"/>
            <w:shd w:val="clear" w:color="auto" w:fill="auto"/>
            <w:noWrap/>
            <w:vAlign w:val="center"/>
          </w:tcPr>
          <w:p w14:paraId="765A3943" w14:textId="7F981624"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7,690,274 </w:t>
            </w:r>
          </w:p>
        </w:tc>
        <w:tc>
          <w:tcPr>
            <w:tcW w:w="1464" w:type="dxa"/>
            <w:vAlign w:val="center"/>
          </w:tcPr>
          <w:p w14:paraId="7E53B220" w14:textId="17113386"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11,274,060</w:t>
            </w:r>
          </w:p>
        </w:tc>
      </w:tr>
      <w:tr w:rsidR="00EF68D6" w:rsidRPr="008314D3" w14:paraId="4F4378D1" w14:textId="77777777" w:rsidTr="008314D3">
        <w:trPr>
          <w:trHeight w:val="311"/>
          <w:jc w:val="center"/>
        </w:trPr>
        <w:tc>
          <w:tcPr>
            <w:tcW w:w="4057" w:type="dxa"/>
            <w:shd w:val="clear" w:color="auto" w:fill="auto"/>
            <w:noWrap/>
            <w:vAlign w:val="bottom"/>
          </w:tcPr>
          <w:p w14:paraId="5E7885A8" w14:textId="77777777" w:rsidR="00EF68D6" w:rsidRPr="008314D3" w:rsidRDefault="00EF68D6" w:rsidP="00EF68D6">
            <w:pPr>
              <w:spacing w:afterLines="20" w:after="48"/>
              <w:rPr>
                <w:rFonts w:eastAsia="Times New Roman" w:cs="Arial"/>
                <w:color w:val="000000"/>
                <w:lang w:eastAsia="en-GB"/>
              </w:rPr>
            </w:pPr>
            <w:r w:rsidRPr="008314D3">
              <w:rPr>
                <w:color w:val="000000"/>
              </w:rPr>
              <w:t>Repairs &amp; Renewals Cost</w:t>
            </w:r>
          </w:p>
        </w:tc>
        <w:tc>
          <w:tcPr>
            <w:tcW w:w="2177" w:type="dxa"/>
            <w:shd w:val="clear" w:color="auto" w:fill="auto"/>
            <w:noWrap/>
            <w:vAlign w:val="center"/>
          </w:tcPr>
          <w:p w14:paraId="50AC5CF7" w14:textId="125C2122" w:rsidR="00EF68D6" w:rsidRPr="008314D3" w:rsidRDefault="00626F6A" w:rsidP="00EF68D6">
            <w:pPr>
              <w:spacing w:afterLines="20" w:after="48"/>
              <w:jc w:val="center"/>
              <w:rPr>
                <w:rFonts w:eastAsia="Times New Roman"/>
                <w:lang w:eastAsia="en-GB"/>
              </w:rPr>
            </w:pPr>
            <w:r>
              <w:rPr>
                <w:rFonts w:eastAsia="Times New Roman"/>
                <w:lang w:eastAsia="en-GB"/>
              </w:rPr>
              <w:t>7,</w:t>
            </w:r>
            <w:r w:rsidR="00933DCB">
              <w:rPr>
                <w:rFonts w:eastAsia="Times New Roman"/>
                <w:lang w:eastAsia="en-GB"/>
              </w:rPr>
              <w:t>611,050</w:t>
            </w:r>
          </w:p>
        </w:tc>
        <w:tc>
          <w:tcPr>
            <w:tcW w:w="1528" w:type="dxa"/>
            <w:shd w:val="clear" w:color="auto" w:fill="auto"/>
            <w:noWrap/>
            <w:vAlign w:val="center"/>
          </w:tcPr>
          <w:p w14:paraId="7F774EE3" w14:textId="08966DED" w:rsidR="00EF68D6" w:rsidRPr="008314D3" w:rsidRDefault="00EF68D6" w:rsidP="00EF68D6">
            <w:pPr>
              <w:spacing w:afterLines="20" w:after="48"/>
              <w:jc w:val="center"/>
              <w:rPr>
                <w:rFonts w:eastAsia="Times New Roman"/>
                <w:lang w:eastAsia="en-GB"/>
              </w:rPr>
            </w:pPr>
            <w:r w:rsidRPr="008314D3">
              <w:rPr>
                <w:color w:val="000000"/>
              </w:rPr>
              <w:t xml:space="preserve">     10,114,063 </w:t>
            </w:r>
          </w:p>
        </w:tc>
        <w:tc>
          <w:tcPr>
            <w:tcW w:w="1464" w:type="dxa"/>
            <w:vAlign w:val="center"/>
          </w:tcPr>
          <w:p w14:paraId="1F1A4E88" w14:textId="09F2687C"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9,095,986</w:t>
            </w:r>
          </w:p>
        </w:tc>
      </w:tr>
      <w:tr w:rsidR="00EF68D6" w:rsidRPr="008314D3" w14:paraId="632C7CD4" w14:textId="77777777" w:rsidTr="008314D3">
        <w:trPr>
          <w:trHeight w:val="311"/>
          <w:jc w:val="center"/>
        </w:trPr>
        <w:tc>
          <w:tcPr>
            <w:tcW w:w="4057" w:type="dxa"/>
            <w:shd w:val="clear" w:color="auto" w:fill="auto"/>
            <w:noWrap/>
            <w:vAlign w:val="bottom"/>
          </w:tcPr>
          <w:p w14:paraId="6A7ED9B7" w14:textId="77777777" w:rsidR="00EF68D6" w:rsidRPr="008314D3" w:rsidRDefault="00EF68D6" w:rsidP="00EF68D6">
            <w:pPr>
              <w:spacing w:afterLines="20" w:after="48"/>
              <w:rPr>
                <w:rFonts w:eastAsia="Times New Roman" w:cs="Arial"/>
                <w:b/>
                <w:bCs/>
                <w:color w:val="000000"/>
                <w:lang w:eastAsia="en-GB"/>
              </w:rPr>
            </w:pPr>
            <w:r w:rsidRPr="008314D3">
              <w:rPr>
                <w:color w:val="000000"/>
              </w:rPr>
              <w:t>Legal &amp; Professional Cost</w:t>
            </w:r>
          </w:p>
        </w:tc>
        <w:tc>
          <w:tcPr>
            <w:tcW w:w="2177" w:type="dxa"/>
            <w:shd w:val="clear" w:color="auto" w:fill="auto"/>
            <w:noWrap/>
            <w:vAlign w:val="center"/>
          </w:tcPr>
          <w:p w14:paraId="1F7341FC" w14:textId="4BC3B25C" w:rsidR="00EF68D6" w:rsidRPr="008314D3" w:rsidRDefault="00933DCB" w:rsidP="00EF68D6">
            <w:pPr>
              <w:spacing w:afterLines="20" w:after="48"/>
              <w:jc w:val="center"/>
              <w:rPr>
                <w:rFonts w:eastAsia="Times New Roman" w:cs="Arial"/>
                <w:color w:val="000000"/>
                <w:lang w:eastAsia="en-GB"/>
              </w:rPr>
            </w:pPr>
            <w:r>
              <w:rPr>
                <w:rFonts w:eastAsia="Times New Roman" w:cs="Arial"/>
                <w:color w:val="000000"/>
                <w:lang w:eastAsia="en-GB"/>
              </w:rPr>
              <w:t>2,</w:t>
            </w:r>
            <w:r w:rsidR="009E01B7">
              <w:rPr>
                <w:rFonts w:eastAsia="Times New Roman" w:cs="Arial"/>
                <w:color w:val="000000"/>
                <w:lang w:eastAsia="en-GB"/>
              </w:rPr>
              <w:t>398,841</w:t>
            </w:r>
          </w:p>
        </w:tc>
        <w:tc>
          <w:tcPr>
            <w:tcW w:w="1528" w:type="dxa"/>
            <w:shd w:val="clear" w:color="auto" w:fill="auto"/>
            <w:noWrap/>
            <w:vAlign w:val="center"/>
          </w:tcPr>
          <w:p w14:paraId="23B727BB" w14:textId="0E03C08B" w:rsidR="00EF68D6" w:rsidRPr="008314D3" w:rsidRDefault="00EF68D6" w:rsidP="00EF68D6">
            <w:pPr>
              <w:spacing w:afterLines="20" w:after="48"/>
              <w:jc w:val="center"/>
              <w:rPr>
                <w:rFonts w:eastAsia="Times New Roman" w:cs="Arial"/>
                <w:color w:val="000000"/>
                <w:lang w:eastAsia="en-GB"/>
              </w:rPr>
            </w:pPr>
            <w:r w:rsidRPr="008314D3">
              <w:rPr>
                <w:color w:val="000000"/>
              </w:rPr>
              <w:t xml:space="preserve">       3,536,165 </w:t>
            </w:r>
          </w:p>
        </w:tc>
        <w:tc>
          <w:tcPr>
            <w:tcW w:w="1464" w:type="dxa"/>
            <w:vAlign w:val="center"/>
          </w:tcPr>
          <w:p w14:paraId="447BF9D7" w14:textId="339F177E" w:rsidR="00EF68D6" w:rsidRPr="008314D3" w:rsidRDefault="00EF68D6" w:rsidP="00EF68D6">
            <w:pPr>
              <w:spacing w:afterLines="20" w:after="48"/>
              <w:jc w:val="center"/>
              <w:rPr>
                <w:rFonts w:eastAsia="Times New Roman" w:cs="Arial"/>
                <w:color w:val="000000"/>
                <w:lang w:eastAsia="en-GB"/>
              </w:rPr>
            </w:pPr>
            <w:r w:rsidRPr="008314D3">
              <w:rPr>
                <w:rFonts w:eastAsia="Times New Roman" w:cs="Arial"/>
                <w:color w:val="000000"/>
                <w:lang w:eastAsia="en-GB"/>
              </w:rPr>
              <w:t>2,272,319</w:t>
            </w:r>
          </w:p>
        </w:tc>
      </w:tr>
      <w:tr w:rsidR="00EF68D6" w:rsidRPr="008314D3" w14:paraId="5D3D52AC" w14:textId="77777777" w:rsidTr="008314D3">
        <w:trPr>
          <w:trHeight w:val="311"/>
          <w:jc w:val="center"/>
        </w:trPr>
        <w:tc>
          <w:tcPr>
            <w:tcW w:w="4057" w:type="dxa"/>
            <w:shd w:val="clear" w:color="auto" w:fill="auto"/>
            <w:noWrap/>
            <w:vAlign w:val="bottom"/>
          </w:tcPr>
          <w:p w14:paraId="3CBDB50C" w14:textId="77777777" w:rsidR="00EF68D6" w:rsidRPr="008314D3" w:rsidRDefault="00EF68D6" w:rsidP="00EF68D6">
            <w:pPr>
              <w:spacing w:afterLines="20" w:after="48"/>
              <w:rPr>
                <w:rFonts w:eastAsia="Times New Roman" w:cs="Arial"/>
                <w:color w:val="000000"/>
                <w:lang w:eastAsia="en-GB"/>
              </w:rPr>
            </w:pPr>
            <w:r w:rsidRPr="008314D3">
              <w:rPr>
                <w:color w:val="000000"/>
              </w:rPr>
              <w:t>Taxpayer Costs</w:t>
            </w:r>
          </w:p>
        </w:tc>
        <w:tc>
          <w:tcPr>
            <w:tcW w:w="2177" w:type="dxa"/>
            <w:shd w:val="clear" w:color="auto" w:fill="auto"/>
            <w:noWrap/>
            <w:vAlign w:val="center"/>
          </w:tcPr>
          <w:p w14:paraId="54D753A4" w14:textId="7185F378" w:rsidR="00EF68D6" w:rsidRPr="008314D3" w:rsidRDefault="009E01B7" w:rsidP="00EF68D6">
            <w:pPr>
              <w:spacing w:afterLines="20" w:after="48"/>
              <w:jc w:val="center"/>
              <w:rPr>
                <w:rFonts w:eastAsia="Times New Roman"/>
                <w:lang w:eastAsia="en-GB"/>
              </w:rPr>
            </w:pPr>
            <w:r>
              <w:rPr>
                <w:rFonts w:eastAsia="Times New Roman"/>
                <w:lang w:eastAsia="en-GB"/>
              </w:rPr>
              <w:t>21,457,948</w:t>
            </w:r>
          </w:p>
        </w:tc>
        <w:tc>
          <w:tcPr>
            <w:tcW w:w="1528" w:type="dxa"/>
            <w:shd w:val="clear" w:color="auto" w:fill="auto"/>
            <w:noWrap/>
            <w:vAlign w:val="center"/>
          </w:tcPr>
          <w:p w14:paraId="63B0A2F4" w14:textId="40FE44C0" w:rsidR="00EF68D6" w:rsidRPr="008314D3" w:rsidRDefault="00EF68D6" w:rsidP="00EF68D6">
            <w:pPr>
              <w:spacing w:afterLines="20" w:after="48"/>
              <w:jc w:val="center"/>
              <w:rPr>
                <w:rFonts w:eastAsia="Times New Roman"/>
                <w:lang w:eastAsia="en-GB"/>
              </w:rPr>
            </w:pPr>
            <w:r w:rsidRPr="008314D3">
              <w:rPr>
                <w:color w:val="000000"/>
              </w:rPr>
              <w:t xml:space="preserve">     10,018,479 </w:t>
            </w:r>
          </w:p>
        </w:tc>
        <w:tc>
          <w:tcPr>
            <w:tcW w:w="1464" w:type="dxa"/>
            <w:vAlign w:val="center"/>
          </w:tcPr>
          <w:p w14:paraId="0A684575" w14:textId="79550A52"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16,021,171</w:t>
            </w:r>
          </w:p>
        </w:tc>
      </w:tr>
      <w:tr w:rsidR="00EF68D6" w:rsidRPr="008314D3" w14:paraId="3F9A6A44" w14:textId="77777777" w:rsidTr="008314D3">
        <w:trPr>
          <w:trHeight w:val="311"/>
          <w:jc w:val="center"/>
        </w:trPr>
        <w:tc>
          <w:tcPr>
            <w:tcW w:w="4057" w:type="dxa"/>
            <w:shd w:val="clear" w:color="auto" w:fill="auto"/>
            <w:noWrap/>
            <w:vAlign w:val="bottom"/>
          </w:tcPr>
          <w:p w14:paraId="14998108" w14:textId="77777777" w:rsidR="00EF68D6" w:rsidRPr="008314D3" w:rsidRDefault="00EF68D6" w:rsidP="00EF68D6">
            <w:pPr>
              <w:spacing w:afterLines="20" w:after="48"/>
              <w:rPr>
                <w:color w:val="000000"/>
              </w:rPr>
            </w:pPr>
            <w:r w:rsidRPr="008314D3">
              <w:rPr>
                <w:color w:val="000000"/>
              </w:rPr>
              <w:t>Other Costs</w:t>
            </w:r>
          </w:p>
        </w:tc>
        <w:tc>
          <w:tcPr>
            <w:tcW w:w="2177" w:type="dxa"/>
            <w:shd w:val="clear" w:color="auto" w:fill="auto"/>
            <w:noWrap/>
            <w:vAlign w:val="center"/>
          </w:tcPr>
          <w:p w14:paraId="5FF7BCA3" w14:textId="58B15F30" w:rsidR="00EF68D6" w:rsidRPr="008314D3" w:rsidRDefault="009E01B7" w:rsidP="00EF68D6">
            <w:pPr>
              <w:spacing w:afterLines="20" w:after="48"/>
              <w:jc w:val="center"/>
              <w:rPr>
                <w:rFonts w:eastAsia="Times New Roman"/>
                <w:lang w:eastAsia="en-GB"/>
              </w:rPr>
            </w:pPr>
            <w:r>
              <w:rPr>
                <w:rFonts w:eastAsia="Times New Roman"/>
                <w:lang w:eastAsia="en-GB"/>
              </w:rPr>
              <w:t>1,849,500</w:t>
            </w:r>
          </w:p>
        </w:tc>
        <w:tc>
          <w:tcPr>
            <w:tcW w:w="1528" w:type="dxa"/>
            <w:shd w:val="clear" w:color="auto" w:fill="auto"/>
            <w:noWrap/>
            <w:vAlign w:val="center"/>
          </w:tcPr>
          <w:p w14:paraId="3E0CA3EA" w14:textId="75A052B0" w:rsidR="00EF68D6" w:rsidRPr="008314D3" w:rsidRDefault="00EF68D6" w:rsidP="00EF68D6">
            <w:pPr>
              <w:spacing w:afterLines="20" w:after="48"/>
              <w:jc w:val="center"/>
              <w:rPr>
                <w:rFonts w:eastAsia="Times New Roman"/>
                <w:lang w:eastAsia="en-GB"/>
              </w:rPr>
            </w:pPr>
            <w:r w:rsidRPr="008314D3">
              <w:rPr>
                <w:color w:val="000000"/>
              </w:rPr>
              <w:t xml:space="preserve">       3,522,643 </w:t>
            </w:r>
          </w:p>
        </w:tc>
        <w:tc>
          <w:tcPr>
            <w:tcW w:w="1464" w:type="dxa"/>
            <w:vAlign w:val="center"/>
          </w:tcPr>
          <w:p w14:paraId="05F914AA" w14:textId="4E79EBEA"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2,220,749</w:t>
            </w:r>
          </w:p>
        </w:tc>
      </w:tr>
      <w:tr w:rsidR="00EF68D6" w:rsidRPr="008314D3" w14:paraId="10208B41" w14:textId="77777777" w:rsidTr="008314D3">
        <w:trPr>
          <w:trHeight w:val="311"/>
          <w:jc w:val="center"/>
        </w:trPr>
        <w:tc>
          <w:tcPr>
            <w:tcW w:w="4057" w:type="dxa"/>
            <w:shd w:val="clear" w:color="auto" w:fill="auto"/>
            <w:noWrap/>
            <w:vAlign w:val="bottom"/>
          </w:tcPr>
          <w:p w14:paraId="21EB8880" w14:textId="77777777" w:rsidR="00EF68D6" w:rsidRPr="008314D3" w:rsidRDefault="00EF68D6" w:rsidP="00EF68D6">
            <w:pPr>
              <w:spacing w:afterLines="20" w:after="48"/>
              <w:rPr>
                <w:color w:val="000000"/>
              </w:rPr>
            </w:pPr>
            <w:r w:rsidRPr="008314D3">
              <w:rPr>
                <w:color w:val="000000"/>
              </w:rPr>
              <w:t>Finance Cost</w:t>
            </w:r>
          </w:p>
        </w:tc>
        <w:tc>
          <w:tcPr>
            <w:tcW w:w="2177" w:type="dxa"/>
            <w:shd w:val="clear" w:color="auto" w:fill="auto"/>
            <w:noWrap/>
            <w:vAlign w:val="center"/>
          </w:tcPr>
          <w:p w14:paraId="63E04926" w14:textId="41D42883" w:rsidR="00EF68D6" w:rsidRPr="008314D3" w:rsidRDefault="009F3DCF" w:rsidP="00EF68D6">
            <w:pPr>
              <w:spacing w:afterLines="20" w:after="48"/>
              <w:jc w:val="center"/>
              <w:rPr>
                <w:rFonts w:eastAsia="Times New Roman"/>
                <w:lang w:eastAsia="en-GB"/>
              </w:rPr>
            </w:pPr>
            <w:r>
              <w:rPr>
                <w:rFonts w:eastAsia="Times New Roman"/>
                <w:lang w:eastAsia="en-GB"/>
              </w:rPr>
              <w:t>654,853</w:t>
            </w:r>
          </w:p>
        </w:tc>
        <w:tc>
          <w:tcPr>
            <w:tcW w:w="1528" w:type="dxa"/>
            <w:shd w:val="clear" w:color="auto" w:fill="auto"/>
            <w:noWrap/>
            <w:vAlign w:val="center"/>
          </w:tcPr>
          <w:p w14:paraId="2E632EEB" w14:textId="22911B15" w:rsidR="00EF68D6" w:rsidRPr="008314D3" w:rsidRDefault="00EF68D6" w:rsidP="00EF68D6">
            <w:pPr>
              <w:spacing w:afterLines="20" w:after="48"/>
              <w:jc w:val="center"/>
              <w:rPr>
                <w:rFonts w:eastAsia="Times New Roman"/>
                <w:lang w:eastAsia="en-GB"/>
              </w:rPr>
            </w:pPr>
            <w:r w:rsidRPr="008314D3">
              <w:rPr>
                <w:color w:val="000000"/>
              </w:rPr>
              <w:t xml:space="preserve">       3,486,119 </w:t>
            </w:r>
          </w:p>
        </w:tc>
        <w:tc>
          <w:tcPr>
            <w:tcW w:w="1464" w:type="dxa"/>
            <w:vAlign w:val="center"/>
          </w:tcPr>
          <w:p w14:paraId="2E0BA75E" w14:textId="365C613A"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3,456,741</w:t>
            </w:r>
          </w:p>
        </w:tc>
      </w:tr>
      <w:tr w:rsidR="00EF68D6" w:rsidRPr="008314D3" w14:paraId="6E705ADF" w14:textId="77777777" w:rsidTr="008314D3">
        <w:trPr>
          <w:trHeight w:val="311"/>
          <w:jc w:val="center"/>
        </w:trPr>
        <w:tc>
          <w:tcPr>
            <w:tcW w:w="4057" w:type="dxa"/>
            <w:shd w:val="clear" w:color="auto" w:fill="auto"/>
            <w:noWrap/>
            <w:vAlign w:val="bottom"/>
          </w:tcPr>
          <w:p w14:paraId="4B8B08BD" w14:textId="77777777" w:rsidR="00EF68D6" w:rsidRPr="008314D3" w:rsidRDefault="00EF68D6" w:rsidP="00EF68D6">
            <w:pPr>
              <w:spacing w:afterLines="20" w:after="48"/>
              <w:rPr>
                <w:color w:val="000000"/>
              </w:rPr>
            </w:pPr>
            <w:r w:rsidRPr="008314D3">
              <w:rPr>
                <w:color w:val="000000"/>
              </w:rPr>
              <w:t>Depreciation &amp; Amortisation</w:t>
            </w:r>
          </w:p>
        </w:tc>
        <w:tc>
          <w:tcPr>
            <w:tcW w:w="2177" w:type="dxa"/>
            <w:shd w:val="clear" w:color="auto" w:fill="auto"/>
            <w:noWrap/>
            <w:vAlign w:val="center"/>
          </w:tcPr>
          <w:p w14:paraId="2FDB297B" w14:textId="2EB48DB1" w:rsidR="00EF68D6" w:rsidRPr="008314D3" w:rsidRDefault="009F3DCF" w:rsidP="00EF68D6">
            <w:pPr>
              <w:spacing w:afterLines="20" w:after="48"/>
              <w:jc w:val="center"/>
              <w:rPr>
                <w:rFonts w:eastAsia="Times New Roman"/>
                <w:lang w:eastAsia="en-GB"/>
              </w:rPr>
            </w:pPr>
            <w:r>
              <w:rPr>
                <w:rFonts w:eastAsia="Times New Roman"/>
                <w:lang w:eastAsia="en-GB"/>
              </w:rPr>
              <w:t>13,074,384</w:t>
            </w:r>
          </w:p>
        </w:tc>
        <w:tc>
          <w:tcPr>
            <w:tcW w:w="1528" w:type="dxa"/>
            <w:shd w:val="clear" w:color="auto" w:fill="auto"/>
            <w:noWrap/>
            <w:vAlign w:val="center"/>
          </w:tcPr>
          <w:p w14:paraId="05D31FF7" w14:textId="33C8B2E5" w:rsidR="00EF68D6" w:rsidRPr="008314D3" w:rsidRDefault="00EF68D6" w:rsidP="00EF68D6">
            <w:pPr>
              <w:spacing w:afterLines="20" w:after="48"/>
              <w:jc w:val="center"/>
              <w:rPr>
                <w:rFonts w:eastAsia="Times New Roman"/>
                <w:lang w:eastAsia="en-GB"/>
              </w:rPr>
            </w:pPr>
            <w:r w:rsidRPr="008314D3">
              <w:rPr>
                <w:color w:val="000000"/>
              </w:rPr>
              <w:t xml:space="preserve">       5,352,680 </w:t>
            </w:r>
          </w:p>
        </w:tc>
        <w:tc>
          <w:tcPr>
            <w:tcW w:w="1464" w:type="dxa"/>
            <w:vAlign w:val="center"/>
          </w:tcPr>
          <w:p w14:paraId="0F7DF6C3" w14:textId="110AB328" w:rsidR="00EF68D6" w:rsidRPr="008314D3" w:rsidRDefault="00EF68D6" w:rsidP="00EF68D6">
            <w:pPr>
              <w:spacing w:afterLines="20" w:after="48"/>
              <w:jc w:val="center"/>
              <w:rPr>
                <w:rFonts w:eastAsia="Times New Roman"/>
                <w:lang w:eastAsia="en-GB"/>
              </w:rPr>
            </w:pPr>
            <w:r w:rsidRPr="008314D3">
              <w:rPr>
                <w:rFonts w:eastAsia="Times New Roman" w:cs="Arial"/>
                <w:color w:val="000000"/>
                <w:lang w:eastAsia="en-GB"/>
              </w:rPr>
              <w:t>5,183,571</w:t>
            </w:r>
          </w:p>
        </w:tc>
      </w:tr>
      <w:tr w:rsidR="00EF68D6" w:rsidRPr="008314D3" w14:paraId="29865085" w14:textId="77777777" w:rsidTr="008314D3">
        <w:trPr>
          <w:trHeight w:val="311"/>
          <w:jc w:val="center"/>
        </w:trPr>
        <w:tc>
          <w:tcPr>
            <w:tcW w:w="4057" w:type="dxa"/>
            <w:shd w:val="clear" w:color="auto" w:fill="auto"/>
            <w:noWrap/>
            <w:vAlign w:val="bottom"/>
          </w:tcPr>
          <w:p w14:paraId="675B1A84" w14:textId="77777777" w:rsidR="00EF68D6" w:rsidRPr="008314D3" w:rsidRDefault="00EF68D6" w:rsidP="00EF68D6">
            <w:pPr>
              <w:spacing w:afterLines="20" w:after="48"/>
              <w:rPr>
                <w:color w:val="000000"/>
              </w:rPr>
            </w:pPr>
            <w:r w:rsidRPr="008314D3">
              <w:rPr>
                <w:b/>
                <w:bCs/>
                <w:color w:val="000000"/>
              </w:rPr>
              <w:t>Total Expenditure</w:t>
            </w:r>
          </w:p>
        </w:tc>
        <w:tc>
          <w:tcPr>
            <w:tcW w:w="2177" w:type="dxa"/>
            <w:shd w:val="clear" w:color="auto" w:fill="auto"/>
            <w:noWrap/>
            <w:vAlign w:val="center"/>
          </w:tcPr>
          <w:p w14:paraId="2D151D62" w14:textId="0A3FB154" w:rsidR="00EF68D6" w:rsidRPr="008314D3" w:rsidRDefault="0071386A" w:rsidP="00EF68D6">
            <w:pPr>
              <w:spacing w:afterLines="20" w:after="48"/>
              <w:jc w:val="center"/>
              <w:rPr>
                <w:rFonts w:eastAsia="Times New Roman"/>
                <w:b/>
                <w:bCs/>
                <w:lang w:eastAsia="en-GB"/>
              </w:rPr>
            </w:pPr>
            <w:r>
              <w:rPr>
                <w:rFonts w:eastAsia="Times New Roman"/>
                <w:b/>
                <w:bCs/>
                <w:lang w:eastAsia="en-GB"/>
              </w:rPr>
              <w:t>261,903,109</w:t>
            </w:r>
          </w:p>
        </w:tc>
        <w:tc>
          <w:tcPr>
            <w:tcW w:w="1528" w:type="dxa"/>
            <w:shd w:val="clear" w:color="auto" w:fill="auto"/>
            <w:noWrap/>
            <w:vAlign w:val="center"/>
          </w:tcPr>
          <w:p w14:paraId="1E1513DE" w14:textId="3583D2DC" w:rsidR="00EF68D6" w:rsidRPr="008314D3" w:rsidRDefault="00EF68D6" w:rsidP="00EF68D6">
            <w:pPr>
              <w:spacing w:afterLines="20" w:after="48"/>
              <w:jc w:val="center"/>
              <w:rPr>
                <w:rFonts w:eastAsia="Times New Roman"/>
                <w:b/>
                <w:bCs/>
                <w:lang w:eastAsia="en-GB"/>
              </w:rPr>
            </w:pPr>
            <w:r w:rsidRPr="008314D3">
              <w:rPr>
                <w:b/>
                <w:bCs/>
                <w:color w:val="000000"/>
              </w:rPr>
              <w:t xml:space="preserve">  217,709,831 </w:t>
            </w:r>
          </w:p>
        </w:tc>
        <w:tc>
          <w:tcPr>
            <w:tcW w:w="1464" w:type="dxa"/>
            <w:vAlign w:val="center"/>
          </w:tcPr>
          <w:p w14:paraId="29A7E844" w14:textId="6287CB23" w:rsidR="00EF68D6" w:rsidRPr="008314D3" w:rsidRDefault="00EF68D6" w:rsidP="00EF68D6">
            <w:pPr>
              <w:spacing w:afterLines="20" w:after="48"/>
              <w:jc w:val="center"/>
              <w:rPr>
                <w:rFonts w:eastAsia="Times New Roman"/>
                <w:b/>
                <w:bCs/>
                <w:lang w:eastAsia="en-GB"/>
              </w:rPr>
            </w:pPr>
            <w:r w:rsidRPr="008314D3">
              <w:rPr>
                <w:rFonts w:eastAsia="Times New Roman" w:cs="Arial"/>
                <w:b/>
                <w:bCs/>
                <w:color w:val="000000"/>
                <w:lang w:eastAsia="en-GB"/>
              </w:rPr>
              <w:t>212,916,681</w:t>
            </w:r>
          </w:p>
        </w:tc>
      </w:tr>
      <w:tr w:rsidR="00EF68D6" w:rsidRPr="008314D3" w14:paraId="36056537" w14:textId="77777777" w:rsidTr="008314D3">
        <w:trPr>
          <w:trHeight w:val="311"/>
          <w:jc w:val="center"/>
        </w:trPr>
        <w:tc>
          <w:tcPr>
            <w:tcW w:w="4057" w:type="dxa"/>
            <w:shd w:val="clear" w:color="auto" w:fill="auto"/>
            <w:noWrap/>
            <w:vAlign w:val="bottom"/>
          </w:tcPr>
          <w:p w14:paraId="20CBD3A9" w14:textId="77777777" w:rsidR="00EF68D6" w:rsidRPr="008314D3" w:rsidRDefault="00EF68D6" w:rsidP="00EF68D6">
            <w:pPr>
              <w:spacing w:afterLines="20" w:after="48"/>
              <w:rPr>
                <w:b/>
                <w:bCs/>
                <w:color w:val="000000"/>
              </w:rPr>
            </w:pPr>
          </w:p>
        </w:tc>
        <w:tc>
          <w:tcPr>
            <w:tcW w:w="2177" w:type="dxa"/>
            <w:shd w:val="clear" w:color="auto" w:fill="auto"/>
            <w:noWrap/>
            <w:vAlign w:val="center"/>
          </w:tcPr>
          <w:p w14:paraId="4683CFF6" w14:textId="77777777" w:rsidR="00EF68D6" w:rsidRPr="008314D3" w:rsidRDefault="00EF68D6" w:rsidP="00EF68D6">
            <w:pPr>
              <w:spacing w:afterLines="20" w:after="48"/>
              <w:jc w:val="center"/>
              <w:rPr>
                <w:rFonts w:eastAsia="Times New Roman"/>
                <w:lang w:eastAsia="en-GB"/>
              </w:rPr>
            </w:pPr>
          </w:p>
        </w:tc>
        <w:tc>
          <w:tcPr>
            <w:tcW w:w="1528" w:type="dxa"/>
            <w:shd w:val="clear" w:color="auto" w:fill="auto"/>
            <w:noWrap/>
            <w:vAlign w:val="center"/>
          </w:tcPr>
          <w:p w14:paraId="49CDFAD7" w14:textId="77777777" w:rsidR="00EF68D6" w:rsidRPr="008314D3" w:rsidRDefault="00EF68D6" w:rsidP="00EF68D6">
            <w:pPr>
              <w:spacing w:afterLines="20" w:after="48"/>
              <w:jc w:val="center"/>
              <w:rPr>
                <w:rFonts w:eastAsia="Times New Roman"/>
                <w:lang w:eastAsia="en-GB"/>
              </w:rPr>
            </w:pPr>
          </w:p>
        </w:tc>
        <w:tc>
          <w:tcPr>
            <w:tcW w:w="1464" w:type="dxa"/>
            <w:vAlign w:val="center"/>
          </w:tcPr>
          <w:p w14:paraId="7E1CE836" w14:textId="77777777" w:rsidR="00EF68D6" w:rsidRPr="008314D3" w:rsidRDefault="00EF68D6" w:rsidP="00EF68D6">
            <w:pPr>
              <w:spacing w:afterLines="20" w:after="48"/>
              <w:jc w:val="center"/>
              <w:rPr>
                <w:rFonts w:eastAsia="Times New Roman"/>
                <w:lang w:eastAsia="en-GB"/>
              </w:rPr>
            </w:pPr>
          </w:p>
        </w:tc>
      </w:tr>
      <w:tr w:rsidR="00EF68D6" w:rsidRPr="008314D3" w14:paraId="28D38B0E" w14:textId="77777777" w:rsidTr="008314D3">
        <w:trPr>
          <w:trHeight w:val="311"/>
          <w:jc w:val="center"/>
        </w:trPr>
        <w:tc>
          <w:tcPr>
            <w:tcW w:w="4057" w:type="dxa"/>
            <w:shd w:val="clear" w:color="auto" w:fill="auto"/>
            <w:noWrap/>
            <w:vAlign w:val="bottom"/>
          </w:tcPr>
          <w:p w14:paraId="0808C3BA" w14:textId="77777777" w:rsidR="00EF68D6" w:rsidRPr="008314D3" w:rsidRDefault="00EF68D6" w:rsidP="00EF68D6">
            <w:pPr>
              <w:spacing w:afterLines="20" w:after="48"/>
              <w:rPr>
                <w:b/>
                <w:bCs/>
                <w:color w:val="000000"/>
              </w:rPr>
            </w:pPr>
            <w:r w:rsidRPr="008314D3">
              <w:rPr>
                <w:b/>
                <w:bCs/>
                <w:color w:val="000000"/>
              </w:rPr>
              <w:t>Result for the Year</w:t>
            </w:r>
          </w:p>
        </w:tc>
        <w:tc>
          <w:tcPr>
            <w:tcW w:w="2177" w:type="dxa"/>
            <w:shd w:val="clear" w:color="auto" w:fill="auto"/>
            <w:noWrap/>
            <w:vAlign w:val="center"/>
          </w:tcPr>
          <w:p w14:paraId="53497AC1" w14:textId="0FFF83D5" w:rsidR="00EF68D6" w:rsidRPr="008314D3" w:rsidRDefault="002E108C" w:rsidP="00EF68D6">
            <w:pPr>
              <w:spacing w:afterLines="20" w:after="48"/>
              <w:jc w:val="center"/>
              <w:rPr>
                <w:rFonts w:eastAsia="Times New Roman"/>
                <w:b/>
                <w:bCs/>
                <w:lang w:eastAsia="en-GB"/>
              </w:rPr>
            </w:pPr>
            <w:r>
              <w:rPr>
                <w:rFonts w:eastAsia="Times New Roman"/>
                <w:b/>
                <w:bCs/>
                <w:lang w:eastAsia="en-GB"/>
              </w:rPr>
              <w:t>32,912,760</w:t>
            </w:r>
          </w:p>
        </w:tc>
        <w:tc>
          <w:tcPr>
            <w:tcW w:w="1528" w:type="dxa"/>
            <w:shd w:val="clear" w:color="auto" w:fill="auto"/>
            <w:noWrap/>
            <w:vAlign w:val="center"/>
          </w:tcPr>
          <w:p w14:paraId="44F72331" w14:textId="1D3D0955" w:rsidR="00EF68D6" w:rsidRPr="008314D3" w:rsidRDefault="00EF68D6" w:rsidP="00EF68D6">
            <w:pPr>
              <w:spacing w:afterLines="20" w:after="48"/>
              <w:jc w:val="center"/>
              <w:rPr>
                <w:rFonts w:eastAsia="Times New Roman"/>
                <w:b/>
                <w:bCs/>
                <w:lang w:eastAsia="en-GB"/>
              </w:rPr>
            </w:pPr>
            <w:r w:rsidRPr="008314D3">
              <w:rPr>
                <w:b/>
                <w:bCs/>
                <w:color w:val="000000"/>
              </w:rPr>
              <w:t xml:space="preserve">(21,185,712) </w:t>
            </w:r>
          </w:p>
        </w:tc>
        <w:tc>
          <w:tcPr>
            <w:tcW w:w="1464" w:type="dxa"/>
            <w:vAlign w:val="center"/>
          </w:tcPr>
          <w:p w14:paraId="580DE9EA" w14:textId="0E88F41B" w:rsidR="00EF68D6" w:rsidRPr="008314D3" w:rsidRDefault="00EF68D6" w:rsidP="00EF68D6">
            <w:pPr>
              <w:spacing w:afterLines="20" w:after="48"/>
              <w:jc w:val="center"/>
              <w:rPr>
                <w:rFonts w:eastAsia="Times New Roman"/>
                <w:b/>
                <w:bCs/>
                <w:lang w:eastAsia="en-GB"/>
              </w:rPr>
            </w:pPr>
            <w:r w:rsidRPr="008314D3">
              <w:rPr>
                <w:rFonts w:eastAsia="Times New Roman" w:cs="Arial"/>
                <w:b/>
                <w:bCs/>
                <w:color w:val="000000"/>
                <w:lang w:eastAsia="en-GB"/>
              </w:rPr>
              <w:t>1,514,129</w:t>
            </w:r>
          </w:p>
        </w:tc>
      </w:tr>
    </w:tbl>
    <w:p w14:paraId="333C4543" w14:textId="77777777" w:rsidR="007A2A44" w:rsidRDefault="007A2A44" w:rsidP="007A2A44">
      <w:pPr>
        <w:rPr>
          <w:lang w:val="en-GB"/>
        </w:rPr>
      </w:pPr>
    </w:p>
    <w:p w14:paraId="67AE21EB" w14:textId="77777777" w:rsidR="00D66DF0" w:rsidRDefault="00D66DF0" w:rsidP="007A2A44">
      <w:pPr>
        <w:rPr>
          <w:lang w:val="en-GB"/>
        </w:rPr>
      </w:pPr>
    </w:p>
    <w:p w14:paraId="341A544C" w14:textId="77777777" w:rsidR="00D66DF0" w:rsidRDefault="00D66DF0" w:rsidP="007A2A44">
      <w:pPr>
        <w:rPr>
          <w:lang w:val="en-GB"/>
        </w:rPr>
      </w:pPr>
    </w:p>
    <w:p w14:paraId="64308289" w14:textId="77777777" w:rsidR="00D66DF0" w:rsidRDefault="00D66DF0" w:rsidP="007A2A44">
      <w:pPr>
        <w:rPr>
          <w:lang w:val="en-GB"/>
        </w:rPr>
      </w:pPr>
    </w:p>
    <w:p w14:paraId="708C700B" w14:textId="77777777" w:rsidR="00D66DF0" w:rsidRDefault="00D66DF0" w:rsidP="007A2A44">
      <w:pPr>
        <w:rPr>
          <w:lang w:val="en-GB"/>
        </w:rPr>
      </w:pPr>
    </w:p>
    <w:p w14:paraId="43D8937E" w14:textId="77777777" w:rsidR="00D66DF0" w:rsidRPr="007A2A44" w:rsidRDefault="00D66DF0" w:rsidP="007A2A44">
      <w:pPr>
        <w:rPr>
          <w:lang w:val="en-GB"/>
        </w:rPr>
      </w:pPr>
    </w:p>
    <w:p w14:paraId="70C1C4F1" w14:textId="61F96722" w:rsidR="00616B6A" w:rsidRPr="00E74B26" w:rsidRDefault="00616B6A" w:rsidP="00E74B26">
      <w:pPr>
        <w:jc w:val="center"/>
        <w:rPr>
          <w:rFonts w:ascii="Baskerville Old Face" w:hAnsi="Baskerville Old Face"/>
          <w:b/>
          <w:bCs/>
          <w:sz w:val="24"/>
          <w:szCs w:val="24"/>
          <w:u w:val="single"/>
          <w:lang w:val="en-GB"/>
        </w:rPr>
      </w:pPr>
      <w:r w:rsidRPr="00E74B26">
        <w:rPr>
          <w:rFonts w:ascii="Baskerville Old Face" w:hAnsi="Baskerville Old Face"/>
          <w:b/>
          <w:bCs/>
          <w:sz w:val="24"/>
          <w:szCs w:val="24"/>
          <w:u w:val="single"/>
          <w:lang w:val="en-GB"/>
        </w:rPr>
        <w:t>STATEMENT OF FINANCIAL POSITION</w:t>
      </w:r>
    </w:p>
    <w:p w14:paraId="7EC712FA" w14:textId="77777777" w:rsidR="007D6533" w:rsidRDefault="007D6533" w:rsidP="007D6533">
      <w:pPr>
        <w:rPr>
          <w:lang w:val="en-GB"/>
        </w:rPr>
      </w:pPr>
    </w:p>
    <w:p w14:paraId="18905B7D" w14:textId="77777777" w:rsidR="007D6533" w:rsidRDefault="007D6533" w:rsidP="007D6533">
      <w:pPr>
        <w:jc w:val="center"/>
        <w:rPr>
          <w:b/>
          <w:bCs/>
          <w:sz w:val="24"/>
          <w:szCs w:val="24"/>
        </w:rPr>
      </w:pPr>
    </w:p>
    <w:tbl>
      <w:tblPr>
        <w:tblW w:w="9657" w:type="dxa"/>
        <w:tblLook w:val="04A0" w:firstRow="1" w:lastRow="0" w:firstColumn="1" w:lastColumn="0" w:noHBand="0" w:noVBand="1"/>
      </w:tblPr>
      <w:tblGrid>
        <w:gridCol w:w="4106"/>
        <w:gridCol w:w="2127"/>
        <w:gridCol w:w="1723"/>
        <w:gridCol w:w="1701"/>
      </w:tblGrid>
      <w:tr w:rsidR="007D6533" w:rsidRPr="007D6533" w14:paraId="5EF3F84E" w14:textId="77777777" w:rsidTr="005941B2">
        <w:trPr>
          <w:trHeight w:val="202"/>
        </w:trPr>
        <w:tc>
          <w:tcPr>
            <w:tcW w:w="4106" w:type="dxa"/>
            <w:shd w:val="clear" w:color="auto" w:fill="auto"/>
            <w:noWrap/>
            <w:vAlign w:val="bottom"/>
          </w:tcPr>
          <w:p w14:paraId="75127A83" w14:textId="77777777" w:rsidR="007D6533" w:rsidRPr="007D6533" w:rsidRDefault="007D6533" w:rsidP="001950A1">
            <w:pPr>
              <w:spacing w:afterLines="20" w:after="48" w:line="240" w:lineRule="auto"/>
              <w:rPr>
                <w:rFonts w:eastAsia="Times New Roman"/>
                <w:lang w:eastAsia="en-GB"/>
              </w:rPr>
            </w:pPr>
            <w:r w:rsidRPr="007D6533">
              <w:rPr>
                <w:b/>
                <w:bCs/>
                <w:color w:val="000000"/>
              </w:rPr>
              <w:t>Assets</w:t>
            </w:r>
          </w:p>
        </w:tc>
        <w:tc>
          <w:tcPr>
            <w:tcW w:w="2127" w:type="dxa"/>
            <w:shd w:val="clear" w:color="auto" w:fill="auto"/>
            <w:noWrap/>
            <w:vAlign w:val="bottom"/>
          </w:tcPr>
          <w:p w14:paraId="60F2E4F4" w14:textId="74FEBC94" w:rsidR="007D6533" w:rsidRPr="007D6533" w:rsidRDefault="007D6533" w:rsidP="001950A1">
            <w:pPr>
              <w:spacing w:afterLines="20" w:after="48" w:line="240" w:lineRule="auto"/>
              <w:jc w:val="center"/>
              <w:rPr>
                <w:rFonts w:eastAsia="Times New Roman" w:cs="Arial"/>
                <w:b/>
                <w:bCs/>
                <w:color w:val="000000"/>
                <w:lang w:eastAsia="en-GB"/>
              </w:rPr>
            </w:pPr>
            <w:r w:rsidRPr="007D6533">
              <w:rPr>
                <w:rFonts w:eastAsia="Times New Roman" w:cs="Arial"/>
                <w:b/>
                <w:bCs/>
                <w:color w:val="000000"/>
                <w:lang w:eastAsia="en-GB"/>
              </w:rPr>
              <w:t>202</w:t>
            </w:r>
            <w:r w:rsidR="00EF68D6">
              <w:rPr>
                <w:rFonts w:eastAsia="Times New Roman" w:cs="Arial"/>
                <w:b/>
                <w:bCs/>
                <w:color w:val="000000"/>
                <w:lang w:eastAsia="en-GB"/>
              </w:rPr>
              <w:t>3</w:t>
            </w:r>
          </w:p>
        </w:tc>
        <w:tc>
          <w:tcPr>
            <w:tcW w:w="1723" w:type="dxa"/>
            <w:shd w:val="clear" w:color="auto" w:fill="auto"/>
            <w:noWrap/>
            <w:vAlign w:val="bottom"/>
          </w:tcPr>
          <w:p w14:paraId="61465E19" w14:textId="2868A927" w:rsidR="007D6533" w:rsidRPr="007D6533" w:rsidRDefault="007D6533" w:rsidP="001950A1">
            <w:pPr>
              <w:spacing w:afterLines="20" w:after="48" w:line="240" w:lineRule="auto"/>
              <w:jc w:val="center"/>
              <w:rPr>
                <w:rFonts w:eastAsia="Times New Roman" w:cs="Arial"/>
                <w:b/>
                <w:bCs/>
                <w:color w:val="000000"/>
                <w:lang w:eastAsia="en-GB"/>
              </w:rPr>
            </w:pPr>
            <w:r w:rsidRPr="007D6533">
              <w:rPr>
                <w:rFonts w:eastAsia="Times New Roman" w:cs="Arial"/>
                <w:b/>
                <w:bCs/>
                <w:color w:val="000000"/>
                <w:lang w:eastAsia="en-GB"/>
              </w:rPr>
              <w:t>202</w:t>
            </w:r>
            <w:r w:rsidR="00281846">
              <w:rPr>
                <w:rFonts w:eastAsia="Times New Roman" w:cs="Arial"/>
                <w:b/>
                <w:bCs/>
                <w:color w:val="000000"/>
                <w:lang w:eastAsia="en-GB"/>
              </w:rPr>
              <w:t>2</w:t>
            </w:r>
          </w:p>
        </w:tc>
        <w:tc>
          <w:tcPr>
            <w:tcW w:w="1701" w:type="dxa"/>
            <w:shd w:val="clear" w:color="auto" w:fill="auto"/>
            <w:noWrap/>
            <w:vAlign w:val="bottom"/>
          </w:tcPr>
          <w:p w14:paraId="6394CFC7" w14:textId="0FB37D91" w:rsidR="007D6533" w:rsidRPr="007D6533" w:rsidRDefault="007D6533" w:rsidP="001950A1">
            <w:pPr>
              <w:spacing w:afterLines="20" w:after="48" w:line="240" w:lineRule="auto"/>
              <w:jc w:val="center"/>
              <w:rPr>
                <w:rFonts w:eastAsia="Times New Roman" w:cs="Arial"/>
                <w:b/>
                <w:bCs/>
                <w:color w:val="000000"/>
                <w:lang w:eastAsia="en-GB"/>
              </w:rPr>
            </w:pPr>
            <w:r w:rsidRPr="007D6533">
              <w:rPr>
                <w:rFonts w:eastAsia="Times New Roman" w:cs="Arial"/>
                <w:b/>
                <w:bCs/>
                <w:color w:val="000000"/>
                <w:lang w:eastAsia="en-GB"/>
              </w:rPr>
              <w:t>202</w:t>
            </w:r>
            <w:r w:rsidR="00EF68D6">
              <w:rPr>
                <w:rFonts w:eastAsia="Times New Roman" w:cs="Arial"/>
                <w:b/>
                <w:bCs/>
                <w:color w:val="000000"/>
                <w:lang w:eastAsia="en-GB"/>
              </w:rPr>
              <w:t>1</w:t>
            </w:r>
          </w:p>
        </w:tc>
      </w:tr>
      <w:tr w:rsidR="007D6533" w:rsidRPr="007D6533" w14:paraId="2E52500C" w14:textId="77777777" w:rsidTr="005941B2">
        <w:trPr>
          <w:trHeight w:val="202"/>
        </w:trPr>
        <w:tc>
          <w:tcPr>
            <w:tcW w:w="4106" w:type="dxa"/>
            <w:shd w:val="clear" w:color="auto" w:fill="auto"/>
            <w:noWrap/>
            <w:vAlign w:val="bottom"/>
          </w:tcPr>
          <w:p w14:paraId="5089C192" w14:textId="0FBDAA9A" w:rsidR="007D6533" w:rsidRPr="007D6533" w:rsidRDefault="007D6533" w:rsidP="001950A1">
            <w:pPr>
              <w:spacing w:afterLines="20" w:after="48" w:line="240" w:lineRule="auto"/>
              <w:rPr>
                <w:rFonts w:eastAsia="Times New Roman" w:cs="Arial"/>
                <w:b/>
                <w:bCs/>
                <w:color w:val="000000"/>
                <w:lang w:eastAsia="en-GB"/>
              </w:rPr>
            </w:pPr>
            <w:r w:rsidRPr="007D6533">
              <w:rPr>
                <w:b/>
                <w:bCs/>
                <w:color w:val="000000"/>
              </w:rPr>
              <w:t>Tangible Non-Current Assets:</w:t>
            </w:r>
          </w:p>
        </w:tc>
        <w:tc>
          <w:tcPr>
            <w:tcW w:w="2127" w:type="dxa"/>
            <w:shd w:val="clear" w:color="auto" w:fill="auto"/>
            <w:noWrap/>
            <w:vAlign w:val="bottom"/>
          </w:tcPr>
          <w:p w14:paraId="4FD3D3D5" w14:textId="77777777" w:rsidR="007D6533" w:rsidRPr="007D6533" w:rsidRDefault="007D6533" w:rsidP="001950A1">
            <w:pPr>
              <w:spacing w:afterLines="20" w:after="48" w:line="240" w:lineRule="auto"/>
              <w:jc w:val="center"/>
              <w:rPr>
                <w:rFonts w:eastAsia="Times New Roman" w:cs="Arial"/>
                <w:b/>
                <w:bCs/>
                <w:color w:val="000000"/>
                <w:lang w:eastAsia="en-GB"/>
              </w:rPr>
            </w:pPr>
          </w:p>
        </w:tc>
        <w:tc>
          <w:tcPr>
            <w:tcW w:w="1723" w:type="dxa"/>
            <w:shd w:val="clear" w:color="auto" w:fill="auto"/>
            <w:noWrap/>
            <w:vAlign w:val="bottom"/>
          </w:tcPr>
          <w:p w14:paraId="0C726B66" w14:textId="77777777" w:rsidR="007D6533" w:rsidRPr="007D6533" w:rsidRDefault="007D6533" w:rsidP="001950A1">
            <w:pPr>
              <w:spacing w:afterLines="20" w:after="48" w:line="240" w:lineRule="auto"/>
              <w:jc w:val="center"/>
              <w:rPr>
                <w:rFonts w:eastAsia="Times New Roman" w:cs="Arial"/>
                <w:b/>
                <w:bCs/>
                <w:color w:val="000000"/>
                <w:lang w:eastAsia="en-GB"/>
              </w:rPr>
            </w:pPr>
          </w:p>
        </w:tc>
        <w:tc>
          <w:tcPr>
            <w:tcW w:w="1701" w:type="dxa"/>
            <w:shd w:val="clear" w:color="auto" w:fill="auto"/>
            <w:noWrap/>
            <w:vAlign w:val="bottom"/>
          </w:tcPr>
          <w:p w14:paraId="1C8ED371" w14:textId="77777777" w:rsidR="007D6533" w:rsidRPr="007D6533" w:rsidRDefault="007D6533" w:rsidP="001950A1">
            <w:pPr>
              <w:spacing w:afterLines="20" w:after="48" w:line="240" w:lineRule="auto"/>
              <w:jc w:val="center"/>
              <w:rPr>
                <w:rFonts w:eastAsia="Times New Roman" w:cs="Arial"/>
                <w:b/>
                <w:bCs/>
                <w:color w:val="000000"/>
                <w:lang w:eastAsia="en-GB"/>
              </w:rPr>
            </w:pPr>
          </w:p>
        </w:tc>
      </w:tr>
      <w:tr w:rsidR="00EF68D6" w:rsidRPr="007D6533" w14:paraId="090EC7B8" w14:textId="77777777" w:rsidTr="005941B2">
        <w:trPr>
          <w:trHeight w:val="202"/>
        </w:trPr>
        <w:tc>
          <w:tcPr>
            <w:tcW w:w="4106" w:type="dxa"/>
            <w:shd w:val="clear" w:color="auto" w:fill="auto"/>
            <w:noWrap/>
            <w:vAlign w:val="bottom"/>
          </w:tcPr>
          <w:p w14:paraId="26D5A677" w14:textId="77777777" w:rsidR="00EF68D6" w:rsidRPr="007D6533" w:rsidRDefault="00EF68D6" w:rsidP="00EF68D6">
            <w:pPr>
              <w:spacing w:afterLines="20" w:after="48" w:line="240" w:lineRule="auto"/>
              <w:rPr>
                <w:rFonts w:eastAsia="Times New Roman" w:cs="Arial"/>
                <w:b/>
                <w:bCs/>
                <w:color w:val="000000"/>
                <w:lang w:eastAsia="en-GB"/>
              </w:rPr>
            </w:pPr>
            <w:r w:rsidRPr="007D6533">
              <w:rPr>
                <w:color w:val="000000"/>
              </w:rPr>
              <w:t>Property Plant and Equipment</w:t>
            </w:r>
          </w:p>
        </w:tc>
        <w:tc>
          <w:tcPr>
            <w:tcW w:w="2127" w:type="dxa"/>
            <w:shd w:val="clear" w:color="auto" w:fill="auto"/>
            <w:noWrap/>
            <w:vAlign w:val="center"/>
          </w:tcPr>
          <w:p w14:paraId="6D5FEF5B" w14:textId="35D6E2A7" w:rsidR="00EF68D6" w:rsidRPr="007D6533" w:rsidRDefault="00F6682C" w:rsidP="00EF68D6">
            <w:pPr>
              <w:spacing w:afterLines="20" w:after="48" w:line="240" w:lineRule="auto"/>
              <w:jc w:val="center"/>
              <w:rPr>
                <w:rFonts w:eastAsia="Times New Roman"/>
                <w:lang w:eastAsia="en-GB"/>
              </w:rPr>
            </w:pPr>
            <w:r>
              <w:rPr>
                <w:rFonts w:eastAsia="Times New Roman"/>
                <w:lang w:eastAsia="en-GB"/>
              </w:rPr>
              <w:t>110,342,115</w:t>
            </w:r>
          </w:p>
        </w:tc>
        <w:tc>
          <w:tcPr>
            <w:tcW w:w="1723" w:type="dxa"/>
            <w:shd w:val="clear" w:color="auto" w:fill="auto"/>
            <w:noWrap/>
            <w:vAlign w:val="center"/>
          </w:tcPr>
          <w:p w14:paraId="146E64E1" w14:textId="522A3B47" w:rsidR="00EF68D6" w:rsidRPr="007D6533" w:rsidRDefault="00EF68D6" w:rsidP="00EF68D6">
            <w:pPr>
              <w:spacing w:afterLines="20" w:after="48" w:line="240" w:lineRule="auto"/>
              <w:jc w:val="center"/>
              <w:rPr>
                <w:rFonts w:eastAsia="Times New Roman"/>
                <w:lang w:eastAsia="en-GB"/>
              </w:rPr>
            </w:pPr>
            <w:r w:rsidRPr="007D6533">
              <w:rPr>
                <w:color w:val="000000"/>
              </w:rPr>
              <w:t>90,810,073</w:t>
            </w:r>
          </w:p>
        </w:tc>
        <w:tc>
          <w:tcPr>
            <w:tcW w:w="1701" w:type="dxa"/>
            <w:shd w:val="clear" w:color="auto" w:fill="auto"/>
            <w:noWrap/>
            <w:vAlign w:val="center"/>
          </w:tcPr>
          <w:p w14:paraId="6A20D817" w14:textId="573D9671"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color w:val="000000"/>
                <w:lang w:eastAsia="en-GB"/>
              </w:rPr>
              <w:t>81,765,666</w:t>
            </w:r>
          </w:p>
        </w:tc>
      </w:tr>
      <w:tr w:rsidR="00EF68D6" w:rsidRPr="007D6533" w14:paraId="6EE177C4" w14:textId="77777777" w:rsidTr="005941B2">
        <w:trPr>
          <w:trHeight w:val="202"/>
        </w:trPr>
        <w:tc>
          <w:tcPr>
            <w:tcW w:w="4106" w:type="dxa"/>
            <w:shd w:val="clear" w:color="auto" w:fill="auto"/>
            <w:noWrap/>
            <w:vAlign w:val="bottom"/>
          </w:tcPr>
          <w:p w14:paraId="17109DC3"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Intangible Non-Current Assets:</w:t>
            </w:r>
          </w:p>
        </w:tc>
        <w:tc>
          <w:tcPr>
            <w:tcW w:w="2127" w:type="dxa"/>
            <w:shd w:val="clear" w:color="auto" w:fill="auto"/>
            <w:noWrap/>
            <w:vAlign w:val="center"/>
          </w:tcPr>
          <w:p w14:paraId="7380F2FD" w14:textId="77777777" w:rsidR="00EF68D6" w:rsidRPr="007D6533" w:rsidRDefault="00EF68D6" w:rsidP="00EF68D6">
            <w:pPr>
              <w:spacing w:afterLines="20" w:after="48" w:line="240" w:lineRule="auto"/>
              <w:jc w:val="center"/>
              <w:rPr>
                <w:rFonts w:eastAsia="Times New Roman"/>
                <w:lang w:eastAsia="en-GB"/>
              </w:rPr>
            </w:pPr>
          </w:p>
        </w:tc>
        <w:tc>
          <w:tcPr>
            <w:tcW w:w="1723" w:type="dxa"/>
            <w:shd w:val="clear" w:color="auto" w:fill="auto"/>
            <w:noWrap/>
            <w:vAlign w:val="center"/>
          </w:tcPr>
          <w:p w14:paraId="34F6DA1C"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7D1A23EF"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11AD4FBB" w14:textId="77777777" w:rsidTr="005941B2">
        <w:trPr>
          <w:trHeight w:val="202"/>
        </w:trPr>
        <w:tc>
          <w:tcPr>
            <w:tcW w:w="4106" w:type="dxa"/>
            <w:shd w:val="clear" w:color="auto" w:fill="auto"/>
            <w:noWrap/>
            <w:vAlign w:val="bottom"/>
          </w:tcPr>
          <w:p w14:paraId="5ABC826D" w14:textId="1F9110E3" w:rsidR="00EF68D6" w:rsidRPr="007D6533" w:rsidRDefault="00EF68D6" w:rsidP="00EF68D6">
            <w:pPr>
              <w:spacing w:afterLines="20" w:after="48" w:line="240" w:lineRule="auto"/>
              <w:rPr>
                <w:rFonts w:eastAsia="Times New Roman" w:cs="Arial"/>
                <w:color w:val="000000"/>
                <w:lang w:eastAsia="en-GB"/>
              </w:rPr>
            </w:pPr>
            <w:r w:rsidRPr="007D6533">
              <w:rPr>
                <w:color w:val="000000"/>
              </w:rPr>
              <w:t>Intangibles</w:t>
            </w:r>
            <w:r w:rsidR="00562DBF">
              <w:rPr>
                <w:color w:val="000000"/>
              </w:rPr>
              <w:t xml:space="preserve"> </w:t>
            </w:r>
            <w:r w:rsidRPr="007D6533">
              <w:rPr>
                <w:color w:val="000000"/>
              </w:rPr>
              <w:t>Software</w:t>
            </w:r>
          </w:p>
        </w:tc>
        <w:tc>
          <w:tcPr>
            <w:tcW w:w="2127" w:type="dxa"/>
            <w:shd w:val="clear" w:color="auto" w:fill="auto"/>
            <w:noWrap/>
            <w:vAlign w:val="center"/>
          </w:tcPr>
          <w:p w14:paraId="0CE482EA" w14:textId="2BAC1993" w:rsidR="00EF68D6" w:rsidRPr="007D6533" w:rsidRDefault="00D61E34"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194,146</w:t>
            </w:r>
          </w:p>
        </w:tc>
        <w:tc>
          <w:tcPr>
            <w:tcW w:w="1723" w:type="dxa"/>
            <w:shd w:val="clear" w:color="auto" w:fill="auto"/>
            <w:noWrap/>
            <w:vAlign w:val="center"/>
          </w:tcPr>
          <w:p w14:paraId="357F1364" w14:textId="3930E8F6"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498,313</w:t>
            </w:r>
          </w:p>
        </w:tc>
        <w:tc>
          <w:tcPr>
            <w:tcW w:w="1701" w:type="dxa"/>
            <w:shd w:val="clear" w:color="auto" w:fill="auto"/>
            <w:noWrap/>
            <w:vAlign w:val="center"/>
          </w:tcPr>
          <w:p w14:paraId="6717A8A2" w14:textId="70C15161"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lang w:eastAsia="en-GB"/>
              </w:rPr>
              <w:t>986,474</w:t>
            </w:r>
          </w:p>
        </w:tc>
      </w:tr>
      <w:tr w:rsidR="00EF68D6" w:rsidRPr="007D6533" w14:paraId="55F8C720" w14:textId="77777777" w:rsidTr="005941B2">
        <w:trPr>
          <w:trHeight w:val="202"/>
        </w:trPr>
        <w:tc>
          <w:tcPr>
            <w:tcW w:w="4106" w:type="dxa"/>
            <w:shd w:val="clear" w:color="auto" w:fill="auto"/>
            <w:noWrap/>
            <w:vAlign w:val="bottom"/>
          </w:tcPr>
          <w:p w14:paraId="40D87C98" w14:textId="77777777" w:rsidR="00EF68D6" w:rsidRPr="007D6533" w:rsidRDefault="00EF68D6" w:rsidP="00EF68D6">
            <w:pPr>
              <w:spacing w:afterLines="20" w:after="48" w:line="240" w:lineRule="auto"/>
              <w:rPr>
                <w:rFonts w:eastAsia="Times New Roman" w:cs="Arial"/>
                <w:color w:val="000000"/>
                <w:lang w:eastAsia="en-GB"/>
              </w:rPr>
            </w:pPr>
            <w:r w:rsidRPr="007D6533">
              <w:rPr>
                <w:b/>
                <w:bCs/>
                <w:color w:val="000000"/>
              </w:rPr>
              <w:t>Total Non-Current Assets</w:t>
            </w:r>
          </w:p>
        </w:tc>
        <w:tc>
          <w:tcPr>
            <w:tcW w:w="2127" w:type="dxa"/>
            <w:shd w:val="clear" w:color="auto" w:fill="auto"/>
            <w:noWrap/>
            <w:vAlign w:val="center"/>
          </w:tcPr>
          <w:p w14:paraId="4C30ADE2" w14:textId="514E59DD" w:rsidR="00EF68D6" w:rsidRPr="0064527C" w:rsidRDefault="00D61E34" w:rsidP="00EF68D6">
            <w:pPr>
              <w:spacing w:afterLines="20" w:after="48" w:line="240" w:lineRule="auto"/>
              <w:jc w:val="center"/>
              <w:rPr>
                <w:rFonts w:eastAsia="Times New Roman"/>
                <w:b/>
                <w:bCs/>
                <w:lang w:eastAsia="en-GB"/>
              </w:rPr>
            </w:pPr>
            <w:r w:rsidRPr="0064527C">
              <w:rPr>
                <w:rFonts w:eastAsia="Times New Roman"/>
                <w:b/>
                <w:bCs/>
                <w:lang w:eastAsia="en-GB"/>
              </w:rPr>
              <w:t>110,536,261</w:t>
            </w:r>
          </w:p>
        </w:tc>
        <w:tc>
          <w:tcPr>
            <w:tcW w:w="1723" w:type="dxa"/>
            <w:shd w:val="clear" w:color="auto" w:fill="auto"/>
            <w:noWrap/>
            <w:vAlign w:val="center"/>
          </w:tcPr>
          <w:p w14:paraId="028B88B4" w14:textId="2465FADD" w:rsidR="00EF68D6" w:rsidRPr="007D6533" w:rsidRDefault="00EF68D6" w:rsidP="00EF68D6">
            <w:pPr>
              <w:spacing w:afterLines="20" w:after="48" w:line="240" w:lineRule="auto"/>
              <w:jc w:val="center"/>
              <w:rPr>
                <w:rFonts w:eastAsia="Times New Roman"/>
                <w:lang w:eastAsia="en-GB"/>
              </w:rPr>
            </w:pPr>
            <w:r w:rsidRPr="007D6533">
              <w:rPr>
                <w:b/>
                <w:bCs/>
                <w:color w:val="000000"/>
              </w:rPr>
              <w:t>91,308,386</w:t>
            </w:r>
          </w:p>
        </w:tc>
        <w:tc>
          <w:tcPr>
            <w:tcW w:w="1701" w:type="dxa"/>
            <w:shd w:val="clear" w:color="auto" w:fill="auto"/>
            <w:noWrap/>
            <w:vAlign w:val="center"/>
          </w:tcPr>
          <w:p w14:paraId="3E080D73" w14:textId="435BD865"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82,752,140</w:t>
            </w:r>
          </w:p>
        </w:tc>
      </w:tr>
      <w:tr w:rsidR="00EF68D6" w:rsidRPr="007D6533" w14:paraId="64C368EA" w14:textId="77777777" w:rsidTr="005941B2">
        <w:trPr>
          <w:trHeight w:val="202"/>
        </w:trPr>
        <w:tc>
          <w:tcPr>
            <w:tcW w:w="4106" w:type="dxa"/>
            <w:shd w:val="clear" w:color="auto" w:fill="auto"/>
            <w:noWrap/>
            <w:vAlign w:val="bottom"/>
          </w:tcPr>
          <w:p w14:paraId="43FBF902"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shd w:val="clear" w:color="auto" w:fill="auto"/>
            <w:noWrap/>
            <w:vAlign w:val="center"/>
          </w:tcPr>
          <w:p w14:paraId="348C8829" w14:textId="77777777" w:rsidR="00EF68D6" w:rsidRPr="007D6533" w:rsidRDefault="00EF68D6" w:rsidP="00EF68D6">
            <w:pPr>
              <w:spacing w:afterLines="20" w:after="48" w:line="240" w:lineRule="auto"/>
              <w:jc w:val="center"/>
              <w:rPr>
                <w:rFonts w:eastAsia="Times New Roman"/>
                <w:lang w:eastAsia="en-GB"/>
              </w:rPr>
            </w:pPr>
          </w:p>
        </w:tc>
        <w:tc>
          <w:tcPr>
            <w:tcW w:w="1723" w:type="dxa"/>
            <w:shd w:val="clear" w:color="auto" w:fill="auto"/>
            <w:noWrap/>
            <w:vAlign w:val="center"/>
          </w:tcPr>
          <w:p w14:paraId="0E505CD9"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3C069D0A"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1C2774FB" w14:textId="77777777" w:rsidTr="005941B2">
        <w:trPr>
          <w:trHeight w:val="202"/>
        </w:trPr>
        <w:tc>
          <w:tcPr>
            <w:tcW w:w="4106" w:type="dxa"/>
            <w:shd w:val="clear" w:color="auto" w:fill="auto"/>
            <w:noWrap/>
            <w:vAlign w:val="bottom"/>
          </w:tcPr>
          <w:p w14:paraId="379CC282" w14:textId="77777777" w:rsidR="00EF68D6" w:rsidRPr="007D6533" w:rsidRDefault="00EF68D6" w:rsidP="00EF68D6">
            <w:pPr>
              <w:spacing w:afterLines="20" w:after="48" w:line="240" w:lineRule="auto"/>
              <w:rPr>
                <w:rFonts w:eastAsia="Times New Roman" w:cs="Arial"/>
                <w:color w:val="000000"/>
                <w:lang w:eastAsia="en-GB"/>
              </w:rPr>
            </w:pPr>
            <w:r w:rsidRPr="007D6533">
              <w:rPr>
                <w:b/>
                <w:bCs/>
                <w:color w:val="000000"/>
              </w:rPr>
              <w:t>Current Assets:</w:t>
            </w:r>
          </w:p>
        </w:tc>
        <w:tc>
          <w:tcPr>
            <w:tcW w:w="2127" w:type="dxa"/>
            <w:shd w:val="clear" w:color="auto" w:fill="auto"/>
            <w:noWrap/>
            <w:vAlign w:val="center"/>
          </w:tcPr>
          <w:p w14:paraId="13DEC57A" w14:textId="77777777" w:rsidR="00EF68D6" w:rsidRPr="007D6533" w:rsidRDefault="00EF68D6" w:rsidP="00EF68D6">
            <w:pPr>
              <w:spacing w:afterLines="20" w:after="48" w:line="240" w:lineRule="auto"/>
              <w:jc w:val="center"/>
              <w:rPr>
                <w:rFonts w:eastAsia="Times New Roman"/>
                <w:lang w:eastAsia="en-GB"/>
              </w:rPr>
            </w:pPr>
          </w:p>
        </w:tc>
        <w:tc>
          <w:tcPr>
            <w:tcW w:w="1723" w:type="dxa"/>
            <w:shd w:val="clear" w:color="auto" w:fill="auto"/>
            <w:noWrap/>
            <w:vAlign w:val="center"/>
          </w:tcPr>
          <w:p w14:paraId="644AA166"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1E1EBC38"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49576FFE" w14:textId="77777777" w:rsidTr="005941B2">
        <w:trPr>
          <w:trHeight w:val="202"/>
        </w:trPr>
        <w:tc>
          <w:tcPr>
            <w:tcW w:w="4106" w:type="dxa"/>
            <w:shd w:val="clear" w:color="auto" w:fill="auto"/>
            <w:noWrap/>
            <w:vAlign w:val="bottom"/>
          </w:tcPr>
          <w:p w14:paraId="30BF8359" w14:textId="77777777" w:rsidR="00EF68D6" w:rsidRPr="007D6533" w:rsidRDefault="00EF68D6" w:rsidP="00EF68D6">
            <w:pPr>
              <w:spacing w:afterLines="20" w:after="48" w:line="240" w:lineRule="auto"/>
              <w:rPr>
                <w:rFonts w:eastAsia="Times New Roman"/>
                <w:lang w:eastAsia="en-GB"/>
              </w:rPr>
            </w:pPr>
            <w:r w:rsidRPr="007D6533">
              <w:rPr>
                <w:color w:val="000000"/>
              </w:rPr>
              <w:t>Inventory</w:t>
            </w:r>
          </w:p>
        </w:tc>
        <w:tc>
          <w:tcPr>
            <w:tcW w:w="2127" w:type="dxa"/>
            <w:shd w:val="clear" w:color="auto" w:fill="auto"/>
            <w:noWrap/>
            <w:vAlign w:val="center"/>
          </w:tcPr>
          <w:p w14:paraId="3E1EAFB8" w14:textId="22BBF9A0" w:rsidR="00EF68D6" w:rsidRPr="007D6533" w:rsidRDefault="00D61E34" w:rsidP="00EF68D6">
            <w:pPr>
              <w:spacing w:afterLines="20" w:after="48" w:line="240" w:lineRule="auto"/>
              <w:jc w:val="center"/>
              <w:rPr>
                <w:rFonts w:eastAsia="Times New Roman"/>
                <w:lang w:eastAsia="en-GB"/>
              </w:rPr>
            </w:pPr>
            <w:r>
              <w:rPr>
                <w:rFonts w:eastAsia="Times New Roman"/>
                <w:lang w:eastAsia="en-GB"/>
              </w:rPr>
              <w:t>1,250,081</w:t>
            </w:r>
          </w:p>
        </w:tc>
        <w:tc>
          <w:tcPr>
            <w:tcW w:w="1723" w:type="dxa"/>
            <w:shd w:val="clear" w:color="auto" w:fill="auto"/>
            <w:noWrap/>
            <w:vAlign w:val="center"/>
          </w:tcPr>
          <w:p w14:paraId="3A47FD23" w14:textId="7755AD6C" w:rsidR="00EF68D6" w:rsidRPr="007D6533" w:rsidRDefault="00EF68D6" w:rsidP="00EF68D6">
            <w:pPr>
              <w:spacing w:afterLines="20" w:after="48" w:line="240" w:lineRule="auto"/>
              <w:jc w:val="center"/>
              <w:rPr>
                <w:rFonts w:eastAsia="Times New Roman"/>
                <w:lang w:eastAsia="en-GB"/>
              </w:rPr>
            </w:pPr>
            <w:r w:rsidRPr="007D6533">
              <w:rPr>
                <w:color w:val="000000"/>
              </w:rPr>
              <w:t>2,021,274</w:t>
            </w:r>
          </w:p>
        </w:tc>
        <w:tc>
          <w:tcPr>
            <w:tcW w:w="1701" w:type="dxa"/>
            <w:shd w:val="clear" w:color="auto" w:fill="auto"/>
            <w:noWrap/>
            <w:vAlign w:val="center"/>
          </w:tcPr>
          <w:p w14:paraId="76C6F2A4" w14:textId="358972BC"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color w:val="000000"/>
                <w:lang w:eastAsia="en-GB"/>
              </w:rPr>
              <w:t>2,258,585</w:t>
            </w:r>
          </w:p>
        </w:tc>
      </w:tr>
      <w:tr w:rsidR="00EF68D6" w:rsidRPr="007D6533" w14:paraId="46CB1335" w14:textId="77777777" w:rsidTr="005941B2">
        <w:trPr>
          <w:trHeight w:val="215"/>
        </w:trPr>
        <w:tc>
          <w:tcPr>
            <w:tcW w:w="4106" w:type="dxa"/>
            <w:shd w:val="clear" w:color="auto" w:fill="auto"/>
            <w:noWrap/>
            <w:vAlign w:val="bottom"/>
          </w:tcPr>
          <w:p w14:paraId="3A704B33" w14:textId="77777777" w:rsidR="00EF68D6" w:rsidRPr="007D6533" w:rsidRDefault="00EF68D6" w:rsidP="00EF68D6">
            <w:pPr>
              <w:spacing w:afterLines="20" w:after="48" w:line="240" w:lineRule="auto"/>
              <w:rPr>
                <w:rFonts w:eastAsia="Times New Roman" w:cs="Arial"/>
                <w:b/>
                <w:bCs/>
                <w:color w:val="000000"/>
                <w:lang w:eastAsia="en-GB"/>
              </w:rPr>
            </w:pPr>
            <w:r w:rsidRPr="007D6533">
              <w:rPr>
                <w:color w:val="000000"/>
              </w:rPr>
              <w:t>Receivables &amp; Prepayment</w:t>
            </w:r>
          </w:p>
        </w:tc>
        <w:tc>
          <w:tcPr>
            <w:tcW w:w="2127" w:type="dxa"/>
            <w:shd w:val="clear" w:color="auto" w:fill="auto"/>
            <w:noWrap/>
            <w:vAlign w:val="center"/>
          </w:tcPr>
          <w:p w14:paraId="0101BAE6" w14:textId="6F6EDA02" w:rsidR="00EF68D6" w:rsidRPr="007D6533" w:rsidRDefault="00FC1BE7"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6,682,640</w:t>
            </w:r>
          </w:p>
        </w:tc>
        <w:tc>
          <w:tcPr>
            <w:tcW w:w="1723" w:type="dxa"/>
            <w:shd w:val="clear" w:color="auto" w:fill="auto"/>
            <w:noWrap/>
            <w:vAlign w:val="center"/>
          </w:tcPr>
          <w:p w14:paraId="3A6BB517" w14:textId="2CEB10D5"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17,960,711</w:t>
            </w:r>
          </w:p>
        </w:tc>
        <w:tc>
          <w:tcPr>
            <w:tcW w:w="1701" w:type="dxa"/>
            <w:shd w:val="clear" w:color="auto" w:fill="auto"/>
            <w:noWrap/>
            <w:vAlign w:val="center"/>
          </w:tcPr>
          <w:p w14:paraId="510EFB49" w14:textId="75035A2E"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cs="Arial"/>
                <w:color w:val="000000"/>
                <w:lang w:eastAsia="en-GB"/>
              </w:rPr>
              <w:t>17,448,115</w:t>
            </w:r>
          </w:p>
        </w:tc>
      </w:tr>
      <w:tr w:rsidR="00EF68D6" w:rsidRPr="007D6533" w14:paraId="3D495DAE" w14:textId="77777777" w:rsidTr="005941B2">
        <w:trPr>
          <w:trHeight w:val="202"/>
        </w:trPr>
        <w:tc>
          <w:tcPr>
            <w:tcW w:w="4106" w:type="dxa"/>
            <w:shd w:val="clear" w:color="auto" w:fill="auto"/>
            <w:noWrap/>
            <w:vAlign w:val="bottom"/>
          </w:tcPr>
          <w:p w14:paraId="77ACC379"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Cash and Cash Equivalent</w:t>
            </w:r>
          </w:p>
        </w:tc>
        <w:tc>
          <w:tcPr>
            <w:tcW w:w="2127" w:type="dxa"/>
            <w:shd w:val="clear" w:color="auto" w:fill="auto"/>
            <w:noWrap/>
            <w:vAlign w:val="center"/>
          </w:tcPr>
          <w:p w14:paraId="39D3F663" w14:textId="1C45ED62" w:rsidR="00EF68D6" w:rsidRPr="007D6533" w:rsidRDefault="00F40FB9" w:rsidP="00EF68D6">
            <w:pPr>
              <w:spacing w:afterLines="20" w:after="48" w:line="240" w:lineRule="auto"/>
              <w:jc w:val="center"/>
              <w:rPr>
                <w:rFonts w:eastAsia="Times New Roman"/>
                <w:lang w:eastAsia="en-GB"/>
              </w:rPr>
            </w:pPr>
            <w:r>
              <w:rPr>
                <w:rFonts w:eastAsia="Times New Roman"/>
                <w:lang w:eastAsia="en-GB"/>
              </w:rPr>
              <w:t>5,910,260</w:t>
            </w:r>
          </w:p>
        </w:tc>
        <w:tc>
          <w:tcPr>
            <w:tcW w:w="1723" w:type="dxa"/>
            <w:shd w:val="clear" w:color="auto" w:fill="auto"/>
            <w:noWrap/>
            <w:vAlign w:val="center"/>
          </w:tcPr>
          <w:p w14:paraId="13A01081" w14:textId="50F173F3" w:rsidR="00EF68D6" w:rsidRPr="007D6533" w:rsidRDefault="00EF68D6" w:rsidP="00EF68D6">
            <w:pPr>
              <w:spacing w:afterLines="20" w:after="48" w:line="240" w:lineRule="auto"/>
              <w:jc w:val="center"/>
              <w:rPr>
                <w:rFonts w:eastAsia="Times New Roman"/>
                <w:lang w:eastAsia="en-GB"/>
              </w:rPr>
            </w:pPr>
            <w:r w:rsidRPr="007D6533">
              <w:rPr>
                <w:color w:val="000000"/>
              </w:rPr>
              <w:t>(2,634,113)</w:t>
            </w:r>
          </w:p>
        </w:tc>
        <w:tc>
          <w:tcPr>
            <w:tcW w:w="1701" w:type="dxa"/>
            <w:shd w:val="clear" w:color="auto" w:fill="auto"/>
            <w:noWrap/>
            <w:vAlign w:val="center"/>
          </w:tcPr>
          <w:p w14:paraId="7EA5E4D9" w14:textId="1CA78648"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color w:val="000000"/>
                <w:lang w:eastAsia="en-GB"/>
              </w:rPr>
              <w:t>16,127,259</w:t>
            </w:r>
          </w:p>
        </w:tc>
      </w:tr>
      <w:tr w:rsidR="00EF68D6" w:rsidRPr="007D6533" w14:paraId="542BE9C6" w14:textId="77777777" w:rsidTr="005941B2">
        <w:trPr>
          <w:trHeight w:val="202"/>
        </w:trPr>
        <w:tc>
          <w:tcPr>
            <w:tcW w:w="4106" w:type="dxa"/>
            <w:shd w:val="clear" w:color="auto" w:fill="auto"/>
            <w:noWrap/>
            <w:vAlign w:val="bottom"/>
          </w:tcPr>
          <w:p w14:paraId="429BB800" w14:textId="77777777" w:rsidR="00EF68D6" w:rsidRPr="007D6533" w:rsidRDefault="00EF68D6" w:rsidP="00EF68D6">
            <w:pPr>
              <w:spacing w:afterLines="20" w:after="48" w:line="240" w:lineRule="auto"/>
              <w:rPr>
                <w:rFonts w:eastAsia="Times New Roman" w:cs="Arial"/>
                <w:b/>
                <w:bCs/>
                <w:color w:val="000000"/>
                <w:lang w:eastAsia="en-GB"/>
              </w:rPr>
            </w:pPr>
            <w:r w:rsidRPr="007D6533">
              <w:rPr>
                <w:rFonts w:eastAsia="Times New Roman" w:cs="Arial"/>
                <w:b/>
                <w:bCs/>
                <w:color w:val="000000"/>
                <w:lang w:eastAsia="en-GB"/>
              </w:rPr>
              <w:t>Total Current Assets</w:t>
            </w:r>
          </w:p>
        </w:tc>
        <w:tc>
          <w:tcPr>
            <w:tcW w:w="2127" w:type="dxa"/>
            <w:shd w:val="clear" w:color="auto" w:fill="auto"/>
            <w:noWrap/>
            <w:vAlign w:val="center"/>
          </w:tcPr>
          <w:p w14:paraId="6AEE9F08" w14:textId="6C502FC6" w:rsidR="00EF68D6" w:rsidRPr="0064527C" w:rsidRDefault="00F40FB9" w:rsidP="00EF68D6">
            <w:pPr>
              <w:spacing w:afterLines="20" w:after="48" w:line="240" w:lineRule="auto"/>
              <w:jc w:val="center"/>
              <w:rPr>
                <w:rFonts w:eastAsia="Times New Roman"/>
                <w:b/>
                <w:bCs/>
                <w:lang w:eastAsia="en-GB"/>
              </w:rPr>
            </w:pPr>
            <w:r w:rsidRPr="0064527C">
              <w:rPr>
                <w:rFonts w:eastAsia="Times New Roman"/>
                <w:b/>
                <w:bCs/>
                <w:lang w:eastAsia="en-GB"/>
              </w:rPr>
              <w:t>13,842,981</w:t>
            </w:r>
          </w:p>
        </w:tc>
        <w:tc>
          <w:tcPr>
            <w:tcW w:w="1723" w:type="dxa"/>
            <w:shd w:val="clear" w:color="auto" w:fill="auto"/>
            <w:noWrap/>
            <w:vAlign w:val="center"/>
          </w:tcPr>
          <w:p w14:paraId="5F57D73D" w14:textId="59FA106F" w:rsidR="00EF68D6" w:rsidRPr="007D6533" w:rsidRDefault="00EF68D6" w:rsidP="00EF68D6">
            <w:pPr>
              <w:spacing w:afterLines="20" w:after="48" w:line="240" w:lineRule="auto"/>
              <w:jc w:val="center"/>
              <w:rPr>
                <w:rFonts w:eastAsia="Times New Roman"/>
                <w:lang w:eastAsia="en-GB"/>
              </w:rPr>
            </w:pPr>
            <w:r w:rsidRPr="007D6533">
              <w:rPr>
                <w:b/>
                <w:bCs/>
                <w:color w:val="000000"/>
              </w:rPr>
              <w:t>17,347,872</w:t>
            </w:r>
          </w:p>
        </w:tc>
        <w:tc>
          <w:tcPr>
            <w:tcW w:w="1701" w:type="dxa"/>
            <w:shd w:val="clear" w:color="auto" w:fill="auto"/>
            <w:noWrap/>
            <w:vAlign w:val="center"/>
          </w:tcPr>
          <w:p w14:paraId="47E91733" w14:textId="61D73D77"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35,833,960</w:t>
            </w:r>
          </w:p>
        </w:tc>
      </w:tr>
      <w:tr w:rsidR="00EF68D6" w:rsidRPr="007D6533" w14:paraId="08F4758B" w14:textId="77777777" w:rsidTr="005941B2">
        <w:trPr>
          <w:trHeight w:val="202"/>
        </w:trPr>
        <w:tc>
          <w:tcPr>
            <w:tcW w:w="4106" w:type="dxa"/>
            <w:shd w:val="clear" w:color="auto" w:fill="auto"/>
            <w:noWrap/>
            <w:vAlign w:val="bottom"/>
          </w:tcPr>
          <w:p w14:paraId="33B44080"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shd w:val="clear" w:color="auto" w:fill="auto"/>
            <w:noWrap/>
            <w:vAlign w:val="center"/>
          </w:tcPr>
          <w:p w14:paraId="251B33BC"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23" w:type="dxa"/>
            <w:shd w:val="clear" w:color="auto" w:fill="auto"/>
            <w:noWrap/>
            <w:vAlign w:val="center"/>
          </w:tcPr>
          <w:p w14:paraId="1F9C86D8"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01" w:type="dxa"/>
            <w:shd w:val="clear" w:color="auto" w:fill="auto"/>
            <w:noWrap/>
            <w:vAlign w:val="center"/>
          </w:tcPr>
          <w:p w14:paraId="52EDD440" w14:textId="77777777" w:rsidR="00EF68D6" w:rsidRPr="007D6533" w:rsidRDefault="00EF68D6" w:rsidP="00EF68D6">
            <w:pPr>
              <w:spacing w:afterLines="20" w:after="48" w:line="240" w:lineRule="auto"/>
              <w:jc w:val="center"/>
              <w:rPr>
                <w:rFonts w:eastAsia="Times New Roman" w:cs="Arial"/>
                <w:color w:val="000000"/>
                <w:lang w:eastAsia="en-GB"/>
              </w:rPr>
            </w:pPr>
          </w:p>
        </w:tc>
      </w:tr>
      <w:tr w:rsidR="00EF68D6" w:rsidRPr="007D6533" w14:paraId="4CB0D0BC" w14:textId="77777777" w:rsidTr="005941B2">
        <w:trPr>
          <w:trHeight w:val="202"/>
        </w:trPr>
        <w:tc>
          <w:tcPr>
            <w:tcW w:w="4106" w:type="dxa"/>
            <w:shd w:val="clear" w:color="auto" w:fill="auto"/>
            <w:noWrap/>
            <w:vAlign w:val="bottom"/>
          </w:tcPr>
          <w:p w14:paraId="254E0441" w14:textId="77777777" w:rsidR="00EF68D6" w:rsidRPr="007D6533" w:rsidRDefault="00EF68D6" w:rsidP="00EF68D6">
            <w:pPr>
              <w:spacing w:afterLines="20" w:after="48" w:line="240" w:lineRule="auto"/>
              <w:rPr>
                <w:rFonts w:eastAsia="Times New Roman" w:cs="Arial"/>
                <w:color w:val="000000"/>
                <w:lang w:eastAsia="en-GB"/>
              </w:rPr>
            </w:pPr>
            <w:r w:rsidRPr="007D6533">
              <w:rPr>
                <w:b/>
                <w:bCs/>
                <w:color w:val="000000"/>
              </w:rPr>
              <w:t>Total Assets</w:t>
            </w:r>
          </w:p>
        </w:tc>
        <w:tc>
          <w:tcPr>
            <w:tcW w:w="2127" w:type="dxa"/>
            <w:shd w:val="clear" w:color="auto" w:fill="auto"/>
            <w:noWrap/>
            <w:vAlign w:val="center"/>
          </w:tcPr>
          <w:p w14:paraId="3D05F247" w14:textId="403C15D0" w:rsidR="00EF68D6" w:rsidRPr="0064527C" w:rsidRDefault="00F40FB9" w:rsidP="00EF68D6">
            <w:pPr>
              <w:spacing w:afterLines="20" w:after="48" w:line="240" w:lineRule="auto"/>
              <w:jc w:val="center"/>
              <w:rPr>
                <w:rFonts w:eastAsia="Times New Roman" w:cs="Arial"/>
                <w:b/>
                <w:bCs/>
                <w:color w:val="000000"/>
                <w:lang w:eastAsia="en-GB"/>
              </w:rPr>
            </w:pPr>
            <w:r w:rsidRPr="0064527C">
              <w:rPr>
                <w:rFonts w:eastAsia="Times New Roman" w:cs="Arial"/>
                <w:b/>
                <w:bCs/>
                <w:color w:val="000000"/>
                <w:lang w:eastAsia="en-GB"/>
              </w:rPr>
              <w:t>124,379,242</w:t>
            </w:r>
          </w:p>
        </w:tc>
        <w:tc>
          <w:tcPr>
            <w:tcW w:w="1723" w:type="dxa"/>
            <w:shd w:val="clear" w:color="auto" w:fill="auto"/>
            <w:noWrap/>
            <w:vAlign w:val="center"/>
          </w:tcPr>
          <w:p w14:paraId="282C5E45" w14:textId="69556663" w:rsidR="00EF68D6" w:rsidRPr="007D6533" w:rsidRDefault="00EF68D6" w:rsidP="00EF68D6">
            <w:pPr>
              <w:spacing w:afterLines="20" w:after="48" w:line="240" w:lineRule="auto"/>
              <w:jc w:val="center"/>
              <w:rPr>
                <w:rFonts w:eastAsia="Times New Roman" w:cs="Arial"/>
                <w:color w:val="000000"/>
                <w:lang w:eastAsia="en-GB"/>
              </w:rPr>
            </w:pPr>
            <w:r w:rsidRPr="007D6533">
              <w:rPr>
                <w:b/>
                <w:bCs/>
                <w:color w:val="000000"/>
              </w:rPr>
              <w:t>108,656,258</w:t>
            </w:r>
          </w:p>
        </w:tc>
        <w:tc>
          <w:tcPr>
            <w:tcW w:w="1701" w:type="dxa"/>
            <w:shd w:val="clear" w:color="auto" w:fill="auto"/>
            <w:noWrap/>
            <w:vAlign w:val="center"/>
          </w:tcPr>
          <w:p w14:paraId="492933B0" w14:textId="195DD8BF"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118,586,100</w:t>
            </w:r>
          </w:p>
        </w:tc>
      </w:tr>
      <w:tr w:rsidR="00EF68D6" w:rsidRPr="007D6533" w14:paraId="75E8534F" w14:textId="77777777" w:rsidTr="005941B2">
        <w:trPr>
          <w:trHeight w:val="202"/>
        </w:trPr>
        <w:tc>
          <w:tcPr>
            <w:tcW w:w="4106" w:type="dxa"/>
            <w:shd w:val="clear" w:color="auto" w:fill="auto"/>
            <w:noWrap/>
            <w:vAlign w:val="bottom"/>
          </w:tcPr>
          <w:p w14:paraId="3644A86B" w14:textId="77777777" w:rsidR="00EF68D6" w:rsidRPr="007D6533" w:rsidRDefault="00EF68D6" w:rsidP="00EF68D6">
            <w:pPr>
              <w:spacing w:afterLines="20" w:after="48" w:line="240" w:lineRule="auto"/>
              <w:rPr>
                <w:rFonts w:eastAsia="Times New Roman" w:cs="Arial"/>
                <w:color w:val="000000"/>
                <w:lang w:eastAsia="en-GB"/>
              </w:rPr>
            </w:pPr>
          </w:p>
        </w:tc>
        <w:tc>
          <w:tcPr>
            <w:tcW w:w="2127" w:type="dxa"/>
            <w:shd w:val="clear" w:color="auto" w:fill="auto"/>
            <w:noWrap/>
            <w:vAlign w:val="center"/>
          </w:tcPr>
          <w:p w14:paraId="02FDEED6"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23" w:type="dxa"/>
            <w:shd w:val="clear" w:color="auto" w:fill="auto"/>
            <w:noWrap/>
            <w:vAlign w:val="center"/>
          </w:tcPr>
          <w:p w14:paraId="62C032AD"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01" w:type="dxa"/>
            <w:shd w:val="clear" w:color="auto" w:fill="auto"/>
            <w:noWrap/>
            <w:vAlign w:val="center"/>
          </w:tcPr>
          <w:p w14:paraId="0264F3C4" w14:textId="77777777" w:rsidR="00EF68D6" w:rsidRPr="007D6533" w:rsidRDefault="00EF68D6" w:rsidP="00EF68D6">
            <w:pPr>
              <w:spacing w:afterLines="20" w:after="48" w:line="240" w:lineRule="auto"/>
              <w:jc w:val="center"/>
              <w:rPr>
                <w:rFonts w:eastAsia="Times New Roman" w:cs="Arial"/>
                <w:color w:val="000000"/>
                <w:lang w:eastAsia="en-GB"/>
              </w:rPr>
            </w:pPr>
          </w:p>
        </w:tc>
      </w:tr>
      <w:tr w:rsidR="00EF68D6" w:rsidRPr="007D6533" w14:paraId="226D242F" w14:textId="77777777" w:rsidTr="005941B2">
        <w:trPr>
          <w:trHeight w:val="215"/>
        </w:trPr>
        <w:tc>
          <w:tcPr>
            <w:tcW w:w="4106" w:type="dxa"/>
            <w:shd w:val="clear" w:color="auto" w:fill="auto"/>
            <w:noWrap/>
            <w:vAlign w:val="bottom"/>
          </w:tcPr>
          <w:p w14:paraId="6CD0E4E0"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Funding and Liabilities:</w:t>
            </w:r>
          </w:p>
        </w:tc>
        <w:tc>
          <w:tcPr>
            <w:tcW w:w="2127" w:type="dxa"/>
            <w:shd w:val="clear" w:color="auto" w:fill="auto"/>
            <w:noWrap/>
            <w:vAlign w:val="center"/>
          </w:tcPr>
          <w:p w14:paraId="24E95ACA"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23" w:type="dxa"/>
            <w:shd w:val="clear" w:color="auto" w:fill="auto"/>
            <w:noWrap/>
            <w:vAlign w:val="center"/>
          </w:tcPr>
          <w:p w14:paraId="274CC323" w14:textId="77777777" w:rsidR="00EF68D6" w:rsidRPr="007D6533" w:rsidRDefault="00EF68D6" w:rsidP="00EF68D6">
            <w:pPr>
              <w:spacing w:afterLines="20" w:after="48" w:line="240" w:lineRule="auto"/>
              <w:jc w:val="center"/>
              <w:rPr>
                <w:rFonts w:eastAsia="Times New Roman" w:cs="Arial"/>
                <w:color w:val="000000"/>
                <w:lang w:eastAsia="en-GB"/>
              </w:rPr>
            </w:pPr>
          </w:p>
        </w:tc>
        <w:tc>
          <w:tcPr>
            <w:tcW w:w="1701" w:type="dxa"/>
            <w:shd w:val="clear" w:color="auto" w:fill="auto"/>
            <w:noWrap/>
            <w:vAlign w:val="center"/>
          </w:tcPr>
          <w:p w14:paraId="46E6E1B1" w14:textId="77777777" w:rsidR="00EF68D6" w:rsidRPr="007D6533" w:rsidRDefault="00EF68D6" w:rsidP="00EF68D6">
            <w:pPr>
              <w:spacing w:afterLines="20" w:after="48" w:line="240" w:lineRule="auto"/>
              <w:jc w:val="center"/>
              <w:rPr>
                <w:rFonts w:eastAsia="Times New Roman" w:cs="Arial"/>
                <w:color w:val="000000"/>
                <w:lang w:eastAsia="en-GB"/>
              </w:rPr>
            </w:pPr>
          </w:p>
        </w:tc>
      </w:tr>
      <w:tr w:rsidR="00EF68D6" w:rsidRPr="007D6533" w14:paraId="65CAF089" w14:textId="77777777" w:rsidTr="005941B2">
        <w:trPr>
          <w:trHeight w:val="202"/>
        </w:trPr>
        <w:tc>
          <w:tcPr>
            <w:tcW w:w="4106" w:type="dxa"/>
            <w:shd w:val="clear" w:color="auto" w:fill="auto"/>
            <w:noWrap/>
            <w:vAlign w:val="bottom"/>
          </w:tcPr>
          <w:p w14:paraId="5011F398"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Accumulated Fund</w:t>
            </w:r>
          </w:p>
        </w:tc>
        <w:tc>
          <w:tcPr>
            <w:tcW w:w="2127" w:type="dxa"/>
            <w:shd w:val="clear" w:color="auto" w:fill="auto"/>
            <w:noWrap/>
            <w:vAlign w:val="center"/>
          </w:tcPr>
          <w:p w14:paraId="5BBAE3DC" w14:textId="388CCE54" w:rsidR="00EF68D6" w:rsidRPr="0064527C" w:rsidRDefault="00FF1765" w:rsidP="00EF68D6">
            <w:pPr>
              <w:spacing w:afterLines="20" w:after="48" w:line="240" w:lineRule="auto"/>
              <w:jc w:val="center"/>
              <w:rPr>
                <w:rFonts w:eastAsia="Times New Roman"/>
                <w:b/>
                <w:bCs/>
                <w:lang w:eastAsia="en-GB"/>
              </w:rPr>
            </w:pPr>
            <w:r w:rsidRPr="0064527C">
              <w:rPr>
                <w:rFonts w:eastAsia="Times New Roman"/>
                <w:b/>
                <w:bCs/>
                <w:lang w:eastAsia="en-GB"/>
              </w:rPr>
              <w:t>10,327,573</w:t>
            </w:r>
          </w:p>
        </w:tc>
        <w:tc>
          <w:tcPr>
            <w:tcW w:w="1723" w:type="dxa"/>
            <w:shd w:val="clear" w:color="auto" w:fill="auto"/>
            <w:noWrap/>
            <w:vAlign w:val="center"/>
          </w:tcPr>
          <w:p w14:paraId="2BC4605D" w14:textId="0C45CBAB" w:rsidR="00EF68D6" w:rsidRPr="0064527C" w:rsidRDefault="00EF68D6" w:rsidP="00EF68D6">
            <w:pPr>
              <w:spacing w:afterLines="20" w:after="48" w:line="240" w:lineRule="auto"/>
              <w:jc w:val="center"/>
              <w:rPr>
                <w:rFonts w:eastAsia="Times New Roman"/>
                <w:b/>
                <w:bCs/>
                <w:lang w:eastAsia="en-GB"/>
              </w:rPr>
            </w:pPr>
            <w:r w:rsidRPr="0064527C">
              <w:rPr>
                <w:b/>
                <w:bCs/>
                <w:color w:val="000000"/>
              </w:rPr>
              <w:t>(22,152,826)</w:t>
            </w:r>
          </w:p>
        </w:tc>
        <w:tc>
          <w:tcPr>
            <w:tcW w:w="1701" w:type="dxa"/>
            <w:shd w:val="clear" w:color="auto" w:fill="auto"/>
            <w:noWrap/>
            <w:vAlign w:val="center"/>
          </w:tcPr>
          <w:p w14:paraId="27B1A9C7" w14:textId="4050DB0C" w:rsidR="00EF68D6" w:rsidRPr="0064527C" w:rsidRDefault="00EF68D6" w:rsidP="00EF68D6">
            <w:pPr>
              <w:spacing w:afterLines="20" w:after="48" w:line="240" w:lineRule="auto"/>
              <w:jc w:val="center"/>
              <w:rPr>
                <w:rFonts w:eastAsia="Times New Roman"/>
                <w:b/>
                <w:bCs/>
                <w:lang w:eastAsia="en-GB"/>
              </w:rPr>
            </w:pPr>
            <w:r w:rsidRPr="0064527C">
              <w:rPr>
                <w:rFonts w:eastAsia="Times New Roman" w:cs="Arial"/>
                <w:b/>
                <w:bCs/>
                <w:color w:val="000000"/>
                <w:lang w:eastAsia="en-GB"/>
              </w:rPr>
              <w:t>(967,114)</w:t>
            </w:r>
          </w:p>
        </w:tc>
      </w:tr>
      <w:tr w:rsidR="00EF68D6" w:rsidRPr="007D6533" w14:paraId="7C48192D" w14:textId="77777777" w:rsidTr="005941B2">
        <w:trPr>
          <w:trHeight w:val="215"/>
        </w:trPr>
        <w:tc>
          <w:tcPr>
            <w:tcW w:w="4106" w:type="dxa"/>
            <w:shd w:val="clear" w:color="auto" w:fill="auto"/>
            <w:noWrap/>
            <w:vAlign w:val="bottom"/>
          </w:tcPr>
          <w:p w14:paraId="357AAF48"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shd w:val="clear" w:color="auto" w:fill="auto"/>
            <w:noWrap/>
            <w:vAlign w:val="center"/>
          </w:tcPr>
          <w:p w14:paraId="3EA32C22" w14:textId="77777777" w:rsidR="00EF68D6" w:rsidRPr="007D6533" w:rsidRDefault="00EF68D6" w:rsidP="00EF68D6">
            <w:pPr>
              <w:spacing w:afterLines="20" w:after="48" w:line="240" w:lineRule="auto"/>
              <w:jc w:val="center"/>
              <w:rPr>
                <w:rFonts w:eastAsia="Times New Roman" w:cs="Arial"/>
                <w:b/>
                <w:bCs/>
                <w:color w:val="000000"/>
                <w:lang w:eastAsia="en-GB"/>
              </w:rPr>
            </w:pPr>
          </w:p>
        </w:tc>
        <w:tc>
          <w:tcPr>
            <w:tcW w:w="1723" w:type="dxa"/>
            <w:shd w:val="clear" w:color="auto" w:fill="auto"/>
            <w:noWrap/>
            <w:vAlign w:val="center"/>
          </w:tcPr>
          <w:p w14:paraId="14E0D910" w14:textId="77777777" w:rsidR="00EF68D6" w:rsidRPr="007D6533" w:rsidRDefault="00EF68D6" w:rsidP="00EF68D6">
            <w:pPr>
              <w:spacing w:afterLines="20" w:after="48" w:line="240" w:lineRule="auto"/>
              <w:jc w:val="center"/>
              <w:rPr>
                <w:rFonts w:eastAsia="Times New Roman" w:cs="Arial"/>
                <w:b/>
                <w:bCs/>
                <w:color w:val="000000"/>
                <w:lang w:eastAsia="en-GB"/>
              </w:rPr>
            </w:pPr>
          </w:p>
        </w:tc>
        <w:tc>
          <w:tcPr>
            <w:tcW w:w="1701" w:type="dxa"/>
            <w:shd w:val="clear" w:color="auto" w:fill="auto"/>
            <w:noWrap/>
            <w:vAlign w:val="center"/>
          </w:tcPr>
          <w:p w14:paraId="10F403F2" w14:textId="77777777" w:rsidR="00EF68D6" w:rsidRPr="007D6533" w:rsidRDefault="00EF68D6" w:rsidP="00EF68D6">
            <w:pPr>
              <w:spacing w:afterLines="20" w:after="48" w:line="240" w:lineRule="auto"/>
              <w:jc w:val="center"/>
              <w:rPr>
                <w:rFonts w:eastAsia="Times New Roman" w:cs="Arial"/>
                <w:b/>
                <w:bCs/>
                <w:color w:val="000000"/>
                <w:lang w:eastAsia="en-GB"/>
              </w:rPr>
            </w:pPr>
          </w:p>
        </w:tc>
      </w:tr>
      <w:tr w:rsidR="00EF68D6" w:rsidRPr="007D6533" w14:paraId="30FF648F" w14:textId="77777777" w:rsidTr="005941B2">
        <w:trPr>
          <w:trHeight w:val="215"/>
        </w:trPr>
        <w:tc>
          <w:tcPr>
            <w:tcW w:w="4106" w:type="dxa"/>
            <w:shd w:val="clear" w:color="auto" w:fill="auto"/>
            <w:noWrap/>
            <w:vAlign w:val="bottom"/>
          </w:tcPr>
          <w:p w14:paraId="74FAD160" w14:textId="138D7C7A"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Non-Current Liabilities:</w:t>
            </w:r>
          </w:p>
        </w:tc>
        <w:tc>
          <w:tcPr>
            <w:tcW w:w="2127" w:type="dxa"/>
            <w:shd w:val="clear" w:color="auto" w:fill="auto"/>
            <w:noWrap/>
            <w:vAlign w:val="center"/>
          </w:tcPr>
          <w:p w14:paraId="553F3DCB" w14:textId="77777777" w:rsidR="00EF68D6" w:rsidRPr="007D6533" w:rsidRDefault="00EF68D6" w:rsidP="00EF68D6">
            <w:pPr>
              <w:spacing w:afterLines="20" w:after="48" w:line="240" w:lineRule="auto"/>
              <w:jc w:val="center"/>
              <w:rPr>
                <w:rFonts w:eastAsia="Times New Roman"/>
                <w:lang w:eastAsia="en-GB"/>
              </w:rPr>
            </w:pPr>
          </w:p>
        </w:tc>
        <w:tc>
          <w:tcPr>
            <w:tcW w:w="1723" w:type="dxa"/>
            <w:shd w:val="clear" w:color="auto" w:fill="auto"/>
            <w:noWrap/>
            <w:vAlign w:val="center"/>
          </w:tcPr>
          <w:p w14:paraId="76328091"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0A7B2321"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5CB22D24" w14:textId="77777777" w:rsidTr="005941B2">
        <w:trPr>
          <w:trHeight w:val="202"/>
        </w:trPr>
        <w:tc>
          <w:tcPr>
            <w:tcW w:w="4106" w:type="dxa"/>
            <w:shd w:val="clear" w:color="auto" w:fill="auto"/>
            <w:noWrap/>
            <w:vAlign w:val="bottom"/>
          </w:tcPr>
          <w:p w14:paraId="50C184EF" w14:textId="77777777" w:rsidR="00EF68D6" w:rsidRPr="007D6533" w:rsidRDefault="00EF68D6" w:rsidP="00EF68D6">
            <w:pPr>
              <w:spacing w:afterLines="20" w:after="48" w:line="240" w:lineRule="auto"/>
              <w:rPr>
                <w:rFonts w:eastAsia="Times New Roman" w:cs="Arial"/>
                <w:b/>
                <w:bCs/>
                <w:color w:val="000000"/>
                <w:lang w:eastAsia="en-GB"/>
              </w:rPr>
            </w:pPr>
            <w:r w:rsidRPr="007D6533">
              <w:rPr>
                <w:color w:val="000000"/>
              </w:rPr>
              <w:t>Capital Fund</w:t>
            </w:r>
          </w:p>
        </w:tc>
        <w:tc>
          <w:tcPr>
            <w:tcW w:w="2127" w:type="dxa"/>
            <w:shd w:val="clear" w:color="auto" w:fill="auto"/>
            <w:noWrap/>
            <w:vAlign w:val="center"/>
          </w:tcPr>
          <w:p w14:paraId="2B15AD80" w14:textId="37EEB6C6" w:rsidR="00EF68D6" w:rsidRPr="007D6533" w:rsidRDefault="00FF1765" w:rsidP="00EF68D6">
            <w:pPr>
              <w:spacing w:afterLines="20" w:after="48" w:line="240" w:lineRule="auto"/>
              <w:jc w:val="center"/>
              <w:rPr>
                <w:rFonts w:eastAsia="Times New Roman"/>
                <w:lang w:eastAsia="en-GB"/>
              </w:rPr>
            </w:pPr>
            <w:r>
              <w:rPr>
                <w:rFonts w:eastAsia="Times New Roman"/>
                <w:lang w:eastAsia="en-GB"/>
              </w:rPr>
              <w:t>1,212,709</w:t>
            </w:r>
          </w:p>
        </w:tc>
        <w:tc>
          <w:tcPr>
            <w:tcW w:w="1723" w:type="dxa"/>
            <w:shd w:val="clear" w:color="auto" w:fill="auto"/>
            <w:noWrap/>
            <w:vAlign w:val="center"/>
          </w:tcPr>
          <w:p w14:paraId="79ADD7D2" w14:textId="6CA32195" w:rsidR="00EF68D6" w:rsidRPr="007D6533" w:rsidRDefault="00EF68D6" w:rsidP="00EF68D6">
            <w:pPr>
              <w:spacing w:afterLines="20" w:after="48" w:line="240" w:lineRule="auto"/>
              <w:jc w:val="center"/>
              <w:rPr>
                <w:rFonts w:eastAsia="Times New Roman"/>
                <w:lang w:eastAsia="en-GB"/>
              </w:rPr>
            </w:pPr>
            <w:r w:rsidRPr="007D6533">
              <w:rPr>
                <w:color w:val="000000"/>
              </w:rPr>
              <w:t>1,212,709</w:t>
            </w:r>
          </w:p>
        </w:tc>
        <w:tc>
          <w:tcPr>
            <w:tcW w:w="1701" w:type="dxa"/>
            <w:shd w:val="clear" w:color="auto" w:fill="auto"/>
            <w:noWrap/>
            <w:vAlign w:val="center"/>
          </w:tcPr>
          <w:p w14:paraId="1D3D88B4" w14:textId="78F03605" w:rsidR="00EF68D6" w:rsidRPr="007D6533" w:rsidRDefault="00EF68D6" w:rsidP="00EF68D6">
            <w:pPr>
              <w:spacing w:afterLines="20" w:after="48" w:line="240" w:lineRule="auto"/>
              <w:jc w:val="center"/>
              <w:rPr>
                <w:rFonts w:eastAsia="Times New Roman"/>
                <w:lang w:eastAsia="en-GB"/>
              </w:rPr>
            </w:pPr>
            <w:r w:rsidRPr="007D6533">
              <w:rPr>
                <w:color w:val="000000"/>
              </w:rPr>
              <w:t>1,212,709</w:t>
            </w:r>
          </w:p>
        </w:tc>
      </w:tr>
      <w:tr w:rsidR="00EF68D6" w:rsidRPr="007D6533" w14:paraId="23DCFC38" w14:textId="77777777" w:rsidTr="005941B2">
        <w:trPr>
          <w:trHeight w:val="215"/>
        </w:trPr>
        <w:tc>
          <w:tcPr>
            <w:tcW w:w="4106" w:type="dxa"/>
            <w:shd w:val="clear" w:color="auto" w:fill="auto"/>
            <w:noWrap/>
            <w:vAlign w:val="bottom"/>
          </w:tcPr>
          <w:p w14:paraId="3A7AB06B"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Provision for terminal Benefit</w:t>
            </w:r>
          </w:p>
        </w:tc>
        <w:tc>
          <w:tcPr>
            <w:tcW w:w="2127" w:type="dxa"/>
            <w:shd w:val="clear" w:color="auto" w:fill="auto"/>
            <w:noWrap/>
            <w:vAlign w:val="center"/>
          </w:tcPr>
          <w:p w14:paraId="0FCED9C2" w14:textId="0402C316" w:rsidR="00EF68D6" w:rsidRPr="007D6533" w:rsidRDefault="00F72505"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60,784,204</w:t>
            </w:r>
          </w:p>
        </w:tc>
        <w:tc>
          <w:tcPr>
            <w:tcW w:w="1723" w:type="dxa"/>
            <w:shd w:val="clear" w:color="auto" w:fill="auto"/>
            <w:noWrap/>
            <w:vAlign w:val="center"/>
          </w:tcPr>
          <w:p w14:paraId="0D8495A3" w14:textId="494C2F63"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60,502,561</w:t>
            </w:r>
          </w:p>
        </w:tc>
        <w:tc>
          <w:tcPr>
            <w:tcW w:w="1701" w:type="dxa"/>
            <w:shd w:val="clear" w:color="auto" w:fill="auto"/>
            <w:noWrap/>
            <w:vAlign w:val="center"/>
          </w:tcPr>
          <w:p w14:paraId="326D3D7F" w14:textId="325555C7"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57,082,052</w:t>
            </w:r>
          </w:p>
        </w:tc>
      </w:tr>
      <w:tr w:rsidR="00EF68D6" w:rsidRPr="007D6533" w14:paraId="1E493A09" w14:textId="77777777" w:rsidTr="005941B2">
        <w:trPr>
          <w:trHeight w:val="202"/>
        </w:trPr>
        <w:tc>
          <w:tcPr>
            <w:tcW w:w="4106" w:type="dxa"/>
            <w:shd w:val="clear" w:color="auto" w:fill="auto"/>
            <w:noWrap/>
            <w:vAlign w:val="bottom"/>
          </w:tcPr>
          <w:p w14:paraId="6FC4A3F7" w14:textId="77777777" w:rsidR="00EF68D6" w:rsidRPr="007D6533" w:rsidRDefault="00EF68D6" w:rsidP="00EF68D6">
            <w:pPr>
              <w:spacing w:afterLines="20" w:after="48" w:line="240" w:lineRule="auto"/>
              <w:rPr>
                <w:rFonts w:eastAsia="Times New Roman" w:cs="Arial"/>
                <w:color w:val="000000"/>
                <w:lang w:eastAsia="en-GB"/>
              </w:rPr>
            </w:pPr>
            <w:r w:rsidRPr="007D6533">
              <w:rPr>
                <w:rFonts w:eastAsia="Times New Roman" w:cs="Arial"/>
                <w:b/>
                <w:bCs/>
                <w:color w:val="000000"/>
                <w:lang w:eastAsia="en-GB"/>
              </w:rPr>
              <w:t xml:space="preserve">Total Non-Current Liabilities </w:t>
            </w:r>
          </w:p>
        </w:tc>
        <w:tc>
          <w:tcPr>
            <w:tcW w:w="2127" w:type="dxa"/>
            <w:shd w:val="clear" w:color="auto" w:fill="auto"/>
            <w:noWrap/>
            <w:vAlign w:val="center"/>
          </w:tcPr>
          <w:p w14:paraId="65D340B3" w14:textId="7D23BC01" w:rsidR="00EF68D6" w:rsidRPr="0064527C" w:rsidRDefault="00F72505" w:rsidP="00EF68D6">
            <w:pPr>
              <w:spacing w:afterLines="20" w:after="48" w:line="240" w:lineRule="auto"/>
              <w:jc w:val="center"/>
              <w:rPr>
                <w:rFonts w:eastAsia="Times New Roman"/>
                <w:b/>
                <w:bCs/>
                <w:lang w:eastAsia="en-GB"/>
              </w:rPr>
            </w:pPr>
            <w:r w:rsidRPr="0064527C">
              <w:rPr>
                <w:rFonts w:eastAsia="Times New Roman"/>
                <w:b/>
                <w:bCs/>
                <w:lang w:eastAsia="en-GB"/>
              </w:rPr>
              <w:t>61,996,913</w:t>
            </w:r>
          </w:p>
        </w:tc>
        <w:tc>
          <w:tcPr>
            <w:tcW w:w="1723" w:type="dxa"/>
            <w:shd w:val="clear" w:color="auto" w:fill="auto"/>
            <w:noWrap/>
            <w:vAlign w:val="center"/>
          </w:tcPr>
          <w:p w14:paraId="74660A89" w14:textId="0AC2D64A" w:rsidR="00EF68D6" w:rsidRPr="007D6533" w:rsidRDefault="00EF68D6" w:rsidP="00EF68D6">
            <w:pPr>
              <w:spacing w:afterLines="20" w:after="48" w:line="240" w:lineRule="auto"/>
              <w:jc w:val="center"/>
              <w:rPr>
                <w:color w:val="000000"/>
              </w:rPr>
            </w:pPr>
            <w:r w:rsidRPr="007D6533">
              <w:rPr>
                <w:b/>
                <w:bCs/>
                <w:color w:val="000000"/>
              </w:rPr>
              <w:t>61,715,270</w:t>
            </w:r>
          </w:p>
        </w:tc>
        <w:tc>
          <w:tcPr>
            <w:tcW w:w="1701" w:type="dxa"/>
            <w:shd w:val="clear" w:color="auto" w:fill="auto"/>
            <w:noWrap/>
            <w:vAlign w:val="center"/>
          </w:tcPr>
          <w:p w14:paraId="09AF1F1C" w14:textId="0EC885CB" w:rsidR="00EF68D6" w:rsidRPr="007D6533" w:rsidRDefault="00EF68D6" w:rsidP="00EF68D6">
            <w:pPr>
              <w:spacing w:afterLines="20" w:after="48" w:line="240" w:lineRule="auto"/>
              <w:jc w:val="center"/>
              <w:rPr>
                <w:color w:val="000000"/>
              </w:rPr>
            </w:pPr>
            <w:r w:rsidRPr="007D6533">
              <w:rPr>
                <w:rFonts w:eastAsia="Times New Roman" w:cs="Arial"/>
                <w:b/>
                <w:bCs/>
                <w:color w:val="000000"/>
                <w:lang w:eastAsia="en-GB"/>
              </w:rPr>
              <w:t>58,294,761</w:t>
            </w:r>
          </w:p>
        </w:tc>
      </w:tr>
      <w:tr w:rsidR="00EF68D6" w:rsidRPr="007D6533" w14:paraId="72B78ADE" w14:textId="77777777" w:rsidTr="005941B2">
        <w:trPr>
          <w:trHeight w:val="202"/>
        </w:trPr>
        <w:tc>
          <w:tcPr>
            <w:tcW w:w="4106" w:type="dxa"/>
            <w:shd w:val="clear" w:color="auto" w:fill="auto"/>
            <w:noWrap/>
            <w:vAlign w:val="bottom"/>
          </w:tcPr>
          <w:p w14:paraId="7A441BF8" w14:textId="77777777" w:rsidR="00EF68D6" w:rsidRPr="007D6533" w:rsidRDefault="00EF68D6" w:rsidP="00EF68D6">
            <w:pPr>
              <w:spacing w:afterLines="20" w:after="48" w:line="240" w:lineRule="auto"/>
              <w:rPr>
                <w:rFonts w:eastAsia="Times New Roman" w:cs="Arial"/>
                <w:b/>
                <w:bCs/>
                <w:color w:val="000000"/>
                <w:lang w:eastAsia="en-GB"/>
              </w:rPr>
            </w:pPr>
          </w:p>
        </w:tc>
        <w:tc>
          <w:tcPr>
            <w:tcW w:w="2127" w:type="dxa"/>
            <w:shd w:val="clear" w:color="auto" w:fill="auto"/>
            <w:noWrap/>
            <w:vAlign w:val="center"/>
          </w:tcPr>
          <w:p w14:paraId="21F1FBD9" w14:textId="77777777" w:rsidR="00EF68D6" w:rsidRPr="007D6533" w:rsidRDefault="00EF68D6" w:rsidP="00EF68D6">
            <w:pPr>
              <w:spacing w:afterLines="20" w:after="48" w:line="240" w:lineRule="auto"/>
              <w:jc w:val="center"/>
              <w:rPr>
                <w:rFonts w:eastAsia="Times New Roman"/>
                <w:lang w:eastAsia="en-GB"/>
              </w:rPr>
            </w:pPr>
          </w:p>
        </w:tc>
        <w:tc>
          <w:tcPr>
            <w:tcW w:w="1723" w:type="dxa"/>
            <w:shd w:val="clear" w:color="auto" w:fill="auto"/>
            <w:noWrap/>
            <w:vAlign w:val="center"/>
          </w:tcPr>
          <w:p w14:paraId="5B5765F5"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42EF55B3"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5EFB7FAD" w14:textId="77777777" w:rsidTr="005941B2">
        <w:trPr>
          <w:trHeight w:val="202"/>
        </w:trPr>
        <w:tc>
          <w:tcPr>
            <w:tcW w:w="4106" w:type="dxa"/>
            <w:shd w:val="clear" w:color="auto" w:fill="auto"/>
            <w:noWrap/>
            <w:vAlign w:val="bottom"/>
          </w:tcPr>
          <w:p w14:paraId="0657547F"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Current Liabilities:</w:t>
            </w:r>
          </w:p>
        </w:tc>
        <w:tc>
          <w:tcPr>
            <w:tcW w:w="2127" w:type="dxa"/>
            <w:shd w:val="clear" w:color="auto" w:fill="auto"/>
            <w:noWrap/>
            <w:vAlign w:val="center"/>
          </w:tcPr>
          <w:p w14:paraId="5F514AB3" w14:textId="77777777" w:rsidR="00EF68D6" w:rsidRPr="007D6533" w:rsidRDefault="00EF68D6" w:rsidP="00EF68D6">
            <w:pPr>
              <w:spacing w:afterLines="20" w:after="48" w:line="240" w:lineRule="auto"/>
              <w:jc w:val="center"/>
              <w:rPr>
                <w:b/>
                <w:bCs/>
                <w:color w:val="000000"/>
              </w:rPr>
            </w:pPr>
          </w:p>
        </w:tc>
        <w:tc>
          <w:tcPr>
            <w:tcW w:w="1723" w:type="dxa"/>
            <w:shd w:val="clear" w:color="auto" w:fill="auto"/>
            <w:noWrap/>
            <w:vAlign w:val="center"/>
          </w:tcPr>
          <w:p w14:paraId="4CABA891"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706E9FF5"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00A6EC07" w14:textId="77777777" w:rsidTr="005941B2">
        <w:trPr>
          <w:trHeight w:val="202"/>
        </w:trPr>
        <w:tc>
          <w:tcPr>
            <w:tcW w:w="4106" w:type="dxa"/>
            <w:shd w:val="clear" w:color="auto" w:fill="auto"/>
            <w:noWrap/>
            <w:vAlign w:val="bottom"/>
          </w:tcPr>
          <w:p w14:paraId="715DEB7B"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Income Tax Liabilities</w:t>
            </w:r>
          </w:p>
        </w:tc>
        <w:tc>
          <w:tcPr>
            <w:tcW w:w="2127" w:type="dxa"/>
            <w:shd w:val="clear" w:color="auto" w:fill="auto"/>
            <w:noWrap/>
            <w:vAlign w:val="center"/>
          </w:tcPr>
          <w:p w14:paraId="3B1FD382" w14:textId="05FC1A10" w:rsidR="00EF68D6" w:rsidRPr="007D6533" w:rsidRDefault="00F72505"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1,304,637</w:t>
            </w:r>
          </w:p>
        </w:tc>
        <w:tc>
          <w:tcPr>
            <w:tcW w:w="1723" w:type="dxa"/>
            <w:shd w:val="clear" w:color="auto" w:fill="auto"/>
            <w:noWrap/>
            <w:vAlign w:val="center"/>
          </w:tcPr>
          <w:p w14:paraId="4F01E596" w14:textId="6FA388E1"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1,304,637</w:t>
            </w:r>
          </w:p>
        </w:tc>
        <w:tc>
          <w:tcPr>
            <w:tcW w:w="1701" w:type="dxa"/>
            <w:shd w:val="clear" w:color="auto" w:fill="FFFFFF" w:themeFill="background1"/>
            <w:noWrap/>
            <w:vAlign w:val="center"/>
          </w:tcPr>
          <w:p w14:paraId="16D190A6" w14:textId="3DC16FB3"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lang w:eastAsia="en-GB"/>
              </w:rPr>
              <w:t>1,304,637</w:t>
            </w:r>
          </w:p>
        </w:tc>
      </w:tr>
      <w:tr w:rsidR="00EF68D6" w:rsidRPr="007D6533" w14:paraId="5C3B8326" w14:textId="77777777" w:rsidTr="005941B2">
        <w:trPr>
          <w:trHeight w:val="202"/>
        </w:trPr>
        <w:tc>
          <w:tcPr>
            <w:tcW w:w="4106" w:type="dxa"/>
            <w:shd w:val="clear" w:color="auto" w:fill="auto"/>
            <w:noWrap/>
            <w:vAlign w:val="bottom"/>
          </w:tcPr>
          <w:p w14:paraId="1EB9731B" w14:textId="77777777" w:rsidR="00EF68D6" w:rsidRPr="007D6533" w:rsidRDefault="00EF68D6" w:rsidP="00EF68D6">
            <w:pPr>
              <w:spacing w:afterLines="20" w:after="48" w:line="240" w:lineRule="auto"/>
              <w:rPr>
                <w:rFonts w:eastAsia="Times New Roman" w:cs="Arial"/>
                <w:color w:val="000000"/>
                <w:lang w:eastAsia="en-GB"/>
              </w:rPr>
            </w:pPr>
            <w:r w:rsidRPr="007D6533">
              <w:rPr>
                <w:color w:val="000000"/>
              </w:rPr>
              <w:t>Other Payables</w:t>
            </w:r>
          </w:p>
        </w:tc>
        <w:tc>
          <w:tcPr>
            <w:tcW w:w="2127" w:type="dxa"/>
            <w:shd w:val="clear" w:color="auto" w:fill="auto"/>
            <w:noWrap/>
            <w:vAlign w:val="center"/>
          </w:tcPr>
          <w:p w14:paraId="4B818CE1" w14:textId="1161EA31" w:rsidR="00EF68D6" w:rsidRPr="007D6533" w:rsidRDefault="00E972F3" w:rsidP="00EF68D6">
            <w:pPr>
              <w:spacing w:afterLines="20" w:after="48" w:line="240" w:lineRule="auto"/>
              <w:jc w:val="center"/>
              <w:rPr>
                <w:rFonts w:eastAsia="Times New Roman" w:cs="Arial"/>
                <w:color w:val="000000"/>
                <w:lang w:eastAsia="en-GB"/>
              </w:rPr>
            </w:pPr>
            <w:r>
              <w:rPr>
                <w:rFonts w:eastAsia="Times New Roman" w:cs="Arial"/>
                <w:color w:val="000000"/>
                <w:lang w:eastAsia="en-GB"/>
              </w:rPr>
              <w:t>50,750,119</w:t>
            </w:r>
          </w:p>
        </w:tc>
        <w:tc>
          <w:tcPr>
            <w:tcW w:w="1723" w:type="dxa"/>
            <w:shd w:val="clear" w:color="auto" w:fill="auto"/>
            <w:noWrap/>
            <w:vAlign w:val="center"/>
          </w:tcPr>
          <w:p w14:paraId="44067050" w14:textId="6FC72230" w:rsidR="00EF68D6" w:rsidRPr="007D6533" w:rsidRDefault="00EF68D6" w:rsidP="00EF68D6">
            <w:pPr>
              <w:spacing w:afterLines="20" w:after="48" w:line="240" w:lineRule="auto"/>
              <w:jc w:val="center"/>
              <w:rPr>
                <w:rFonts w:eastAsia="Times New Roman" w:cs="Arial"/>
                <w:color w:val="000000"/>
                <w:lang w:eastAsia="en-GB"/>
              </w:rPr>
            </w:pPr>
            <w:r w:rsidRPr="007D6533">
              <w:rPr>
                <w:color w:val="000000"/>
              </w:rPr>
              <w:t>67,789,177</w:t>
            </w:r>
          </w:p>
        </w:tc>
        <w:tc>
          <w:tcPr>
            <w:tcW w:w="1701" w:type="dxa"/>
            <w:shd w:val="clear" w:color="auto" w:fill="FFFFFF" w:themeFill="background1"/>
            <w:noWrap/>
            <w:vAlign w:val="center"/>
          </w:tcPr>
          <w:p w14:paraId="460F83AE" w14:textId="40E6ED49"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cs="Arial"/>
                <w:color w:val="000000"/>
                <w:lang w:eastAsia="en-GB"/>
              </w:rPr>
              <w:t>59,953,816</w:t>
            </w:r>
          </w:p>
        </w:tc>
      </w:tr>
      <w:tr w:rsidR="00EF68D6" w:rsidRPr="007D6533" w14:paraId="0CC0080E" w14:textId="77777777" w:rsidTr="005941B2">
        <w:trPr>
          <w:trHeight w:val="215"/>
        </w:trPr>
        <w:tc>
          <w:tcPr>
            <w:tcW w:w="4106" w:type="dxa"/>
            <w:shd w:val="clear" w:color="auto" w:fill="auto"/>
            <w:noWrap/>
            <w:vAlign w:val="bottom"/>
          </w:tcPr>
          <w:p w14:paraId="722339F2"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Total Current Liabilities:</w:t>
            </w:r>
          </w:p>
        </w:tc>
        <w:tc>
          <w:tcPr>
            <w:tcW w:w="2127" w:type="dxa"/>
            <w:shd w:val="clear" w:color="auto" w:fill="auto"/>
            <w:noWrap/>
            <w:vAlign w:val="center"/>
          </w:tcPr>
          <w:p w14:paraId="4C72DD64" w14:textId="7731FD06" w:rsidR="00EF68D6" w:rsidRPr="0064527C" w:rsidRDefault="00E972F3" w:rsidP="00EF68D6">
            <w:pPr>
              <w:spacing w:afterLines="20" w:after="48" w:line="240" w:lineRule="auto"/>
              <w:jc w:val="center"/>
              <w:rPr>
                <w:rFonts w:eastAsia="Times New Roman" w:cs="Arial"/>
                <w:b/>
                <w:bCs/>
                <w:color w:val="000000"/>
                <w:lang w:eastAsia="en-GB"/>
              </w:rPr>
            </w:pPr>
            <w:r w:rsidRPr="0064527C">
              <w:rPr>
                <w:rFonts w:eastAsia="Times New Roman" w:cs="Arial"/>
                <w:b/>
                <w:bCs/>
                <w:color w:val="000000"/>
                <w:lang w:eastAsia="en-GB"/>
              </w:rPr>
              <w:t>52,054,756</w:t>
            </w:r>
          </w:p>
        </w:tc>
        <w:tc>
          <w:tcPr>
            <w:tcW w:w="1723" w:type="dxa"/>
            <w:shd w:val="clear" w:color="auto" w:fill="auto"/>
            <w:noWrap/>
            <w:vAlign w:val="center"/>
          </w:tcPr>
          <w:p w14:paraId="6DA4357E" w14:textId="45776E6B" w:rsidR="00EF68D6" w:rsidRPr="007D6533" w:rsidRDefault="00EF68D6" w:rsidP="00EF68D6">
            <w:pPr>
              <w:spacing w:afterLines="20" w:after="48" w:line="240" w:lineRule="auto"/>
              <w:jc w:val="center"/>
              <w:rPr>
                <w:rFonts w:eastAsia="Times New Roman" w:cs="Arial"/>
                <w:color w:val="000000"/>
                <w:lang w:eastAsia="en-GB"/>
              </w:rPr>
            </w:pPr>
            <w:r w:rsidRPr="007D6533">
              <w:rPr>
                <w:b/>
                <w:bCs/>
                <w:color w:val="000000"/>
              </w:rPr>
              <w:t>69,093,814</w:t>
            </w:r>
          </w:p>
        </w:tc>
        <w:tc>
          <w:tcPr>
            <w:tcW w:w="1701" w:type="dxa"/>
            <w:shd w:val="clear" w:color="auto" w:fill="FFFFFF" w:themeFill="background1"/>
            <w:noWrap/>
            <w:vAlign w:val="center"/>
          </w:tcPr>
          <w:p w14:paraId="4FA51FC1" w14:textId="7629D964" w:rsidR="00EF68D6" w:rsidRPr="007D6533" w:rsidRDefault="00EF68D6" w:rsidP="00EF68D6">
            <w:pPr>
              <w:spacing w:afterLines="20" w:after="48" w:line="240" w:lineRule="auto"/>
              <w:jc w:val="center"/>
              <w:rPr>
                <w:rFonts w:eastAsia="Times New Roman" w:cs="Arial"/>
                <w:color w:val="000000"/>
                <w:lang w:eastAsia="en-GB"/>
              </w:rPr>
            </w:pPr>
            <w:r w:rsidRPr="007D6533">
              <w:rPr>
                <w:rFonts w:eastAsia="Times New Roman" w:cs="Arial"/>
                <w:b/>
                <w:bCs/>
                <w:color w:val="000000"/>
                <w:lang w:eastAsia="en-GB"/>
              </w:rPr>
              <w:t>61,258,453</w:t>
            </w:r>
          </w:p>
        </w:tc>
      </w:tr>
      <w:tr w:rsidR="00EF68D6" w:rsidRPr="007D6533" w14:paraId="56C44C04" w14:textId="77777777" w:rsidTr="005941B2">
        <w:trPr>
          <w:trHeight w:val="202"/>
        </w:trPr>
        <w:tc>
          <w:tcPr>
            <w:tcW w:w="4106" w:type="dxa"/>
            <w:shd w:val="clear" w:color="auto" w:fill="auto"/>
            <w:noWrap/>
            <w:vAlign w:val="bottom"/>
          </w:tcPr>
          <w:p w14:paraId="3E01CBDD" w14:textId="77777777" w:rsidR="00EF68D6" w:rsidRPr="007D6533" w:rsidRDefault="00EF68D6" w:rsidP="00EF68D6">
            <w:pPr>
              <w:spacing w:afterLines="20" w:after="48" w:line="240" w:lineRule="auto"/>
              <w:rPr>
                <w:rFonts w:eastAsia="Times New Roman" w:cs="Arial"/>
                <w:color w:val="000000"/>
                <w:lang w:eastAsia="en-GB"/>
              </w:rPr>
            </w:pPr>
          </w:p>
        </w:tc>
        <w:tc>
          <w:tcPr>
            <w:tcW w:w="2127" w:type="dxa"/>
            <w:shd w:val="clear" w:color="auto" w:fill="auto"/>
            <w:noWrap/>
            <w:vAlign w:val="center"/>
          </w:tcPr>
          <w:p w14:paraId="65F6C1C3" w14:textId="77777777" w:rsidR="00EF68D6" w:rsidRPr="007D6533" w:rsidRDefault="00EF68D6" w:rsidP="00EF68D6">
            <w:pPr>
              <w:spacing w:afterLines="20" w:after="48" w:line="240" w:lineRule="auto"/>
              <w:jc w:val="center"/>
              <w:rPr>
                <w:rFonts w:eastAsia="Times New Roman"/>
                <w:lang w:eastAsia="en-GB"/>
              </w:rPr>
            </w:pPr>
          </w:p>
        </w:tc>
        <w:tc>
          <w:tcPr>
            <w:tcW w:w="1723" w:type="dxa"/>
            <w:shd w:val="clear" w:color="auto" w:fill="auto"/>
            <w:noWrap/>
            <w:vAlign w:val="center"/>
          </w:tcPr>
          <w:p w14:paraId="467445EF" w14:textId="77777777" w:rsidR="00EF68D6" w:rsidRPr="007D6533" w:rsidRDefault="00EF68D6" w:rsidP="00EF68D6">
            <w:pPr>
              <w:spacing w:afterLines="20" w:after="48" w:line="240" w:lineRule="auto"/>
              <w:jc w:val="center"/>
              <w:rPr>
                <w:rFonts w:eastAsia="Times New Roman"/>
                <w:lang w:eastAsia="en-GB"/>
              </w:rPr>
            </w:pPr>
          </w:p>
        </w:tc>
        <w:tc>
          <w:tcPr>
            <w:tcW w:w="1701" w:type="dxa"/>
            <w:shd w:val="clear" w:color="auto" w:fill="auto"/>
            <w:noWrap/>
            <w:vAlign w:val="center"/>
          </w:tcPr>
          <w:p w14:paraId="75ABB178" w14:textId="77777777" w:rsidR="00EF68D6" w:rsidRPr="007D6533" w:rsidRDefault="00EF68D6" w:rsidP="00EF68D6">
            <w:pPr>
              <w:spacing w:afterLines="20" w:after="48" w:line="240" w:lineRule="auto"/>
              <w:jc w:val="center"/>
              <w:rPr>
                <w:rFonts w:eastAsia="Times New Roman"/>
                <w:lang w:eastAsia="en-GB"/>
              </w:rPr>
            </w:pPr>
          </w:p>
        </w:tc>
      </w:tr>
      <w:tr w:rsidR="00EF68D6" w:rsidRPr="007D6533" w14:paraId="53A01594" w14:textId="77777777" w:rsidTr="005941B2">
        <w:trPr>
          <w:trHeight w:val="202"/>
        </w:trPr>
        <w:tc>
          <w:tcPr>
            <w:tcW w:w="4106" w:type="dxa"/>
            <w:shd w:val="clear" w:color="auto" w:fill="auto"/>
            <w:noWrap/>
            <w:vAlign w:val="bottom"/>
          </w:tcPr>
          <w:p w14:paraId="43A5265F" w14:textId="77777777" w:rsidR="00EF68D6" w:rsidRPr="007D6533" w:rsidRDefault="00EF68D6" w:rsidP="00EF68D6">
            <w:pPr>
              <w:spacing w:afterLines="20" w:after="48" w:line="240" w:lineRule="auto"/>
              <w:rPr>
                <w:rFonts w:eastAsia="Times New Roman" w:cs="Arial"/>
                <w:b/>
                <w:bCs/>
                <w:color w:val="000000"/>
                <w:lang w:eastAsia="en-GB"/>
              </w:rPr>
            </w:pPr>
            <w:r w:rsidRPr="007D6533">
              <w:rPr>
                <w:b/>
                <w:bCs/>
                <w:color w:val="000000"/>
              </w:rPr>
              <w:t>Total Funding and Liabilities</w:t>
            </w:r>
          </w:p>
        </w:tc>
        <w:tc>
          <w:tcPr>
            <w:tcW w:w="2127" w:type="dxa"/>
            <w:shd w:val="clear" w:color="auto" w:fill="auto"/>
            <w:noWrap/>
            <w:vAlign w:val="center"/>
          </w:tcPr>
          <w:p w14:paraId="31BDDA16" w14:textId="1C76CAEB" w:rsidR="00EF68D6" w:rsidRPr="0064527C" w:rsidRDefault="00E972F3" w:rsidP="00EF68D6">
            <w:pPr>
              <w:spacing w:afterLines="20" w:after="48" w:line="240" w:lineRule="auto"/>
              <w:jc w:val="center"/>
              <w:rPr>
                <w:rFonts w:eastAsia="Times New Roman"/>
                <w:b/>
                <w:bCs/>
                <w:lang w:eastAsia="en-GB"/>
              </w:rPr>
            </w:pPr>
            <w:r w:rsidRPr="0064527C">
              <w:rPr>
                <w:rFonts w:eastAsia="Times New Roman"/>
                <w:b/>
                <w:bCs/>
                <w:lang w:eastAsia="en-GB"/>
              </w:rPr>
              <w:t>124,3</w:t>
            </w:r>
            <w:r w:rsidR="00FE01DD" w:rsidRPr="0064527C">
              <w:rPr>
                <w:rFonts w:eastAsia="Times New Roman"/>
                <w:b/>
                <w:bCs/>
                <w:lang w:eastAsia="en-GB"/>
              </w:rPr>
              <w:t>79,242</w:t>
            </w:r>
          </w:p>
        </w:tc>
        <w:tc>
          <w:tcPr>
            <w:tcW w:w="1723" w:type="dxa"/>
            <w:shd w:val="clear" w:color="auto" w:fill="auto"/>
            <w:noWrap/>
            <w:vAlign w:val="center"/>
          </w:tcPr>
          <w:p w14:paraId="5B645415" w14:textId="11D3D6C4" w:rsidR="00EF68D6" w:rsidRPr="007D6533" w:rsidRDefault="00EF68D6" w:rsidP="00EF68D6">
            <w:pPr>
              <w:spacing w:afterLines="20" w:after="48" w:line="240" w:lineRule="auto"/>
              <w:jc w:val="center"/>
              <w:rPr>
                <w:rFonts w:eastAsia="Times New Roman"/>
                <w:lang w:eastAsia="en-GB"/>
              </w:rPr>
            </w:pPr>
            <w:r w:rsidRPr="007D6533">
              <w:rPr>
                <w:b/>
                <w:bCs/>
                <w:color w:val="000000"/>
              </w:rPr>
              <w:t>108,656,258</w:t>
            </w:r>
          </w:p>
        </w:tc>
        <w:tc>
          <w:tcPr>
            <w:tcW w:w="1701" w:type="dxa"/>
            <w:shd w:val="clear" w:color="auto" w:fill="auto"/>
            <w:noWrap/>
            <w:vAlign w:val="center"/>
          </w:tcPr>
          <w:p w14:paraId="32FA9E85" w14:textId="3E85C34B" w:rsidR="00EF68D6" w:rsidRPr="007D6533" w:rsidRDefault="00EF68D6" w:rsidP="00EF68D6">
            <w:pPr>
              <w:spacing w:afterLines="20" w:after="48" w:line="240" w:lineRule="auto"/>
              <w:jc w:val="center"/>
              <w:rPr>
                <w:rFonts w:eastAsia="Times New Roman"/>
                <w:lang w:eastAsia="en-GB"/>
              </w:rPr>
            </w:pPr>
            <w:r w:rsidRPr="007D6533">
              <w:rPr>
                <w:rFonts w:eastAsia="Times New Roman" w:cs="Arial"/>
                <w:b/>
                <w:bCs/>
                <w:color w:val="000000"/>
                <w:lang w:eastAsia="en-GB"/>
              </w:rPr>
              <w:t>118,586,100</w:t>
            </w:r>
          </w:p>
        </w:tc>
      </w:tr>
    </w:tbl>
    <w:p w14:paraId="67DB4089" w14:textId="77777777" w:rsidR="007D6533" w:rsidRPr="007D6533" w:rsidRDefault="007D6533" w:rsidP="007D6533">
      <w:pPr>
        <w:rPr>
          <w:lang w:val="en-GB"/>
        </w:rPr>
      </w:pPr>
    </w:p>
    <w:p w14:paraId="12131A6B" w14:textId="77777777" w:rsidR="00E3107A" w:rsidRDefault="00E3107A" w:rsidP="00616B6A">
      <w:pPr>
        <w:jc w:val="center"/>
        <w:rPr>
          <w:rFonts w:ascii="Baskerville Old Face" w:hAnsi="Baskerville Old Face" w:cs="Times New Roman"/>
          <w:b/>
          <w:bCs/>
          <w:sz w:val="24"/>
          <w:szCs w:val="24"/>
          <w:lang w:val="en-GB"/>
        </w:rPr>
      </w:pPr>
    </w:p>
    <w:p w14:paraId="6A25382F" w14:textId="77777777" w:rsidR="00E3107A" w:rsidRPr="00FD4A9C" w:rsidRDefault="00E3107A" w:rsidP="00616B6A">
      <w:pPr>
        <w:jc w:val="center"/>
        <w:rPr>
          <w:rFonts w:ascii="Baskerville Old Face" w:hAnsi="Baskerville Old Face" w:cs="Times New Roman"/>
          <w:b/>
          <w:bCs/>
          <w:sz w:val="24"/>
          <w:szCs w:val="24"/>
          <w:lang w:val="en-GB"/>
        </w:rPr>
      </w:pPr>
    </w:p>
    <w:sectPr w:rsidR="00E3107A" w:rsidRPr="00FD4A9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17CB" w14:textId="77777777" w:rsidR="00BA2E42" w:rsidRDefault="00BA2E42" w:rsidP="004F6CB3">
      <w:pPr>
        <w:spacing w:after="0" w:line="240" w:lineRule="auto"/>
      </w:pPr>
      <w:r>
        <w:separator/>
      </w:r>
    </w:p>
  </w:endnote>
  <w:endnote w:type="continuationSeparator" w:id="0">
    <w:p w14:paraId="1FDA82FC" w14:textId="77777777" w:rsidR="00BA2E42" w:rsidRDefault="00BA2E42" w:rsidP="004F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103825"/>
      <w:docPartObj>
        <w:docPartGallery w:val="Page Numbers (Bottom of Page)"/>
        <w:docPartUnique/>
      </w:docPartObj>
    </w:sdtPr>
    <w:sdtEndPr>
      <w:rPr>
        <w:noProof/>
      </w:rPr>
    </w:sdtEndPr>
    <w:sdtContent>
      <w:p w14:paraId="713E7216" w14:textId="3531F162" w:rsidR="00796259" w:rsidRDefault="007962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46144" w14:textId="77777777" w:rsidR="00796259" w:rsidRDefault="0079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9D4E" w14:textId="77777777" w:rsidR="00BA2E42" w:rsidRDefault="00BA2E42" w:rsidP="004F6CB3">
      <w:pPr>
        <w:spacing w:after="0" w:line="240" w:lineRule="auto"/>
      </w:pPr>
      <w:r>
        <w:separator/>
      </w:r>
    </w:p>
  </w:footnote>
  <w:footnote w:type="continuationSeparator" w:id="0">
    <w:p w14:paraId="72A43E85" w14:textId="77777777" w:rsidR="00BA2E42" w:rsidRDefault="00BA2E42" w:rsidP="004F6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AB31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3914715" o:spid="_x0000_i1025" type="#_x0000_t75" style="width:11.25pt;height:11.25pt;visibility:visible;mso-wrap-style:square">
            <v:imagedata r:id="rId1" o:title=""/>
          </v:shape>
        </w:pict>
      </mc:Choice>
      <mc:Fallback>
        <w:drawing>
          <wp:inline distT="0" distB="0" distL="0" distR="0" wp14:anchorId="31C7E3A0" wp14:editId="31C7E3A1">
            <wp:extent cx="142875" cy="142875"/>
            <wp:effectExtent l="0" t="0" r="0" b="0"/>
            <wp:docPr id="1963914715" name="Picture 196391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23483A"/>
    <w:multiLevelType w:val="hybridMultilevel"/>
    <w:tmpl w:val="3CA27A14"/>
    <w:lvl w:ilvl="0" w:tplc="B57AA09E">
      <w:start w:val="1"/>
      <w:numFmt w:val="bullet"/>
      <w:lvlText w:val=""/>
      <w:lvlJc w:val="left"/>
      <w:pPr>
        <w:tabs>
          <w:tab w:val="num" w:pos="720"/>
        </w:tabs>
        <w:ind w:left="720" w:hanging="360"/>
      </w:pPr>
      <w:rPr>
        <w:rFonts w:ascii="Symbol" w:hAnsi="Symbol" w:hint="default"/>
      </w:rPr>
    </w:lvl>
    <w:lvl w:ilvl="1" w:tplc="4E7406B6" w:tentative="1">
      <w:start w:val="1"/>
      <w:numFmt w:val="bullet"/>
      <w:lvlText w:val=""/>
      <w:lvlJc w:val="left"/>
      <w:pPr>
        <w:tabs>
          <w:tab w:val="num" w:pos="1440"/>
        </w:tabs>
        <w:ind w:left="1440" w:hanging="360"/>
      </w:pPr>
      <w:rPr>
        <w:rFonts w:ascii="Symbol" w:hAnsi="Symbol" w:hint="default"/>
      </w:rPr>
    </w:lvl>
    <w:lvl w:ilvl="2" w:tplc="F6082DCE" w:tentative="1">
      <w:start w:val="1"/>
      <w:numFmt w:val="bullet"/>
      <w:lvlText w:val=""/>
      <w:lvlJc w:val="left"/>
      <w:pPr>
        <w:tabs>
          <w:tab w:val="num" w:pos="2160"/>
        </w:tabs>
        <w:ind w:left="2160" w:hanging="360"/>
      </w:pPr>
      <w:rPr>
        <w:rFonts w:ascii="Symbol" w:hAnsi="Symbol" w:hint="default"/>
      </w:rPr>
    </w:lvl>
    <w:lvl w:ilvl="3" w:tplc="C39CBD84" w:tentative="1">
      <w:start w:val="1"/>
      <w:numFmt w:val="bullet"/>
      <w:lvlText w:val=""/>
      <w:lvlJc w:val="left"/>
      <w:pPr>
        <w:tabs>
          <w:tab w:val="num" w:pos="2880"/>
        </w:tabs>
        <w:ind w:left="2880" w:hanging="360"/>
      </w:pPr>
      <w:rPr>
        <w:rFonts w:ascii="Symbol" w:hAnsi="Symbol" w:hint="default"/>
      </w:rPr>
    </w:lvl>
    <w:lvl w:ilvl="4" w:tplc="F7EE1CC6" w:tentative="1">
      <w:start w:val="1"/>
      <w:numFmt w:val="bullet"/>
      <w:lvlText w:val=""/>
      <w:lvlJc w:val="left"/>
      <w:pPr>
        <w:tabs>
          <w:tab w:val="num" w:pos="3600"/>
        </w:tabs>
        <w:ind w:left="3600" w:hanging="360"/>
      </w:pPr>
      <w:rPr>
        <w:rFonts w:ascii="Symbol" w:hAnsi="Symbol" w:hint="default"/>
      </w:rPr>
    </w:lvl>
    <w:lvl w:ilvl="5" w:tplc="30C2DCA2" w:tentative="1">
      <w:start w:val="1"/>
      <w:numFmt w:val="bullet"/>
      <w:lvlText w:val=""/>
      <w:lvlJc w:val="left"/>
      <w:pPr>
        <w:tabs>
          <w:tab w:val="num" w:pos="4320"/>
        </w:tabs>
        <w:ind w:left="4320" w:hanging="360"/>
      </w:pPr>
      <w:rPr>
        <w:rFonts w:ascii="Symbol" w:hAnsi="Symbol" w:hint="default"/>
      </w:rPr>
    </w:lvl>
    <w:lvl w:ilvl="6" w:tplc="EF648B4E" w:tentative="1">
      <w:start w:val="1"/>
      <w:numFmt w:val="bullet"/>
      <w:lvlText w:val=""/>
      <w:lvlJc w:val="left"/>
      <w:pPr>
        <w:tabs>
          <w:tab w:val="num" w:pos="5040"/>
        </w:tabs>
        <w:ind w:left="5040" w:hanging="360"/>
      </w:pPr>
      <w:rPr>
        <w:rFonts w:ascii="Symbol" w:hAnsi="Symbol" w:hint="default"/>
      </w:rPr>
    </w:lvl>
    <w:lvl w:ilvl="7" w:tplc="D2AE198E" w:tentative="1">
      <w:start w:val="1"/>
      <w:numFmt w:val="bullet"/>
      <w:lvlText w:val=""/>
      <w:lvlJc w:val="left"/>
      <w:pPr>
        <w:tabs>
          <w:tab w:val="num" w:pos="5760"/>
        </w:tabs>
        <w:ind w:left="5760" w:hanging="360"/>
      </w:pPr>
      <w:rPr>
        <w:rFonts w:ascii="Symbol" w:hAnsi="Symbol" w:hint="default"/>
      </w:rPr>
    </w:lvl>
    <w:lvl w:ilvl="8" w:tplc="CC427C4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BF1081"/>
    <w:multiLevelType w:val="hybridMultilevel"/>
    <w:tmpl w:val="C1824E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02ABD"/>
    <w:multiLevelType w:val="hybridMultilevel"/>
    <w:tmpl w:val="9BAED7FE"/>
    <w:lvl w:ilvl="0" w:tplc="BEE4D8C4">
      <w:start w:val="1"/>
      <w:numFmt w:val="bullet"/>
      <w:lvlText w:val=""/>
      <w:lvlJc w:val="left"/>
      <w:pPr>
        <w:tabs>
          <w:tab w:val="num" w:pos="720"/>
        </w:tabs>
        <w:ind w:left="720" w:hanging="360"/>
      </w:pPr>
      <w:rPr>
        <w:rFonts w:ascii="Symbol" w:hAnsi="Symbol" w:hint="default"/>
      </w:rPr>
    </w:lvl>
    <w:lvl w:ilvl="1" w:tplc="6E3419EC" w:tentative="1">
      <w:start w:val="1"/>
      <w:numFmt w:val="bullet"/>
      <w:lvlText w:val=""/>
      <w:lvlJc w:val="left"/>
      <w:pPr>
        <w:tabs>
          <w:tab w:val="num" w:pos="1440"/>
        </w:tabs>
        <w:ind w:left="1440" w:hanging="360"/>
      </w:pPr>
      <w:rPr>
        <w:rFonts w:ascii="Symbol" w:hAnsi="Symbol" w:hint="default"/>
      </w:rPr>
    </w:lvl>
    <w:lvl w:ilvl="2" w:tplc="CA081332" w:tentative="1">
      <w:start w:val="1"/>
      <w:numFmt w:val="bullet"/>
      <w:lvlText w:val=""/>
      <w:lvlJc w:val="left"/>
      <w:pPr>
        <w:tabs>
          <w:tab w:val="num" w:pos="2160"/>
        </w:tabs>
        <w:ind w:left="2160" w:hanging="360"/>
      </w:pPr>
      <w:rPr>
        <w:rFonts w:ascii="Symbol" w:hAnsi="Symbol" w:hint="default"/>
      </w:rPr>
    </w:lvl>
    <w:lvl w:ilvl="3" w:tplc="DD386482" w:tentative="1">
      <w:start w:val="1"/>
      <w:numFmt w:val="bullet"/>
      <w:lvlText w:val=""/>
      <w:lvlJc w:val="left"/>
      <w:pPr>
        <w:tabs>
          <w:tab w:val="num" w:pos="2880"/>
        </w:tabs>
        <w:ind w:left="2880" w:hanging="360"/>
      </w:pPr>
      <w:rPr>
        <w:rFonts w:ascii="Symbol" w:hAnsi="Symbol" w:hint="default"/>
      </w:rPr>
    </w:lvl>
    <w:lvl w:ilvl="4" w:tplc="63D8B552" w:tentative="1">
      <w:start w:val="1"/>
      <w:numFmt w:val="bullet"/>
      <w:lvlText w:val=""/>
      <w:lvlJc w:val="left"/>
      <w:pPr>
        <w:tabs>
          <w:tab w:val="num" w:pos="3600"/>
        </w:tabs>
        <w:ind w:left="3600" w:hanging="360"/>
      </w:pPr>
      <w:rPr>
        <w:rFonts w:ascii="Symbol" w:hAnsi="Symbol" w:hint="default"/>
      </w:rPr>
    </w:lvl>
    <w:lvl w:ilvl="5" w:tplc="BA468200" w:tentative="1">
      <w:start w:val="1"/>
      <w:numFmt w:val="bullet"/>
      <w:lvlText w:val=""/>
      <w:lvlJc w:val="left"/>
      <w:pPr>
        <w:tabs>
          <w:tab w:val="num" w:pos="4320"/>
        </w:tabs>
        <w:ind w:left="4320" w:hanging="360"/>
      </w:pPr>
      <w:rPr>
        <w:rFonts w:ascii="Symbol" w:hAnsi="Symbol" w:hint="default"/>
      </w:rPr>
    </w:lvl>
    <w:lvl w:ilvl="6" w:tplc="CD2CC8C2" w:tentative="1">
      <w:start w:val="1"/>
      <w:numFmt w:val="bullet"/>
      <w:lvlText w:val=""/>
      <w:lvlJc w:val="left"/>
      <w:pPr>
        <w:tabs>
          <w:tab w:val="num" w:pos="5040"/>
        </w:tabs>
        <w:ind w:left="5040" w:hanging="360"/>
      </w:pPr>
      <w:rPr>
        <w:rFonts w:ascii="Symbol" w:hAnsi="Symbol" w:hint="default"/>
      </w:rPr>
    </w:lvl>
    <w:lvl w:ilvl="7" w:tplc="5D04F6C4" w:tentative="1">
      <w:start w:val="1"/>
      <w:numFmt w:val="bullet"/>
      <w:lvlText w:val=""/>
      <w:lvlJc w:val="left"/>
      <w:pPr>
        <w:tabs>
          <w:tab w:val="num" w:pos="5760"/>
        </w:tabs>
        <w:ind w:left="5760" w:hanging="360"/>
      </w:pPr>
      <w:rPr>
        <w:rFonts w:ascii="Symbol" w:hAnsi="Symbol" w:hint="default"/>
      </w:rPr>
    </w:lvl>
    <w:lvl w:ilvl="8" w:tplc="873EF5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4C2E8D"/>
    <w:multiLevelType w:val="hybridMultilevel"/>
    <w:tmpl w:val="0E506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00762"/>
    <w:multiLevelType w:val="hybridMultilevel"/>
    <w:tmpl w:val="F46C55A4"/>
    <w:lvl w:ilvl="0" w:tplc="D556FF34">
      <w:start w:val="1"/>
      <w:numFmt w:val="bullet"/>
      <w:lvlText w:val=""/>
      <w:lvlJc w:val="left"/>
      <w:pPr>
        <w:tabs>
          <w:tab w:val="num" w:pos="720"/>
        </w:tabs>
        <w:ind w:left="720" w:hanging="360"/>
      </w:pPr>
      <w:rPr>
        <w:rFonts w:ascii="Symbol" w:hAnsi="Symbol" w:hint="default"/>
      </w:rPr>
    </w:lvl>
    <w:lvl w:ilvl="1" w:tplc="259C57FE" w:tentative="1">
      <w:start w:val="1"/>
      <w:numFmt w:val="bullet"/>
      <w:lvlText w:val=""/>
      <w:lvlJc w:val="left"/>
      <w:pPr>
        <w:tabs>
          <w:tab w:val="num" w:pos="1440"/>
        </w:tabs>
        <w:ind w:left="1440" w:hanging="360"/>
      </w:pPr>
      <w:rPr>
        <w:rFonts w:ascii="Symbol" w:hAnsi="Symbol" w:hint="default"/>
      </w:rPr>
    </w:lvl>
    <w:lvl w:ilvl="2" w:tplc="0D20D63E" w:tentative="1">
      <w:start w:val="1"/>
      <w:numFmt w:val="bullet"/>
      <w:lvlText w:val=""/>
      <w:lvlJc w:val="left"/>
      <w:pPr>
        <w:tabs>
          <w:tab w:val="num" w:pos="2160"/>
        </w:tabs>
        <w:ind w:left="2160" w:hanging="360"/>
      </w:pPr>
      <w:rPr>
        <w:rFonts w:ascii="Symbol" w:hAnsi="Symbol" w:hint="default"/>
      </w:rPr>
    </w:lvl>
    <w:lvl w:ilvl="3" w:tplc="A1F84A52" w:tentative="1">
      <w:start w:val="1"/>
      <w:numFmt w:val="bullet"/>
      <w:lvlText w:val=""/>
      <w:lvlJc w:val="left"/>
      <w:pPr>
        <w:tabs>
          <w:tab w:val="num" w:pos="2880"/>
        </w:tabs>
        <w:ind w:left="2880" w:hanging="360"/>
      </w:pPr>
      <w:rPr>
        <w:rFonts w:ascii="Symbol" w:hAnsi="Symbol" w:hint="default"/>
      </w:rPr>
    </w:lvl>
    <w:lvl w:ilvl="4" w:tplc="B0AEB6F4" w:tentative="1">
      <w:start w:val="1"/>
      <w:numFmt w:val="bullet"/>
      <w:lvlText w:val=""/>
      <w:lvlJc w:val="left"/>
      <w:pPr>
        <w:tabs>
          <w:tab w:val="num" w:pos="3600"/>
        </w:tabs>
        <w:ind w:left="3600" w:hanging="360"/>
      </w:pPr>
      <w:rPr>
        <w:rFonts w:ascii="Symbol" w:hAnsi="Symbol" w:hint="default"/>
      </w:rPr>
    </w:lvl>
    <w:lvl w:ilvl="5" w:tplc="4488AB80" w:tentative="1">
      <w:start w:val="1"/>
      <w:numFmt w:val="bullet"/>
      <w:lvlText w:val=""/>
      <w:lvlJc w:val="left"/>
      <w:pPr>
        <w:tabs>
          <w:tab w:val="num" w:pos="4320"/>
        </w:tabs>
        <w:ind w:left="4320" w:hanging="360"/>
      </w:pPr>
      <w:rPr>
        <w:rFonts w:ascii="Symbol" w:hAnsi="Symbol" w:hint="default"/>
      </w:rPr>
    </w:lvl>
    <w:lvl w:ilvl="6" w:tplc="C8A05EE8" w:tentative="1">
      <w:start w:val="1"/>
      <w:numFmt w:val="bullet"/>
      <w:lvlText w:val=""/>
      <w:lvlJc w:val="left"/>
      <w:pPr>
        <w:tabs>
          <w:tab w:val="num" w:pos="5040"/>
        </w:tabs>
        <w:ind w:left="5040" w:hanging="360"/>
      </w:pPr>
      <w:rPr>
        <w:rFonts w:ascii="Symbol" w:hAnsi="Symbol" w:hint="default"/>
      </w:rPr>
    </w:lvl>
    <w:lvl w:ilvl="7" w:tplc="702008DA" w:tentative="1">
      <w:start w:val="1"/>
      <w:numFmt w:val="bullet"/>
      <w:lvlText w:val=""/>
      <w:lvlJc w:val="left"/>
      <w:pPr>
        <w:tabs>
          <w:tab w:val="num" w:pos="5760"/>
        </w:tabs>
        <w:ind w:left="5760" w:hanging="360"/>
      </w:pPr>
      <w:rPr>
        <w:rFonts w:ascii="Symbol" w:hAnsi="Symbol" w:hint="default"/>
      </w:rPr>
    </w:lvl>
    <w:lvl w:ilvl="8" w:tplc="0630B78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564694"/>
    <w:multiLevelType w:val="hybridMultilevel"/>
    <w:tmpl w:val="9DC4F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A1BA0"/>
    <w:multiLevelType w:val="hybridMultilevel"/>
    <w:tmpl w:val="E2ECFA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F75"/>
    <w:multiLevelType w:val="hybridMultilevel"/>
    <w:tmpl w:val="D6306D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83750E"/>
    <w:multiLevelType w:val="hybridMultilevel"/>
    <w:tmpl w:val="4BBCF0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1E2BCF"/>
    <w:multiLevelType w:val="hybridMultilevel"/>
    <w:tmpl w:val="CFF47914"/>
    <w:lvl w:ilvl="0" w:tplc="5BF075D4">
      <w:start w:val="1"/>
      <w:numFmt w:val="bullet"/>
      <w:lvlText w:val=""/>
      <w:lvlJc w:val="left"/>
      <w:pPr>
        <w:tabs>
          <w:tab w:val="num" w:pos="720"/>
        </w:tabs>
        <w:ind w:left="720" w:hanging="360"/>
      </w:pPr>
      <w:rPr>
        <w:rFonts w:ascii="Symbol" w:hAnsi="Symbol" w:hint="default"/>
      </w:rPr>
    </w:lvl>
    <w:lvl w:ilvl="1" w:tplc="B5E48A14" w:tentative="1">
      <w:start w:val="1"/>
      <w:numFmt w:val="bullet"/>
      <w:lvlText w:val=""/>
      <w:lvlJc w:val="left"/>
      <w:pPr>
        <w:tabs>
          <w:tab w:val="num" w:pos="1440"/>
        </w:tabs>
        <w:ind w:left="1440" w:hanging="360"/>
      </w:pPr>
      <w:rPr>
        <w:rFonts w:ascii="Symbol" w:hAnsi="Symbol" w:hint="default"/>
      </w:rPr>
    </w:lvl>
    <w:lvl w:ilvl="2" w:tplc="B052C5AC" w:tentative="1">
      <w:start w:val="1"/>
      <w:numFmt w:val="bullet"/>
      <w:lvlText w:val=""/>
      <w:lvlJc w:val="left"/>
      <w:pPr>
        <w:tabs>
          <w:tab w:val="num" w:pos="2160"/>
        </w:tabs>
        <w:ind w:left="2160" w:hanging="360"/>
      </w:pPr>
      <w:rPr>
        <w:rFonts w:ascii="Symbol" w:hAnsi="Symbol" w:hint="default"/>
      </w:rPr>
    </w:lvl>
    <w:lvl w:ilvl="3" w:tplc="D0BE9926" w:tentative="1">
      <w:start w:val="1"/>
      <w:numFmt w:val="bullet"/>
      <w:lvlText w:val=""/>
      <w:lvlJc w:val="left"/>
      <w:pPr>
        <w:tabs>
          <w:tab w:val="num" w:pos="2880"/>
        </w:tabs>
        <w:ind w:left="2880" w:hanging="360"/>
      </w:pPr>
      <w:rPr>
        <w:rFonts w:ascii="Symbol" w:hAnsi="Symbol" w:hint="default"/>
      </w:rPr>
    </w:lvl>
    <w:lvl w:ilvl="4" w:tplc="CDFCDDA6" w:tentative="1">
      <w:start w:val="1"/>
      <w:numFmt w:val="bullet"/>
      <w:lvlText w:val=""/>
      <w:lvlJc w:val="left"/>
      <w:pPr>
        <w:tabs>
          <w:tab w:val="num" w:pos="3600"/>
        </w:tabs>
        <w:ind w:left="3600" w:hanging="360"/>
      </w:pPr>
      <w:rPr>
        <w:rFonts w:ascii="Symbol" w:hAnsi="Symbol" w:hint="default"/>
      </w:rPr>
    </w:lvl>
    <w:lvl w:ilvl="5" w:tplc="E1ECBFAE" w:tentative="1">
      <w:start w:val="1"/>
      <w:numFmt w:val="bullet"/>
      <w:lvlText w:val=""/>
      <w:lvlJc w:val="left"/>
      <w:pPr>
        <w:tabs>
          <w:tab w:val="num" w:pos="4320"/>
        </w:tabs>
        <w:ind w:left="4320" w:hanging="360"/>
      </w:pPr>
      <w:rPr>
        <w:rFonts w:ascii="Symbol" w:hAnsi="Symbol" w:hint="default"/>
      </w:rPr>
    </w:lvl>
    <w:lvl w:ilvl="6" w:tplc="0D862A82" w:tentative="1">
      <w:start w:val="1"/>
      <w:numFmt w:val="bullet"/>
      <w:lvlText w:val=""/>
      <w:lvlJc w:val="left"/>
      <w:pPr>
        <w:tabs>
          <w:tab w:val="num" w:pos="5040"/>
        </w:tabs>
        <w:ind w:left="5040" w:hanging="360"/>
      </w:pPr>
      <w:rPr>
        <w:rFonts w:ascii="Symbol" w:hAnsi="Symbol" w:hint="default"/>
      </w:rPr>
    </w:lvl>
    <w:lvl w:ilvl="7" w:tplc="014AB6A4" w:tentative="1">
      <w:start w:val="1"/>
      <w:numFmt w:val="bullet"/>
      <w:lvlText w:val=""/>
      <w:lvlJc w:val="left"/>
      <w:pPr>
        <w:tabs>
          <w:tab w:val="num" w:pos="5760"/>
        </w:tabs>
        <w:ind w:left="5760" w:hanging="360"/>
      </w:pPr>
      <w:rPr>
        <w:rFonts w:ascii="Symbol" w:hAnsi="Symbol" w:hint="default"/>
      </w:rPr>
    </w:lvl>
    <w:lvl w:ilvl="8" w:tplc="1F428D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36823C9"/>
    <w:multiLevelType w:val="hybridMultilevel"/>
    <w:tmpl w:val="25743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5CA9"/>
    <w:multiLevelType w:val="multilevel"/>
    <w:tmpl w:val="14105CA9"/>
    <w:lvl w:ilvl="0">
      <w:start w:val="1"/>
      <w:numFmt w:val="decimal"/>
      <w:pStyle w:val="ParagraphNumbering"/>
      <w:lvlText w:val="%1."/>
      <w:lvlJc w:val="left"/>
      <w:pPr>
        <w:tabs>
          <w:tab w:val="left" w:pos="1440"/>
        </w:tabs>
        <w:ind w:left="720" w:firstLine="0"/>
      </w:pPr>
      <w:rPr>
        <w:rFonts w:ascii="Segoe UI" w:eastAsia="SimSun" w:hAnsi="Segoe UI" w:cs="Segoe UI"/>
        <w: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2" w15:restartNumberingAfterBreak="0">
    <w:nsid w:val="1483289E"/>
    <w:multiLevelType w:val="hybridMultilevel"/>
    <w:tmpl w:val="EF869B0E"/>
    <w:lvl w:ilvl="0" w:tplc="F4B4566C">
      <w:start w:val="1"/>
      <w:numFmt w:val="bullet"/>
      <w:lvlText w:val=""/>
      <w:lvlJc w:val="left"/>
      <w:pPr>
        <w:tabs>
          <w:tab w:val="num" w:pos="720"/>
        </w:tabs>
        <w:ind w:left="720" w:hanging="360"/>
      </w:pPr>
      <w:rPr>
        <w:rFonts w:ascii="Symbol" w:hAnsi="Symbol" w:hint="default"/>
      </w:rPr>
    </w:lvl>
    <w:lvl w:ilvl="1" w:tplc="C956658A" w:tentative="1">
      <w:start w:val="1"/>
      <w:numFmt w:val="bullet"/>
      <w:lvlText w:val=""/>
      <w:lvlJc w:val="left"/>
      <w:pPr>
        <w:tabs>
          <w:tab w:val="num" w:pos="1440"/>
        </w:tabs>
        <w:ind w:left="1440" w:hanging="360"/>
      </w:pPr>
      <w:rPr>
        <w:rFonts w:ascii="Symbol" w:hAnsi="Symbol" w:hint="default"/>
      </w:rPr>
    </w:lvl>
    <w:lvl w:ilvl="2" w:tplc="D04EBC86" w:tentative="1">
      <w:start w:val="1"/>
      <w:numFmt w:val="bullet"/>
      <w:lvlText w:val=""/>
      <w:lvlJc w:val="left"/>
      <w:pPr>
        <w:tabs>
          <w:tab w:val="num" w:pos="2160"/>
        </w:tabs>
        <w:ind w:left="2160" w:hanging="360"/>
      </w:pPr>
      <w:rPr>
        <w:rFonts w:ascii="Symbol" w:hAnsi="Symbol" w:hint="default"/>
      </w:rPr>
    </w:lvl>
    <w:lvl w:ilvl="3" w:tplc="0C962DDE" w:tentative="1">
      <w:start w:val="1"/>
      <w:numFmt w:val="bullet"/>
      <w:lvlText w:val=""/>
      <w:lvlJc w:val="left"/>
      <w:pPr>
        <w:tabs>
          <w:tab w:val="num" w:pos="2880"/>
        </w:tabs>
        <w:ind w:left="2880" w:hanging="360"/>
      </w:pPr>
      <w:rPr>
        <w:rFonts w:ascii="Symbol" w:hAnsi="Symbol" w:hint="default"/>
      </w:rPr>
    </w:lvl>
    <w:lvl w:ilvl="4" w:tplc="26AC0C70" w:tentative="1">
      <w:start w:val="1"/>
      <w:numFmt w:val="bullet"/>
      <w:lvlText w:val=""/>
      <w:lvlJc w:val="left"/>
      <w:pPr>
        <w:tabs>
          <w:tab w:val="num" w:pos="3600"/>
        </w:tabs>
        <w:ind w:left="3600" w:hanging="360"/>
      </w:pPr>
      <w:rPr>
        <w:rFonts w:ascii="Symbol" w:hAnsi="Symbol" w:hint="default"/>
      </w:rPr>
    </w:lvl>
    <w:lvl w:ilvl="5" w:tplc="8DF8DFEC" w:tentative="1">
      <w:start w:val="1"/>
      <w:numFmt w:val="bullet"/>
      <w:lvlText w:val=""/>
      <w:lvlJc w:val="left"/>
      <w:pPr>
        <w:tabs>
          <w:tab w:val="num" w:pos="4320"/>
        </w:tabs>
        <w:ind w:left="4320" w:hanging="360"/>
      </w:pPr>
      <w:rPr>
        <w:rFonts w:ascii="Symbol" w:hAnsi="Symbol" w:hint="default"/>
      </w:rPr>
    </w:lvl>
    <w:lvl w:ilvl="6" w:tplc="E594E3F2" w:tentative="1">
      <w:start w:val="1"/>
      <w:numFmt w:val="bullet"/>
      <w:lvlText w:val=""/>
      <w:lvlJc w:val="left"/>
      <w:pPr>
        <w:tabs>
          <w:tab w:val="num" w:pos="5040"/>
        </w:tabs>
        <w:ind w:left="5040" w:hanging="360"/>
      </w:pPr>
      <w:rPr>
        <w:rFonts w:ascii="Symbol" w:hAnsi="Symbol" w:hint="default"/>
      </w:rPr>
    </w:lvl>
    <w:lvl w:ilvl="7" w:tplc="530200D6" w:tentative="1">
      <w:start w:val="1"/>
      <w:numFmt w:val="bullet"/>
      <w:lvlText w:val=""/>
      <w:lvlJc w:val="left"/>
      <w:pPr>
        <w:tabs>
          <w:tab w:val="num" w:pos="5760"/>
        </w:tabs>
        <w:ind w:left="5760" w:hanging="360"/>
      </w:pPr>
      <w:rPr>
        <w:rFonts w:ascii="Symbol" w:hAnsi="Symbol" w:hint="default"/>
      </w:rPr>
    </w:lvl>
    <w:lvl w:ilvl="8" w:tplc="5AC2496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5837A66"/>
    <w:multiLevelType w:val="hybridMultilevel"/>
    <w:tmpl w:val="D29423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914A7"/>
    <w:multiLevelType w:val="hybridMultilevel"/>
    <w:tmpl w:val="E536F7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2956F1"/>
    <w:multiLevelType w:val="hybridMultilevel"/>
    <w:tmpl w:val="6C988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5365F"/>
    <w:multiLevelType w:val="hybridMultilevel"/>
    <w:tmpl w:val="4766A2E0"/>
    <w:lvl w:ilvl="0" w:tplc="EF0EA5BC">
      <w:start w:val="1"/>
      <w:numFmt w:val="bullet"/>
      <w:lvlText w:val=""/>
      <w:lvlJc w:val="left"/>
      <w:pPr>
        <w:tabs>
          <w:tab w:val="num" w:pos="720"/>
        </w:tabs>
        <w:ind w:left="720" w:hanging="360"/>
      </w:pPr>
      <w:rPr>
        <w:rFonts w:ascii="Symbol" w:hAnsi="Symbol" w:hint="default"/>
      </w:rPr>
    </w:lvl>
    <w:lvl w:ilvl="1" w:tplc="BE6CB01A" w:tentative="1">
      <w:start w:val="1"/>
      <w:numFmt w:val="bullet"/>
      <w:lvlText w:val=""/>
      <w:lvlJc w:val="left"/>
      <w:pPr>
        <w:tabs>
          <w:tab w:val="num" w:pos="1440"/>
        </w:tabs>
        <w:ind w:left="1440" w:hanging="360"/>
      </w:pPr>
      <w:rPr>
        <w:rFonts w:ascii="Symbol" w:hAnsi="Symbol" w:hint="default"/>
      </w:rPr>
    </w:lvl>
    <w:lvl w:ilvl="2" w:tplc="643CB0B4" w:tentative="1">
      <w:start w:val="1"/>
      <w:numFmt w:val="bullet"/>
      <w:lvlText w:val=""/>
      <w:lvlJc w:val="left"/>
      <w:pPr>
        <w:tabs>
          <w:tab w:val="num" w:pos="2160"/>
        </w:tabs>
        <w:ind w:left="2160" w:hanging="360"/>
      </w:pPr>
      <w:rPr>
        <w:rFonts w:ascii="Symbol" w:hAnsi="Symbol" w:hint="default"/>
      </w:rPr>
    </w:lvl>
    <w:lvl w:ilvl="3" w:tplc="8E6C512A" w:tentative="1">
      <w:start w:val="1"/>
      <w:numFmt w:val="bullet"/>
      <w:lvlText w:val=""/>
      <w:lvlJc w:val="left"/>
      <w:pPr>
        <w:tabs>
          <w:tab w:val="num" w:pos="2880"/>
        </w:tabs>
        <w:ind w:left="2880" w:hanging="360"/>
      </w:pPr>
      <w:rPr>
        <w:rFonts w:ascii="Symbol" w:hAnsi="Symbol" w:hint="default"/>
      </w:rPr>
    </w:lvl>
    <w:lvl w:ilvl="4" w:tplc="5022BEA2" w:tentative="1">
      <w:start w:val="1"/>
      <w:numFmt w:val="bullet"/>
      <w:lvlText w:val=""/>
      <w:lvlJc w:val="left"/>
      <w:pPr>
        <w:tabs>
          <w:tab w:val="num" w:pos="3600"/>
        </w:tabs>
        <w:ind w:left="3600" w:hanging="360"/>
      </w:pPr>
      <w:rPr>
        <w:rFonts w:ascii="Symbol" w:hAnsi="Symbol" w:hint="default"/>
      </w:rPr>
    </w:lvl>
    <w:lvl w:ilvl="5" w:tplc="EBE0B82A" w:tentative="1">
      <w:start w:val="1"/>
      <w:numFmt w:val="bullet"/>
      <w:lvlText w:val=""/>
      <w:lvlJc w:val="left"/>
      <w:pPr>
        <w:tabs>
          <w:tab w:val="num" w:pos="4320"/>
        </w:tabs>
        <w:ind w:left="4320" w:hanging="360"/>
      </w:pPr>
      <w:rPr>
        <w:rFonts w:ascii="Symbol" w:hAnsi="Symbol" w:hint="default"/>
      </w:rPr>
    </w:lvl>
    <w:lvl w:ilvl="6" w:tplc="DD2ED028" w:tentative="1">
      <w:start w:val="1"/>
      <w:numFmt w:val="bullet"/>
      <w:lvlText w:val=""/>
      <w:lvlJc w:val="left"/>
      <w:pPr>
        <w:tabs>
          <w:tab w:val="num" w:pos="5040"/>
        </w:tabs>
        <w:ind w:left="5040" w:hanging="360"/>
      </w:pPr>
      <w:rPr>
        <w:rFonts w:ascii="Symbol" w:hAnsi="Symbol" w:hint="default"/>
      </w:rPr>
    </w:lvl>
    <w:lvl w:ilvl="7" w:tplc="3460ACAA" w:tentative="1">
      <w:start w:val="1"/>
      <w:numFmt w:val="bullet"/>
      <w:lvlText w:val=""/>
      <w:lvlJc w:val="left"/>
      <w:pPr>
        <w:tabs>
          <w:tab w:val="num" w:pos="5760"/>
        </w:tabs>
        <w:ind w:left="5760" w:hanging="360"/>
      </w:pPr>
      <w:rPr>
        <w:rFonts w:ascii="Symbol" w:hAnsi="Symbol" w:hint="default"/>
      </w:rPr>
    </w:lvl>
    <w:lvl w:ilvl="8" w:tplc="8278D08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C4C419B"/>
    <w:multiLevelType w:val="hybridMultilevel"/>
    <w:tmpl w:val="3AD445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DC695C"/>
    <w:multiLevelType w:val="hybridMultilevel"/>
    <w:tmpl w:val="9A2E5D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35584"/>
    <w:multiLevelType w:val="hybridMultilevel"/>
    <w:tmpl w:val="E192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455FF9"/>
    <w:multiLevelType w:val="hybridMultilevel"/>
    <w:tmpl w:val="A5BEEA6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885FD8"/>
    <w:multiLevelType w:val="hybridMultilevel"/>
    <w:tmpl w:val="8B082594"/>
    <w:lvl w:ilvl="0" w:tplc="02A48E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B7666"/>
    <w:multiLevelType w:val="hybridMultilevel"/>
    <w:tmpl w:val="EE7A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D5916"/>
    <w:multiLevelType w:val="hybridMultilevel"/>
    <w:tmpl w:val="DCA4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7F1791"/>
    <w:multiLevelType w:val="hybridMultilevel"/>
    <w:tmpl w:val="88BCFAC8"/>
    <w:lvl w:ilvl="0" w:tplc="8E4A369A">
      <w:start w:val="1"/>
      <w:numFmt w:val="bullet"/>
      <w:lvlText w:val=""/>
      <w:lvlJc w:val="left"/>
      <w:pPr>
        <w:tabs>
          <w:tab w:val="num" w:pos="720"/>
        </w:tabs>
        <w:ind w:left="720" w:hanging="360"/>
      </w:pPr>
      <w:rPr>
        <w:rFonts w:ascii="Symbol" w:hAnsi="Symbol" w:hint="default"/>
      </w:rPr>
    </w:lvl>
    <w:lvl w:ilvl="1" w:tplc="32E4DF68" w:tentative="1">
      <w:start w:val="1"/>
      <w:numFmt w:val="bullet"/>
      <w:lvlText w:val=""/>
      <w:lvlJc w:val="left"/>
      <w:pPr>
        <w:tabs>
          <w:tab w:val="num" w:pos="1440"/>
        </w:tabs>
        <w:ind w:left="1440" w:hanging="360"/>
      </w:pPr>
      <w:rPr>
        <w:rFonts w:ascii="Symbol" w:hAnsi="Symbol" w:hint="default"/>
      </w:rPr>
    </w:lvl>
    <w:lvl w:ilvl="2" w:tplc="59266842" w:tentative="1">
      <w:start w:val="1"/>
      <w:numFmt w:val="bullet"/>
      <w:lvlText w:val=""/>
      <w:lvlJc w:val="left"/>
      <w:pPr>
        <w:tabs>
          <w:tab w:val="num" w:pos="2160"/>
        </w:tabs>
        <w:ind w:left="2160" w:hanging="360"/>
      </w:pPr>
      <w:rPr>
        <w:rFonts w:ascii="Symbol" w:hAnsi="Symbol" w:hint="default"/>
      </w:rPr>
    </w:lvl>
    <w:lvl w:ilvl="3" w:tplc="2318B404" w:tentative="1">
      <w:start w:val="1"/>
      <w:numFmt w:val="bullet"/>
      <w:lvlText w:val=""/>
      <w:lvlJc w:val="left"/>
      <w:pPr>
        <w:tabs>
          <w:tab w:val="num" w:pos="2880"/>
        </w:tabs>
        <w:ind w:left="2880" w:hanging="360"/>
      </w:pPr>
      <w:rPr>
        <w:rFonts w:ascii="Symbol" w:hAnsi="Symbol" w:hint="default"/>
      </w:rPr>
    </w:lvl>
    <w:lvl w:ilvl="4" w:tplc="A3FC7F26" w:tentative="1">
      <w:start w:val="1"/>
      <w:numFmt w:val="bullet"/>
      <w:lvlText w:val=""/>
      <w:lvlJc w:val="left"/>
      <w:pPr>
        <w:tabs>
          <w:tab w:val="num" w:pos="3600"/>
        </w:tabs>
        <w:ind w:left="3600" w:hanging="360"/>
      </w:pPr>
      <w:rPr>
        <w:rFonts w:ascii="Symbol" w:hAnsi="Symbol" w:hint="default"/>
      </w:rPr>
    </w:lvl>
    <w:lvl w:ilvl="5" w:tplc="7818A876" w:tentative="1">
      <w:start w:val="1"/>
      <w:numFmt w:val="bullet"/>
      <w:lvlText w:val=""/>
      <w:lvlJc w:val="left"/>
      <w:pPr>
        <w:tabs>
          <w:tab w:val="num" w:pos="4320"/>
        </w:tabs>
        <w:ind w:left="4320" w:hanging="360"/>
      </w:pPr>
      <w:rPr>
        <w:rFonts w:ascii="Symbol" w:hAnsi="Symbol" w:hint="default"/>
      </w:rPr>
    </w:lvl>
    <w:lvl w:ilvl="6" w:tplc="268E8596" w:tentative="1">
      <w:start w:val="1"/>
      <w:numFmt w:val="bullet"/>
      <w:lvlText w:val=""/>
      <w:lvlJc w:val="left"/>
      <w:pPr>
        <w:tabs>
          <w:tab w:val="num" w:pos="5040"/>
        </w:tabs>
        <w:ind w:left="5040" w:hanging="360"/>
      </w:pPr>
      <w:rPr>
        <w:rFonts w:ascii="Symbol" w:hAnsi="Symbol" w:hint="default"/>
      </w:rPr>
    </w:lvl>
    <w:lvl w:ilvl="7" w:tplc="44A26AC0" w:tentative="1">
      <w:start w:val="1"/>
      <w:numFmt w:val="bullet"/>
      <w:lvlText w:val=""/>
      <w:lvlJc w:val="left"/>
      <w:pPr>
        <w:tabs>
          <w:tab w:val="num" w:pos="5760"/>
        </w:tabs>
        <w:ind w:left="5760" w:hanging="360"/>
      </w:pPr>
      <w:rPr>
        <w:rFonts w:ascii="Symbol" w:hAnsi="Symbol" w:hint="default"/>
      </w:rPr>
    </w:lvl>
    <w:lvl w:ilvl="8" w:tplc="D7BE37A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8E5282"/>
    <w:multiLevelType w:val="multilevel"/>
    <w:tmpl w:val="358E52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7475CC0"/>
    <w:multiLevelType w:val="hybridMultilevel"/>
    <w:tmpl w:val="D9A8C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33BDB"/>
    <w:multiLevelType w:val="hybridMultilevel"/>
    <w:tmpl w:val="E88E37B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A882467"/>
    <w:multiLevelType w:val="hybridMultilevel"/>
    <w:tmpl w:val="688091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681755"/>
    <w:multiLevelType w:val="hybridMultilevel"/>
    <w:tmpl w:val="9670E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B220F"/>
    <w:multiLevelType w:val="hybridMultilevel"/>
    <w:tmpl w:val="8E4464E2"/>
    <w:lvl w:ilvl="0" w:tplc="BEE4D8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E0983"/>
    <w:multiLevelType w:val="multilevel"/>
    <w:tmpl w:val="51CE098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FD12BB"/>
    <w:multiLevelType w:val="hybridMultilevel"/>
    <w:tmpl w:val="90B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909EF"/>
    <w:multiLevelType w:val="hybridMultilevel"/>
    <w:tmpl w:val="8EA85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2A82D9C"/>
    <w:multiLevelType w:val="hybridMultilevel"/>
    <w:tmpl w:val="B6BE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D580D"/>
    <w:multiLevelType w:val="hybridMultilevel"/>
    <w:tmpl w:val="67EA1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E1AE6"/>
    <w:multiLevelType w:val="hybridMultilevel"/>
    <w:tmpl w:val="55921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2128B6"/>
    <w:multiLevelType w:val="hybridMultilevel"/>
    <w:tmpl w:val="1AC676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0B833B0"/>
    <w:multiLevelType w:val="hybridMultilevel"/>
    <w:tmpl w:val="E2A0B2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355AFC"/>
    <w:multiLevelType w:val="multilevel"/>
    <w:tmpl w:val="62355AFC"/>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47D649E"/>
    <w:multiLevelType w:val="hybridMultilevel"/>
    <w:tmpl w:val="794E0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0567C8"/>
    <w:multiLevelType w:val="hybridMultilevel"/>
    <w:tmpl w:val="B4A481F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5E3A1E"/>
    <w:multiLevelType w:val="hybridMultilevel"/>
    <w:tmpl w:val="56FEB1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011C71"/>
    <w:multiLevelType w:val="multilevel"/>
    <w:tmpl w:val="74011C71"/>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0949E9"/>
    <w:multiLevelType w:val="hybridMultilevel"/>
    <w:tmpl w:val="C19ADD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114052"/>
    <w:multiLevelType w:val="hybridMultilevel"/>
    <w:tmpl w:val="8EB09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C7E52"/>
    <w:multiLevelType w:val="hybridMultilevel"/>
    <w:tmpl w:val="075E15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9749875">
    <w:abstractNumId w:val="3"/>
  </w:num>
  <w:num w:numId="2" w16cid:durableId="538133038">
    <w:abstractNumId w:val="18"/>
  </w:num>
  <w:num w:numId="3" w16cid:durableId="2139492167">
    <w:abstractNumId w:val="35"/>
  </w:num>
  <w:num w:numId="4" w16cid:durableId="610015923">
    <w:abstractNumId w:val="5"/>
  </w:num>
  <w:num w:numId="5" w16cid:durableId="481821777">
    <w:abstractNumId w:val="2"/>
  </w:num>
  <w:num w:numId="6" w16cid:durableId="729890300">
    <w:abstractNumId w:val="12"/>
  </w:num>
  <w:num w:numId="7" w16cid:durableId="505756086">
    <w:abstractNumId w:val="24"/>
  </w:num>
  <w:num w:numId="8" w16cid:durableId="1806240758">
    <w:abstractNumId w:val="4"/>
  </w:num>
  <w:num w:numId="9" w16cid:durableId="683749614">
    <w:abstractNumId w:val="16"/>
  </w:num>
  <w:num w:numId="10" w16cid:durableId="79177411">
    <w:abstractNumId w:val="9"/>
  </w:num>
  <w:num w:numId="11" w16cid:durableId="1180121887">
    <w:abstractNumId w:val="0"/>
  </w:num>
  <w:num w:numId="12" w16cid:durableId="1657148694">
    <w:abstractNumId w:val="42"/>
  </w:num>
  <w:num w:numId="13" w16cid:durableId="1144467515">
    <w:abstractNumId w:val="6"/>
  </w:num>
  <w:num w:numId="14" w16cid:durableId="25258805">
    <w:abstractNumId w:val="22"/>
  </w:num>
  <w:num w:numId="15" w16cid:durableId="1150513006">
    <w:abstractNumId w:val="19"/>
  </w:num>
  <w:num w:numId="16" w16cid:durableId="1079861449">
    <w:abstractNumId w:val="32"/>
  </w:num>
  <w:num w:numId="17" w16cid:durableId="788476327">
    <w:abstractNumId w:val="13"/>
  </w:num>
  <w:num w:numId="18" w16cid:durableId="1910463251">
    <w:abstractNumId w:val="26"/>
  </w:num>
  <w:num w:numId="19" w16cid:durableId="973293418">
    <w:abstractNumId w:val="45"/>
  </w:num>
  <w:num w:numId="20" w16cid:durableId="362824502">
    <w:abstractNumId w:val="29"/>
  </w:num>
  <w:num w:numId="21" w16cid:durableId="976763489">
    <w:abstractNumId w:val="36"/>
  </w:num>
  <w:num w:numId="22" w16cid:durableId="295375964">
    <w:abstractNumId w:val="30"/>
  </w:num>
  <w:num w:numId="23" w16cid:durableId="2055886077">
    <w:abstractNumId w:val="8"/>
  </w:num>
  <w:num w:numId="24" w16cid:durableId="1494880896">
    <w:abstractNumId w:val="7"/>
  </w:num>
  <w:num w:numId="25" w16cid:durableId="87585231">
    <w:abstractNumId w:val="14"/>
  </w:num>
  <w:num w:numId="26" w16cid:durableId="775249810">
    <w:abstractNumId w:val="28"/>
  </w:num>
  <w:num w:numId="27" w16cid:durableId="1781334122">
    <w:abstractNumId w:val="46"/>
  </w:num>
  <w:num w:numId="28" w16cid:durableId="373576626">
    <w:abstractNumId w:val="37"/>
  </w:num>
  <w:num w:numId="29" w16cid:durableId="1445614616">
    <w:abstractNumId w:val="1"/>
  </w:num>
  <w:num w:numId="30" w16cid:durableId="986931621">
    <w:abstractNumId w:val="33"/>
  </w:num>
  <w:num w:numId="31" w16cid:durableId="487720043">
    <w:abstractNumId w:val="17"/>
  </w:num>
  <w:num w:numId="32" w16cid:durableId="606935600">
    <w:abstractNumId w:val="41"/>
  </w:num>
  <w:num w:numId="33" w16cid:durableId="1412656008">
    <w:abstractNumId w:val="21"/>
  </w:num>
  <w:num w:numId="34" w16cid:durableId="1897277995">
    <w:abstractNumId w:val="34"/>
  </w:num>
  <w:num w:numId="35" w16cid:durableId="253367932">
    <w:abstractNumId w:val="20"/>
  </w:num>
  <w:num w:numId="36" w16cid:durableId="1074816330">
    <w:abstractNumId w:val="15"/>
  </w:num>
  <w:num w:numId="37" w16cid:durableId="322662461">
    <w:abstractNumId w:val="10"/>
  </w:num>
  <w:num w:numId="38" w16cid:durableId="907496868">
    <w:abstractNumId w:val="44"/>
  </w:num>
  <w:num w:numId="39" w16cid:durableId="62873001">
    <w:abstractNumId w:val="27"/>
  </w:num>
  <w:num w:numId="40" w16cid:durableId="324213647">
    <w:abstractNumId w:val="38"/>
  </w:num>
  <w:num w:numId="41" w16cid:durableId="419328076">
    <w:abstractNumId w:val="23"/>
  </w:num>
  <w:num w:numId="42" w16cid:durableId="1283877692">
    <w:abstractNumId w:val="40"/>
  </w:num>
  <w:num w:numId="43" w16cid:durableId="1198397237">
    <w:abstractNumId w:val="11"/>
  </w:num>
  <w:num w:numId="44" w16cid:durableId="102187772">
    <w:abstractNumId w:val="25"/>
  </w:num>
  <w:num w:numId="45" w16cid:durableId="489637586">
    <w:abstractNumId w:val="39"/>
  </w:num>
  <w:num w:numId="46" w16cid:durableId="1652753051">
    <w:abstractNumId w:val="43"/>
  </w:num>
  <w:num w:numId="47" w16cid:durableId="1153646626">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94"/>
    <w:rsid w:val="00002021"/>
    <w:rsid w:val="000046AD"/>
    <w:rsid w:val="000073B2"/>
    <w:rsid w:val="00010585"/>
    <w:rsid w:val="00010DAF"/>
    <w:rsid w:val="00011993"/>
    <w:rsid w:val="0001617B"/>
    <w:rsid w:val="00017243"/>
    <w:rsid w:val="0002051D"/>
    <w:rsid w:val="000218B2"/>
    <w:rsid w:val="0002192E"/>
    <w:rsid w:val="0003123A"/>
    <w:rsid w:val="00040794"/>
    <w:rsid w:val="000425D1"/>
    <w:rsid w:val="00046D90"/>
    <w:rsid w:val="00050635"/>
    <w:rsid w:val="00050A60"/>
    <w:rsid w:val="00052559"/>
    <w:rsid w:val="000551CA"/>
    <w:rsid w:val="00056280"/>
    <w:rsid w:val="000679D1"/>
    <w:rsid w:val="00067FE5"/>
    <w:rsid w:val="00071DD5"/>
    <w:rsid w:val="00072069"/>
    <w:rsid w:val="00072363"/>
    <w:rsid w:val="000745DE"/>
    <w:rsid w:val="00076196"/>
    <w:rsid w:val="0007721A"/>
    <w:rsid w:val="0007785F"/>
    <w:rsid w:val="0008160F"/>
    <w:rsid w:val="00081D02"/>
    <w:rsid w:val="00083F36"/>
    <w:rsid w:val="0009032E"/>
    <w:rsid w:val="000925B1"/>
    <w:rsid w:val="00092AD8"/>
    <w:rsid w:val="00094E2D"/>
    <w:rsid w:val="00097166"/>
    <w:rsid w:val="000A0A4F"/>
    <w:rsid w:val="000A189C"/>
    <w:rsid w:val="000A29E5"/>
    <w:rsid w:val="000A34DE"/>
    <w:rsid w:val="000A5A96"/>
    <w:rsid w:val="000A75D2"/>
    <w:rsid w:val="000B1680"/>
    <w:rsid w:val="000B2100"/>
    <w:rsid w:val="000B56EA"/>
    <w:rsid w:val="000B58F0"/>
    <w:rsid w:val="000B6C88"/>
    <w:rsid w:val="000C0CBE"/>
    <w:rsid w:val="000C11AC"/>
    <w:rsid w:val="000C36EA"/>
    <w:rsid w:val="000C53D5"/>
    <w:rsid w:val="000C6BF6"/>
    <w:rsid w:val="000C7133"/>
    <w:rsid w:val="000C78FD"/>
    <w:rsid w:val="000D1783"/>
    <w:rsid w:val="000D1C54"/>
    <w:rsid w:val="000D5177"/>
    <w:rsid w:val="000D595F"/>
    <w:rsid w:val="000E146B"/>
    <w:rsid w:val="000E28A7"/>
    <w:rsid w:val="000E2FED"/>
    <w:rsid w:val="000E4167"/>
    <w:rsid w:val="000E419A"/>
    <w:rsid w:val="000E4CEC"/>
    <w:rsid w:val="000E4D6C"/>
    <w:rsid w:val="000E5C01"/>
    <w:rsid w:val="000E6AFD"/>
    <w:rsid w:val="000F1C5D"/>
    <w:rsid w:val="000F2063"/>
    <w:rsid w:val="000F3D3C"/>
    <w:rsid w:val="000F47FE"/>
    <w:rsid w:val="000F7D77"/>
    <w:rsid w:val="00105123"/>
    <w:rsid w:val="001052CF"/>
    <w:rsid w:val="00105E91"/>
    <w:rsid w:val="0011188B"/>
    <w:rsid w:val="00116D56"/>
    <w:rsid w:val="001200E4"/>
    <w:rsid w:val="00120EB5"/>
    <w:rsid w:val="00122B2B"/>
    <w:rsid w:val="00123036"/>
    <w:rsid w:val="001245C4"/>
    <w:rsid w:val="0013388F"/>
    <w:rsid w:val="00134ED7"/>
    <w:rsid w:val="00135321"/>
    <w:rsid w:val="001354EB"/>
    <w:rsid w:val="00135A86"/>
    <w:rsid w:val="00136FFF"/>
    <w:rsid w:val="00141180"/>
    <w:rsid w:val="0014453C"/>
    <w:rsid w:val="00144BCB"/>
    <w:rsid w:val="00145C33"/>
    <w:rsid w:val="001515AC"/>
    <w:rsid w:val="00161D52"/>
    <w:rsid w:val="0016320E"/>
    <w:rsid w:val="00163678"/>
    <w:rsid w:val="00164AD1"/>
    <w:rsid w:val="00171258"/>
    <w:rsid w:val="0017165C"/>
    <w:rsid w:val="00171927"/>
    <w:rsid w:val="00176BE1"/>
    <w:rsid w:val="00180EB1"/>
    <w:rsid w:val="00181AF6"/>
    <w:rsid w:val="00181BF1"/>
    <w:rsid w:val="00181F25"/>
    <w:rsid w:val="001844D4"/>
    <w:rsid w:val="00185C54"/>
    <w:rsid w:val="00185CB8"/>
    <w:rsid w:val="0018662C"/>
    <w:rsid w:val="00193709"/>
    <w:rsid w:val="00193742"/>
    <w:rsid w:val="001950A1"/>
    <w:rsid w:val="001964CD"/>
    <w:rsid w:val="001A06A2"/>
    <w:rsid w:val="001A1976"/>
    <w:rsid w:val="001A1FCF"/>
    <w:rsid w:val="001A736E"/>
    <w:rsid w:val="001B4D26"/>
    <w:rsid w:val="001B50D0"/>
    <w:rsid w:val="001C035C"/>
    <w:rsid w:val="001C035F"/>
    <w:rsid w:val="001C0883"/>
    <w:rsid w:val="001C2E36"/>
    <w:rsid w:val="001C48E5"/>
    <w:rsid w:val="001D355C"/>
    <w:rsid w:val="001D4ABE"/>
    <w:rsid w:val="001D6D9D"/>
    <w:rsid w:val="001E1298"/>
    <w:rsid w:val="001E1C47"/>
    <w:rsid w:val="001E37B8"/>
    <w:rsid w:val="001E403B"/>
    <w:rsid w:val="001E40B2"/>
    <w:rsid w:val="001E4D65"/>
    <w:rsid w:val="001E56C5"/>
    <w:rsid w:val="001E5A8B"/>
    <w:rsid w:val="001E5DC0"/>
    <w:rsid w:val="001F1E65"/>
    <w:rsid w:val="001F2415"/>
    <w:rsid w:val="001F431D"/>
    <w:rsid w:val="001F4E8B"/>
    <w:rsid w:val="0020234D"/>
    <w:rsid w:val="00202481"/>
    <w:rsid w:val="002025CE"/>
    <w:rsid w:val="00202E5D"/>
    <w:rsid w:val="0021042D"/>
    <w:rsid w:val="002112F3"/>
    <w:rsid w:val="00215500"/>
    <w:rsid w:val="00215A7A"/>
    <w:rsid w:val="002162E7"/>
    <w:rsid w:val="00217DA3"/>
    <w:rsid w:val="0022007F"/>
    <w:rsid w:val="00220584"/>
    <w:rsid w:val="0022135F"/>
    <w:rsid w:val="002232C5"/>
    <w:rsid w:val="0022372B"/>
    <w:rsid w:val="00224106"/>
    <w:rsid w:val="002275C8"/>
    <w:rsid w:val="00230B1C"/>
    <w:rsid w:val="00231020"/>
    <w:rsid w:val="00232A11"/>
    <w:rsid w:val="002420BB"/>
    <w:rsid w:val="002428A4"/>
    <w:rsid w:val="00243E46"/>
    <w:rsid w:val="0026248B"/>
    <w:rsid w:val="00263EC6"/>
    <w:rsid w:val="00266407"/>
    <w:rsid w:val="00266D01"/>
    <w:rsid w:val="0026700F"/>
    <w:rsid w:val="002725A1"/>
    <w:rsid w:val="00275525"/>
    <w:rsid w:val="0027582F"/>
    <w:rsid w:val="00276211"/>
    <w:rsid w:val="00276E42"/>
    <w:rsid w:val="002774A8"/>
    <w:rsid w:val="00281846"/>
    <w:rsid w:val="00285F16"/>
    <w:rsid w:val="00286528"/>
    <w:rsid w:val="0029274C"/>
    <w:rsid w:val="00292A98"/>
    <w:rsid w:val="00292EDB"/>
    <w:rsid w:val="002961B6"/>
    <w:rsid w:val="0029669A"/>
    <w:rsid w:val="002A0914"/>
    <w:rsid w:val="002A15BC"/>
    <w:rsid w:val="002A2D6B"/>
    <w:rsid w:val="002A5104"/>
    <w:rsid w:val="002B2D05"/>
    <w:rsid w:val="002B2D39"/>
    <w:rsid w:val="002B4379"/>
    <w:rsid w:val="002B4BD4"/>
    <w:rsid w:val="002B5725"/>
    <w:rsid w:val="002C3981"/>
    <w:rsid w:val="002C40A3"/>
    <w:rsid w:val="002C584A"/>
    <w:rsid w:val="002D07CC"/>
    <w:rsid w:val="002D165A"/>
    <w:rsid w:val="002D1D54"/>
    <w:rsid w:val="002D365A"/>
    <w:rsid w:val="002D46CF"/>
    <w:rsid w:val="002D4BAD"/>
    <w:rsid w:val="002E0ABE"/>
    <w:rsid w:val="002E108C"/>
    <w:rsid w:val="002E13B1"/>
    <w:rsid w:val="002E44F9"/>
    <w:rsid w:val="002E5141"/>
    <w:rsid w:val="002E565D"/>
    <w:rsid w:val="002E6968"/>
    <w:rsid w:val="002E7B18"/>
    <w:rsid w:val="002F1509"/>
    <w:rsid w:val="002F21BF"/>
    <w:rsid w:val="002F5449"/>
    <w:rsid w:val="00300EBF"/>
    <w:rsid w:val="00303926"/>
    <w:rsid w:val="00304C6C"/>
    <w:rsid w:val="00304E14"/>
    <w:rsid w:val="00311AEB"/>
    <w:rsid w:val="00313F53"/>
    <w:rsid w:val="003159C2"/>
    <w:rsid w:val="00315C90"/>
    <w:rsid w:val="0032359B"/>
    <w:rsid w:val="003265AC"/>
    <w:rsid w:val="00332FAE"/>
    <w:rsid w:val="00335679"/>
    <w:rsid w:val="00335AB2"/>
    <w:rsid w:val="0033646F"/>
    <w:rsid w:val="003379F2"/>
    <w:rsid w:val="00337A30"/>
    <w:rsid w:val="00340C03"/>
    <w:rsid w:val="003416BA"/>
    <w:rsid w:val="00341F25"/>
    <w:rsid w:val="00344C0C"/>
    <w:rsid w:val="003459BA"/>
    <w:rsid w:val="0034730F"/>
    <w:rsid w:val="00347EFF"/>
    <w:rsid w:val="00350455"/>
    <w:rsid w:val="003548BA"/>
    <w:rsid w:val="003578AC"/>
    <w:rsid w:val="00363242"/>
    <w:rsid w:val="00363DFB"/>
    <w:rsid w:val="00364236"/>
    <w:rsid w:val="00364EA4"/>
    <w:rsid w:val="003672B0"/>
    <w:rsid w:val="00370B90"/>
    <w:rsid w:val="0037468B"/>
    <w:rsid w:val="0037474C"/>
    <w:rsid w:val="00375A9D"/>
    <w:rsid w:val="00377F8D"/>
    <w:rsid w:val="0038014F"/>
    <w:rsid w:val="003808E7"/>
    <w:rsid w:val="00380B1A"/>
    <w:rsid w:val="00382E7E"/>
    <w:rsid w:val="0038327B"/>
    <w:rsid w:val="00384ACD"/>
    <w:rsid w:val="0038520F"/>
    <w:rsid w:val="00393F06"/>
    <w:rsid w:val="0039413D"/>
    <w:rsid w:val="00397086"/>
    <w:rsid w:val="003A1F55"/>
    <w:rsid w:val="003A36A7"/>
    <w:rsid w:val="003A597F"/>
    <w:rsid w:val="003B2395"/>
    <w:rsid w:val="003B285A"/>
    <w:rsid w:val="003B7F66"/>
    <w:rsid w:val="003C0A60"/>
    <w:rsid w:val="003C1114"/>
    <w:rsid w:val="003C5439"/>
    <w:rsid w:val="003C5A0A"/>
    <w:rsid w:val="003D1967"/>
    <w:rsid w:val="003D6FC7"/>
    <w:rsid w:val="003E26F6"/>
    <w:rsid w:val="003E279A"/>
    <w:rsid w:val="003E3204"/>
    <w:rsid w:val="003E5E30"/>
    <w:rsid w:val="003E6721"/>
    <w:rsid w:val="003E6F68"/>
    <w:rsid w:val="003E757C"/>
    <w:rsid w:val="003F1A27"/>
    <w:rsid w:val="003F38BA"/>
    <w:rsid w:val="003F3F47"/>
    <w:rsid w:val="003F483F"/>
    <w:rsid w:val="003F4F89"/>
    <w:rsid w:val="003F51F1"/>
    <w:rsid w:val="003F5D55"/>
    <w:rsid w:val="00406665"/>
    <w:rsid w:val="00407196"/>
    <w:rsid w:val="0041060F"/>
    <w:rsid w:val="00412D05"/>
    <w:rsid w:val="00413330"/>
    <w:rsid w:val="004135B6"/>
    <w:rsid w:val="004135F3"/>
    <w:rsid w:val="004148B8"/>
    <w:rsid w:val="00414C40"/>
    <w:rsid w:val="00415B1B"/>
    <w:rsid w:val="00420036"/>
    <w:rsid w:val="00420592"/>
    <w:rsid w:val="00426411"/>
    <w:rsid w:val="0043239B"/>
    <w:rsid w:val="00433A4F"/>
    <w:rsid w:val="00435564"/>
    <w:rsid w:val="00440666"/>
    <w:rsid w:val="0044554A"/>
    <w:rsid w:val="00446504"/>
    <w:rsid w:val="00446C14"/>
    <w:rsid w:val="00446CF6"/>
    <w:rsid w:val="0045055F"/>
    <w:rsid w:val="004508FF"/>
    <w:rsid w:val="00450C62"/>
    <w:rsid w:val="00453F41"/>
    <w:rsid w:val="00455F2F"/>
    <w:rsid w:val="00460259"/>
    <w:rsid w:val="0046423E"/>
    <w:rsid w:val="00466894"/>
    <w:rsid w:val="00467A16"/>
    <w:rsid w:val="00470493"/>
    <w:rsid w:val="00472684"/>
    <w:rsid w:val="0047676F"/>
    <w:rsid w:val="004800D0"/>
    <w:rsid w:val="00480ACF"/>
    <w:rsid w:val="004824BC"/>
    <w:rsid w:val="00482559"/>
    <w:rsid w:val="00482B3E"/>
    <w:rsid w:val="004841B0"/>
    <w:rsid w:val="00484611"/>
    <w:rsid w:val="00492CEB"/>
    <w:rsid w:val="00493455"/>
    <w:rsid w:val="00496BF6"/>
    <w:rsid w:val="00496E9B"/>
    <w:rsid w:val="004A1024"/>
    <w:rsid w:val="004A23E0"/>
    <w:rsid w:val="004A480E"/>
    <w:rsid w:val="004A52BE"/>
    <w:rsid w:val="004A7B00"/>
    <w:rsid w:val="004B161F"/>
    <w:rsid w:val="004B4622"/>
    <w:rsid w:val="004C2032"/>
    <w:rsid w:val="004C2B9F"/>
    <w:rsid w:val="004C6D1C"/>
    <w:rsid w:val="004C7309"/>
    <w:rsid w:val="004C7C8B"/>
    <w:rsid w:val="004D4619"/>
    <w:rsid w:val="004D4899"/>
    <w:rsid w:val="004D5709"/>
    <w:rsid w:val="004D5FD6"/>
    <w:rsid w:val="004D736D"/>
    <w:rsid w:val="004D7784"/>
    <w:rsid w:val="004D7A5E"/>
    <w:rsid w:val="004D7FF5"/>
    <w:rsid w:val="004E0EEB"/>
    <w:rsid w:val="004E201A"/>
    <w:rsid w:val="004E6765"/>
    <w:rsid w:val="004E6C64"/>
    <w:rsid w:val="004F2ED1"/>
    <w:rsid w:val="004F609A"/>
    <w:rsid w:val="004F6CB3"/>
    <w:rsid w:val="005107BD"/>
    <w:rsid w:val="00510B86"/>
    <w:rsid w:val="00513E3D"/>
    <w:rsid w:val="00513E71"/>
    <w:rsid w:val="005157C9"/>
    <w:rsid w:val="00516ABF"/>
    <w:rsid w:val="00517ADA"/>
    <w:rsid w:val="0052010E"/>
    <w:rsid w:val="00525E06"/>
    <w:rsid w:val="00531B80"/>
    <w:rsid w:val="005341EB"/>
    <w:rsid w:val="005343BD"/>
    <w:rsid w:val="00542E89"/>
    <w:rsid w:val="00545760"/>
    <w:rsid w:val="00550956"/>
    <w:rsid w:val="005512B7"/>
    <w:rsid w:val="00551C06"/>
    <w:rsid w:val="00553521"/>
    <w:rsid w:val="00553A9C"/>
    <w:rsid w:val="00555C96"/>
    <w:rsid w:val="00557244"/>
    <w:rsid w:val="00562312"/>
    <w:rsid w:val="00562850"/>
    <w:rsid w:val="00562DBF"/>
    <w:rsid w:val="00564C35"/>
    <w:rsid w:val="00565197"/>
    <w:rsid w:val="0056527D"/>
    <w:rsid w:val="005662C3"/>
    <w:rsid w:val="00567791"/>
    <w:rsid w:val="00572579"/>
    <w:rsid w:val="00573602"/>
    <w:rsid w:val="00575326"/>
    <w:rsid w:val="005764BC"/>
    <w:rsid w:val="00576D48"/>
    <w:rsid w:val="005803E4"/>
    <w:rsid w:val="005810D2"/>
    <w:rsid w:val="005859EE"/>
    <w:rsid w:val="00586A09"/>
    <w:rsid w:val="00592413"/>
    <w:rsid w:val="0059648F"/>
    <w:rsid w:val="005A75BD"/>
    <w:rsid w:val="005A7A9B"/>
    <w:rsid w:val="005B02A0"/>
    <w:rsid w:val="005B2C4E"/>
    <w:rsid w:val="005B3744"/>
    <w:rsid w:val="005B48EB"/>
    <w:rsid w:val="005B5144"/>
    <w:rsid w:val="005B57D3"/>
    <w:rsid w:val="005B6758"/>
    <w:rsid w:val="005C05A6"/>
    <w:rsid w:val="005C533E"/>
    <w:rsid w:val="005C69D1"/>
    <w:rsid w:val="005C7924"/>
    <w:rsid w:val="005D06C4"/>
    <w:rsid w:val="005D0E3C"/>
    <w:rsid w:val="005D1ECF"/>
    <w:rsid w:val="005D28C4"/>
    <w:rsid w:val="005D35FB"/>
    <w:rsid w:val="005D3703"/>
    <w:rsid w:val="005D50F0"/>
    <w:rsid w:val="005D5D26"/>
    <w:rsid w:val="005E339A"/>
    <w:rsid w:val="005E3E95"/>
    <w:rsid w:val="005E3EB7"/>
    <w:rsid w:val="005E4EFB"/>
    <w:rsid w:val="005F48BF"/>
    <w:rsid w:val="005F6FA2"/>
    <w:rsid w:val="00602070"/>
    <w:rsid w:val="00605A42"/>
    <w:rsid w:val="00606C10"/>
    <w:rsid w:val="00607D42"/>
    <w:rsid w:val="00610B36"/>
    <w:rsid w:val="00612D93"/>
    <w:rsid w:val="00616B6A"/>
    <w:rsid w:val="00616CE6"/>
    <w:rsid w:val="006214D4"/>
    <w:rsid w:val="0062167D"/>
    <w:rsid w:val="0062483E"/>
    <w:rsid w:val="00625BF5"/>
    <w:rsid w:val="0062699E"/>
    <w:rsid w:val="00626C03"/>
    <w:rsid w:val="00626F6A"/>
    <w:rsid w:val="00630F4F"/>
    <w:rsid w:val="00632CB1"/>
    <w:rsid w:val="00633C9F"/>
    <w:rsid w:val="00635332"/>
    <w:rsid w:val="00635602"/>
    <w:rsid w:val="006372E7"/>
    <w:rsid w:val="00640327"/>
    <w:rsid w:val="0064131F"/>
    <w:rsid w:val="00641C9D"/>
    <w:rsid w:val="0064527C"/>
    <w:rsid w:val="006502E4"/>
    <w:rsid w:val="006549F0"/>
    <w:rsid w:val="006570AE"/>
    <w:rsid w:val="0066066D"/>
    <w:rsid w:val="006618DA"/>
    <w:rsid w:val="00664639"/>
    <w:rsid w:val="006703BF"/>
    <w:rsid w:val="00671CC1"/>
    <w:rsid w:val="00673B57"/>
    <w:rsid w:val="00681A7E"/>
    <w:rsid w:val="00682966"/>
    <w:rsid w:val="006844B7"/>
    <w:rsid w:val="006872C9"/>
    <w:rsid w:val="00695848"/>
    <w:rsid w:val="006A0033"/>
    <w:rsid w:val="006A01C8"/>
    <w:rsid w:val="006A13A3"/>
    <w:rsid w:val="006A149E"/>
    <w:rsid w:val="006A50FE"/>
    <w:rsid w:val="006A74EC"/>
    <w:rsid w:val="006B0738"/>
    <w:rsid w:val="006B0A3F"/>
    <w:rsid w:val="006B109D"/>
    <w:rsid w:val="006B1CBF"/>
    <w:rsid w:val="006B3460"/>
    <w:rsid w:val="006B6ADE"/>
    <w:rsid w:val="006B6F97"/>
    <w:rsid w:val="006B7581"/>
    <w:rsid w:val="006B77FE"/>
    <w:rsid w:val="006C0613"/>
    <w:rsid w:val="006C0EA7"/>
    <w:rsid w:val="006C7B9B"/>
    <w:rsid w:val="006D2824"/>
    <w:rsid w:val="006D2A72"/>
    <w:rsid w:val="006D3B8E"/>
    <w:rsid w:val="006D4E46"/>
    <w:rsid w:val="006D734B"/>
    <w:rsid w:val="006D78C8"/>
    <w:rsid w:val="006E715A"/>
    <w:rsid w:val="006F212E"/>
    <w:rsid w:val="006F21CC"/>
    <w:rsid w:val="00700CFC"/>
    <w:rsid w:val="007041C8"/>
    <w:rsid w:val="00707112"/>
    <w:rsid w:val="007101A7"/>
    <w:rsid w:val="0071386A"/>
    <w:rsid w:val="0071602E"/>
    <w:rsid w:val="00717319"/>
    <w:rsid w:val="007178DD"/>
    <w:rsid w:val="00720E25"/>
    <w:rsid w:val="007215FF"/>
    <w:rsid w:val="00722EA8"/>
    <w:rsid w:val="007237F7"/>
    <w:rsid w:val="00725964"/>
    <w:rsid w:val="00727DA2"/>
    <w:rsid w:val="00734C97"/>
    <w:rsid w:val="00734FB7"/>
    <w:rsid w:val="00736423"/>
    <w:rsid w:val="0073647E"/>
    <w:rsid w:val="007365C5"/>
    <w:rsid w:val="0073750A"/>
    <w:rsid w:val="00737FC5"/>
    <w:rsid w:val="00741D65"/>
    <w:rsid w:val="00743C28"/>
    <w:rsid w:val="00746395"/>
    <w:rsid w:val="00750264"/>
    <w:rsid w:val="00751434"/>
    <w:rsid w:val="00752E2D"/>
    <w:rsid w:val="00752F62"/>
    <w:rsid w:val="007530E6"/>
    <w:rsid w:val="007532D0"/>
    <w:rsid w:val="00753815"/>
    <w:rsid w:val="00757858"/>
    <w:rsid w:val="00762EA3"/>
    <w:rsid w:val="00762F45"/>
    <w:rsid w:val="00763046"/>
    <w:rsid w:val="00763AEC"/>
    <w:rsid w:val="00766860"/>
    <w:rsid w:val="00767497"/>
    <w:rsid w:val="0077090F"/>
    <w:rsid w:val="00772570"/>
    <w:rsid w:val="0077476A"/>
    <w:rsid w:val="00777178"/>
    <w:rsid w:val="00777B59"/>
    <w:rsid w:val="00781ED8"/>
    <w:rsid w:val="007826E3"/>
    <w:rsid w:val="00782979"/>
    <w:rsid w:val="00782C10"/>
    <w:rsid w:val="00782D08"/>
    <w:rsid w:val="00784126"/>
    <w:rsid w:val="00785FEE"/>
    <w:rsid w:val="00786B36"/>
    <w:rsid w:val="0079011A"/>
    <w:rsid w:val="00792640"/>
    <w:rsid w:val="00796259"/>
    <w:rsid w:val="007A2A44"/>
    <w:rsid w:val="007A5F56"/>
    <w:rsid w:val="007B0F38"/>
    <w:rsid w:val="007B4E9F"/>
    <w:rsid w:val="007B4EE7"/>
    <w:rsid w:val="007B7BEA"/>
    <w:rsid w:val="007C181D"/>
    <w:rsid w:val="007C2F4C"/>
    <w:rsid w:val="007C6DEA"/>
    <w:rsid w:val="007D05BB"/>
    <w:rsid w:val="007D072E"/>
    <w:rsid w:val="007D0DE1"/>
    <w:rsid w:val="007D14CB"/>
    <w:rsid w:val="007D1A06"/>
    <w:rsid w:val="007D6422"/>
    <w:rsid w:val="007D6533"/>
    <w:rsid w:val="007D7821"/>
    <w:rsid w:val="007E0409"/>
    <w:rsid w:val="007E0C9B"/>
    <w:rsid w:val="007E1C43"/>
    <w:rsid w:val="007E1FF9"/>
    <w:rsid w:val="007E260A"/>
    <w:rsid w:val="007E2613"/>
    <w:rsid w:val="007E2E38"/>
    <w:rsid w:val="007E67A0"/>
    <w:rsid w:val="007E7BF4"/>
    <w:rsid w:val="007F28F5"/>
    <w:rsid w:val="007F69C3"/>
    <w:rsid w:val="00800A2A"/>
    <w:rsid w:val="008018DF"/>
    <w:rsid w:val="0080305C"/>
    <w:rsid w:val="0080760E"/>
    <w:rsid w:val="00811073"/>
    <w:rsid w:val="0081136A"/>
    <w:rsid w:val="008125A3"/>
    <w:rsid w:val="008227C1"/>
    <w:rsid w:val="00822A19"/>
    <w:rsid w:val="00822A9D"/>
    <w:rsid w:val="00823514"/>
    <w:rsid w:val="00824E8D"/>
    <w:rsid w:val="00825260"/>
    <w:rsid w:val="008275CB"/>
    <w:rsid w:val="00830089"/>
    <w:rsid w:val="008314D3"/>
    <w:rsid w:val="0083346B"/>
    <w:rsid w:val="008338F8"/>
    <w:rsid w:val="00835204"/>
    <w:rsid w:val="00835E8A"/>
    <w:rsid w:val="00841C38"/>
    <w:rsid w:val="00842E98"/>
    <w:rsid w:val="008435AE"/>
    <w:rsid w:val="00843648"/>
    <w:rsid w:val="008437EE"/>
    <w:rsid w:val="0084386B"/>
    <w:rsid w:val="0084492F"/>
    <w:rsid w:val="0084504A"/>
    <w:rsid w:val="00845B8C"/>
    <w:rsid w:val="00852CEE"/>
    <w:rsid w:val="00855083"/>
    <w:rsid w:val="00857E8D"/>
    <w:rsid w:val="008608E0"/>
    <w:rsid w:val="008623AA"/>
    <w:rsid w:val="00866447"/>
    <w:rsid w:val="00870D33"/>
    <w:rsid w:val="00870D35"/>
    <w:rsid w:val="0087519F"/>
    <w:rsid w:val="008810C1"/>
    <w:rsid w:val="008811C2"/>
    <w:rsid w:val="0088183F"/>
    <w:rsid w:val="00882D50"/>
    <w:rsid w:val="00884093"/>
    <w:rsid w:val="00885484"/>
    <w:rsid w:val="00887E2C"/>
    <w:rsid w:val="0089214A"/>
    <w:rsid w:val="0089261A"/>
    <w:rsid w:val="008928F2"/>
    <w:rsid w:val="00895102"/>
    <w:rsid w:val="00896C19"/>
    <w:rsid w:val="008A0A67"/>
    <w:rsid w:val="008A18A6"/>
    <w:rsid w:val="008A20F8"/>
    <w:rsid w:val="008A4B1B"/>
    <w:rsid w:val="008B2E70"/>
    <w:rsid w:val="008B794C"/>
    <w:rsid w:val="008C080B"/>
    <w:rsid w:val="008C1919"/>
    <w:rsid w:val="008C1C1C"/>
    <w:rsid w:val="008C3D0F"/>
    <w:rsid w:val="008C47C1"/>
    <w:rsid w:val="008C591B"/>
    <w:rsid w:val="008C5C22"/>
    <w:rsid w:val="008C786C"/>
    <w:rsid w:val="008D0432"/>
    <w:rsid w:val="008D1394"/>
    <w:rsid w:val="008D2DA5"/>
    <w:rsid w:val="008D3B82"/>
    <w:rsid w:val="008D3D18"/>
    <w:rsid w:val="008D3F41"/>
    <w:rsid w:val="008D42A7"/>
    <w:rsid w:val="008D53FB"/>
    <w:rsid w:val="008D59CB"/>
    <w:rsid w:val="008D5D99"/>
    <w:rsid w:val="008D6C8F"/>
    <w:rsid w:val="008E119E"/>
    <w:rsid w:val="008E2A32"/>
    <w:rsid w:val="008E340B"/>
    <w:rsid w:val="008E6928"/>
    <w:rsid w:val="008E782C"/>
    <w:rsid w:val="008E7B4B"/>
    <w:rsid w:val="008E7B8C"/>
    <w:rsid w:val="008E7F52"/>
    <w:rsid w:val="008F0B4E"/>
    <w:rsid w:val="008F197C"/>
    <w:rsid w:val="008F1DAB"/>
    <w:rsid w:val="008F3E3F"/>
    <w:rsid w:val="008F6321"/>
    <w:rsid w:val="008F6CD4"/>
    <w:rsid w:val="00906634"/>
    <w:rsid w:val="009128E0"/>
    <w:rsid w:val="00914FD5"/>
    <w:rsid w:val="00920D69"/>
    <w:rsid w:val="0092264C"/>
    <w:rsid w:val="00922DA9"/>
    <w:rsid w:val="00923771"/>
    <w:rsid w:val="00923B79"/>
    <w:rsid w:val="00924390"/>
    <w:rsid w:val="0092467D"/>
    <w:rsid w:val="00924695"/>
    <w:rsid w:val="00926A57"/>
    <w:rsid w:val="00927F44"/>
    <w:rsid w:val="00931A25"/>
    <w:rsid w:val="009326B6"/>
    <w:rsid w:val="00933DCB"/>
    <w:rsid w:val="009348D8"/>
    <w:rsid w:val="00937AB9"/>
    <w:rsid w:val="009418C2"/>
    <w:rsid w:val="0094198D"/>
    <w:rsid w:val="00945AF8"/>
    <w:rsid w:val="009502F3"/>
    <w:rsid w:val="0095045B"/>
    <w:rsid w:val="00950CD4"/>
    <w:rsid w:val="00954D2E"/>
    <w:rsid w:val="0096277F"/>
    <w:rsid w:val="0096305F"/>
    <w:rsid w:val="00964010"/>
    <w:rsid w:val="009649A1"/>
    <w:rsid w:val="00966B00"/>
    <w:rsid w:val="009674D6"/>
    <w:rsid w:val="00967EA6"/>
    <w:rsid w:val="00971BF0"/>
    <w:rsid w:val="00972AD3"/>
    <w:rsid w:val="00972D11"/>
    <w:rsid w:val="00973086"/>
    <w:rsid w:val="00976AE2"/>
    <w:rsid w:val="0098005F"/>
    <w:rsid w:val="00984E96"/>
    <w:rsid w:val="0098574E"/>
    <w:rsid w:val="009932A3"/>
    <w:rsid w:val="009A06EC"/>
    <w:rsid w:val="009A250E"/>
    <w:rsid w:val="009A3754"/>
    <w:rsid w:val="009A51B2"/>
    <w:rsid w:val="009A64B5"/>
    <w:rsid w:val="009A6D60"/>
    <w:rsid w:val="009A7329"/>
    <w:rsid w:val="009B4DFC"/>
    <w:rsid w:val="009B50AB"/>
    <w:rsid w:val="009C05E4"/>
    <w:rsid w:val="009C0A1F"/>
    <w:rsid w:val="009C1774"/>
    <w:rsid w:val="009C2E83"/>
    <w:rsid w:val="009C2F81"/>
    <w:rsid w:val="009C71E7"/>
    <w:rsid w:val="009C7528"/>
    <w:rsid w:val="009D2B3F"/>
    <w:rsid w:val="009D36DE"/>
    <w:rsid w:val="009E01B7"/>
    <w:rsid w:val="009E1378"/>
    <w:rsid w:val="009F0F0A"/>
    <w:rsid w:val="009F3DCF"/>
    <w:rsid w:val="009F672E"/>
    <w:rsid w:val="009F6CC2"/>
    <w:rsid w:val="009F7B1D"/>
    <w:rsid w:val="00A007C3"/>
    <w:rsid w:val="00A01452"/>
    <w:rsid w:val="00A0626D"/>
    <w:rsid w:val="00A10E9C"/>
    <w:rsid w:val="00A1224A"/>
    <w:rsid w:val="00A132D7"/>
    <w:rsid w:val="00A165FF"/>
    <w:rsid w:val="00A176F4"/>
    <w:rsid w:val="00A22F4C"/>
    <w:rsid w:val="00A24314"/>
    <w:rsid w:val="00A256CD"/>
    <w:rsid w:val="00A27AA3"/>
    <w:rsid w:val="00A27EEB"/>
    <w:rsid w:val="00A3190A"/>
    <w:rsid w:val="00A31B07"/>
    <w:rsid w:val="00A33ED1"/>
    <w:rsid w:val="00A35C5F"/>
    <w:rsid w:val="00A36BD5"/>
    <w:rsid w:val="00A43334"/>
    <w:rsid w:val="00A53643"/>
    <w:rsid w:val="00A539BE"/>
    <w:rsid w:val="00A573D3"/>
    <w:rsid w:val="00A61B56"/>
    <w:rsid w:val="00A62C67"/>
    <w:rsid w:val="00A6675A"/>
    <w:rsid w:val="00A71008"/>
    <w:rsid w:val="00A71AC3"/>
    <w:rsid w:val="00A74687"/>
    <w:rsid w:val="00A756C4"/>
    <w:rsid w:val="00A75DA7"/>
    <w:rsid w:val="00A776C2"/>
    <w:rsid w:val="00A83381"/>
    <w:rsid w:val="00A852FF"/>
    <w:rsid w:val="00A85D13"/>
    <w:rsid w:val="00A9006F"/>
    <w:rsid w:val="00A906AA"/>
    <w:rsid w:val="00A9152C"/>
    <w:rsid w:val="00AA0515"/>
    <w:rsid w:val="00AA0A51"/>
    <w:rsid w:val="00AA51A6"/>
    <w:rsid w:val="00AA7712"/>
    <w:rsid w:val="00AA7714"/>
    <w:rsid w:val="00AB0288"/>
    <w:rsid w:val="00AB128B"/>
    <w:rsid w:val="00AB2662"/>
    <w:rsid w:val="00AB3D99"/>
    <w:rsid w:val="00AB5017"/>
    <w:rsid w:val="00AB5A20"/>
    <w:rsid w:val="00AB5BB1"/>
    <w:rsid w:val="00AB70CC"/>
    <w:rsid w:val="00AC51D9"/>
    <w:rsid w:val="00AC611D"/>
    <w:rsid w:val="00AC7B56"/>
    <w:rsid w:val="00AC7EA6"/>
    <w:rsid w:val="00AD11B8"/>
    <w:rsid w:val="00AD1AF1"/>
    <w:rsid w:val="00AD2A60"/>
    <w:rsid w:val="00AE004F"/>
    <w:rsid w:val="00AE02B8"/>
    <w:rsid w:val="00AE05BA"/>
    <w:rsid w:val="00AE067E"/>
    <w:rsid w:val="00AF50B6"/>
    <w:rsid w:val="00B00490"/>
    <w:rsid w:val="00B01406"/>
    <w:rsid w:val="00B025CF"/>
    <w:rsid w:val="00B04928"/>
    <w:rsid w:val="00B0513F"/>
    <w:rsid w:val="00B051AB"/>
    <w:rsid w:val="00B07F59"/>
    <w:rsid w:val="00B20F7E"/>
    <w:rsid w:val="00B21BFE"/>
    <w:rsid w:val="00B22342"/>
    <w:rsid w:val="00B27DD5"/>
    <w:rsid w:val="00B33324"/>
    <w:rsid w:val="00B3345F"/>
    <w:rsid w:val="00B34CEE"/>
    <w:rsid w:val="00B44837"/>
    <w:rsid w:val="00B4522D"/>
    <w:rsid w:val="00B4587E"/>
    <w:rsid w:val="00B46FA4"/>
    <w:rsid w:val="00B569F4"/>
    <w:rsid w:val="00B60669"/>
    <w:rsid w:val="00B65276"/>
    <w:rsid w:val="00B67B08"/>
    <w:rsid w:val="00B701C1"/>
    <w:rsid w:val="00B81AFC"/>
    <w:rsid w:val="00B83D61"/>
    <w:rsid w:val="00B84102"/>
    <w:rsid w:val="00B84E1E"/>
    <w:rsid w:val="00B84E78"/>
    <w:rsid w:val="00B86FAD"/>
    <w:rsid w:val="00B87162"/>
    <w:rsid w:val="00B8760D"/>
    <w:rsid w:val="00B90AD0"/>
    <w:rsid w:val="00B90B69"/>
    <w:rsid w:val="00B92A00"/>
    <w:rsid w:val="00B9363C"/>
    <w:rsid w:val="00B93D79"/>
    <w:rsid w:val="00B9492C"/>
    <w:rsid w:val="00B970EE"/>
    <w:rsid w:val="00BA0DB9"/>
    <w:rsid w:val="00BA2E42"/>
    <w:rsid w:val="00BA350D"/>
    <w:rsid w:val="00BA3A95"/>
    <w:rsid w:val="00BA408D"/>
    <w:rsid w:val="00BA5C06"/>
    <w:rsid w:val="00BB1214"/>
    <w:rsid w:val="00BB1B40"/>
    <w:rsid w:val="00BB77A6"/>
    <w:rsid w:val="00BC0266"/>
    <w:rsid w:val="00BC03CE"/>
    <w:rsid w:val="00BC2087"/>
    <w:rsid w:val="00BC414D"/>
    <w:rsid w:val="00BC548A"/>
    <w:rsid w:val="00BC56A8"/>
    <w:rsid w:val="00BC5735"/>
    <w:rsid w:val="00BC7192"/>
    <w:rsid w:val="00BD0D87"/>
    <w:rsid w:val="00BD2540"/>
    <w:rsid w:val="00BD27B1"/>
    <w:rsid w:val="00BD595A"/>
    <w:rsid w:val="00BD5AD0"/>
    <w:rsid w:val="00BD7DFF"/>
    <w:rsid w:val="00BE132F"/>
    <w:rsid w:val="00BE4BC1"/>
    <w:rsid w:val="00BE4F94"/>
    <w:rsid w:val="00BE56FA"/>
    <w:rsid w:val="00BE60A8"/>
    <w:rsid w:val="00BE71A6"/>
    <w:rsid w:val="00BE796A"/>
    <w:rsid w:val="00BE7CCA"/>
    <w:rsid w:val="00BF0677"/>
    <w:rsid w:val="00BF29EA"/>
    <w:rsid w:val="00BF334B"/>
    <w:rsid w:val="00BF3D18"/>
    <w:rsid w:val="00BF54BF"/>
    <w:rsid w:val="00BF5BBE"/>
    <w:rsid w:val="00BF6A75"/>
    <w:rsid w:val="00BF6E6C"/>
    <w:rsid w:val="00BF73E2"/>
    <w:rsid w:val="00BF7514"/>
    <w:rsid w:val="00BF7A11"/>
    <w:rsid w:val="00C02E47"/>
    <w:rsid w:val="00C042BE"/>
    <w:rsid w:val="00C05927"/>
    <w:rsid w:val="00C06682"/>
    <w:rsid w:val="00C07060"/>
    <w:rsid w:val="00C07C55"/>
    <w:rsid w:val="00C1143D"/>
    <w:rsid w:val="00C120C8"/>
    <w:rsid w:val="00C12D44"/>
    <w:rsid w:val="00C13433"/>
    <w:rsid w:val="00C14B96"/>
    <w:rsid w:val="00C154D5"/>
    <w:rsid w:val="00C16604"/>
    <w:rsid w:val="00C16759"/>
    <w:rsid w:val="00C22081"/>
    <w:rsid w:val="00C228AE"/>
    <w:rsid w:val="00C24203"/>
    <w:rsid w:val="00C25F34"/>
    <w:rsid w:val="00C262EB"/>
    <w:rsid w:val="00C2678A"/>
    <w:rsid w:val="00C310E0"/>
    <w:rsid w:val="00C3169C"/>
    <w:rsid w:val="00C31ED1"/>
    <w:rsid w:val="00C31FE3"/>
    <w:rsid w:val="00C33233"/>
    <w:rsid w:val="00C3353F"/>
    <w:rsid w:val="00C33D9B"/>
    <w:rsid w:val="00C33FCE"/>
    <w:rsid w:val="00C340BA"/>
    <w:rsid w:val="00C35B76"/>
    <w:rsid w:val="00C413C9"/>
    <w:rsid w:val="00C43447"/>
    <w:rsid w:val="00C46E07"/>
    <w:rsid w:val="00C46E15"/>
    <w:rsid w:val="00C47E14"/>
    <w:rsid w:val="00C50BBB"/>
    <w:rsid w:val="00C521F8"/>
    <w:rsid w:val="00C52B42"/>
    <w:rsid w:val="00C52EEB"/>
    <w:rsid w:val="00C6270C"/>
    <w:rsid w:val="00C65C6F"/>
    <w:rsid w:val="00C67E6F"/>
    <w:rsid w:val="00C70A51"/>
    <w:rsid w:val="00C711FC"/>
    <w:rsid w:val="00C71B94"/>
    <w:rsid w:val="00C72B52"/>
    <w:rsid w:val="00C73C21"/>
    <w:rsid w:val="00C73FDE"/>
    <w:rsid w:val="00C745E3"/>
    <w:rsid w:val="00C76BC9"/>
    <w:rsid w:val="00C77548"/>
    <w:rsid w:val="00C77C72"/>
    <w:rsid w:val="00C81E56"/>
    <w:rsid w:val="00C82318"/>
    <w:rsid w:val="00C83BBE"/>
    <w:rsid w:val="00C84128"/>
    <w:rsid w:val="00C844A3"/>
    <w:rsid w:val="00C8533F"/>
    <w:rsid w:val="00C86CD3"/>
    <w:rsid w:val="00C90FDD"/>
    <w:rsid w:val="00C917BD"/>
    <w:rsid w:val="00C939E7"/>
    <w:rsid w:val="00C9452D"/>
    <w:rsid w:val="00CA29EE"/>
    <w:rsid w:val="00CA4487"/>
    <w:rsid w:val="00CA4B49"/>
    <w:rsid w:val="00CA5A3E"/>
    <w:rsid w:val="00CA62DB"/>
    <w:rsid w:val="00CB05E1"/>
    <w:rsid w:val="00CB07FE"/>
    <w:rsid w:val="00CB6472"/>
    <w:rsid w:val="00CB7556"/>
    <w:rsid w:val="00CC1F67"/>
    <w:rsid w:val="00CC466C"/>
    <w:rsid w:val="00CC50A2"/>
    <w:rsid w:val="00CC714D"/>
    <w:rsid w:val="00CD037D"/>
    <w:rsid w:val="00CD21C0"/>
    <w:rsid w:val="00CD3722"/>
    <w:rsid w:val="00CD3AC2"/>
    <w:rsid w:val="00CD61DE"/>
    <w:rsid w:val="00CD624F"/>
    <w:rsid w:val="00CD772B"/>
    <w:rsid w:val="00CD7854"/>
    <w:rsid w:val="00CD7F7D"/>
    <w:rsid w:val="00CE1C11"/>
    <w:rsid w:val="00CE296A"/>
    <w:rsid w:val="00CE4C02"/>
    <w:rsid w:val="00CE5583"/>
    <w:rsid w:val="00D0072F"/>
    <w:rsid w:val="00D031EE"/>
    <w:rsid w:val="00D04E78"/>
    <w:rsid w:val="00D05052"/>
    <w:rsid w:val="00D059E8"/>
    <w:rsid w:val="00D06061"/>
    <w:rsid w:val="00D06D8C"/>
    <w:rsid w:val="00D0759B"/>
    <w:rsid w:val="00D12652"/>
    <w:rsid w:val="00D136DB"/>
    <w:rsid w:val="00D13994"/>
    <w:rsid w:val="00D13D49"/>
    <w:rsid w:val="00D14279"/>
    <w:rsid w:val="00D14EF6"/>
    <w:rsid w:val="00D174EA"/>
    <w:rsid w:val="00D2151E"/>
    <w:rsid w:val="00D26ECE"/>
    <w:rsid w:val="00D27E51"/>
    <w:rsid w:val="00D304CF"/>
    <w:rsid w:val="00D313D2"/>
    <w:rsid w:val="00D322DE"/>
    <w:rsid w:val="00D32305"/>
    <w:rsid w:val="00D35CEF"/>
    <w:rsid w:val="00D37921"/>
    <w:rsid w:val="00D44668"/>
    <w:rsid w:val="00D44CC4"/>
    <w:rsid w:val="00D464AE"/>
    <w:rsid w:val="00D46884"/>
    <w:rsid w:val="00D5202B"/>
    <w:rsid w:val="00D5547A"/>
    <w:rsid w:val="00D55C27"/>
    <w:rsid w:val="00D565B8"/>
    <w:rsid w:val="00D56D2E"/>
    <w:rsid w:val="00D61E20"/>
    <w:rsid w:val="00D61E34"/>
    <w:rsid w:val="00D62D79"/>
    <w:rsid w:val="00D643EC"/>
    <w:rsid w:val="00D6538E"/>
    <w:rsid w:val="00D66A72"/>
    <w:rsid w:val="00D66DF0"/>
    <w:rsid w:val="00D722D2"/>
    <w:rsid w:val="00D7283B"/>
    <w:rsid w:val="00D73DBC"/>
    <w:rsid w:val="00D7540C"/>
    <w:rsid w:val="00D7745F"/>
    <w:rsid w:val="00D80BE6"/>
    <w:rsid w:val="00D8201B"/>
    <w:rsid w:val="00D84071"/>
    <w:rsid w:val="00D85BB5"/>
    <w:rsid w:val="00D90E71"/>
    <w:rsid w:val="00D96629"/>
    <w:rsid w:val="00DA22C9"/>
    <w:rsid w:val="00DA4B00"/>
    <w:rsid w:val="00DA5912"/>
    <w:rsid w:val="00DA71CB"/>
    <w:rsid w:val="00DB2585"/>
    <w:rsid w:val="00DB5261"/>
    <w:rsid w:val="00DB7EA9"/>
    <w:rsid w:val="00DC01FD"/>
    <w:rsid w:val="00DC149D"/>
    <w:rsid w:val="00DC190F"/>
    <w:rsid w:val="00DC245C"/>
    <w:rsid w:val="00DC56B7"/>
    <w:rsid w:val="00DC5C2E"/>
    <w:rsid w:val="00DD2F39"/>
    <w:rsid w:val="00DD3F51"/>
    <w:rsid w:val="00DD45DB"/>
    <w:rsid w:val="00DE07CC"/>
    <w:rsid w:val="00DE1932"/>
    <w:rsid w:val="00DE6715"/>
    <w:rsid w:val="00DE68AE"/>
    <w:rsid w:val="00DE6A58"/>
    <w:rsid w:val="00DF19D8"/>
    <w:rsid w:val="00DF1AC2"/>
    <w:rsid w:val="00DF3A99"/>
    <w:rsid w:val="00DF4412"/>
    <w:rsid w:val="00DF44DD"/>
    <w:rsid w:val="00DF6C2D"/>
    <w:rsid w:val="00DF6D64"/>
    <w:rsid w:val="00E01A49"/>
    <w:rsid w:val="00E027E1"/>
    <w:rsid w:val="00E069EE"/>
    <w:rsid w:val="00E06D14"/>
    <w:rsid w:val="00E14C76"/>
    <w:rsid w:val="00E165FD"/>
    <w:rsid w:val="00E176FE"/>
    <w:rsid w:val="00E20621"/>
    <w:rsid w:val="00E216D2"/>
    <w:rsid w:val="00E2172C"/>
    <w:rsid w:val="00E26176"/>
    <w:rsid w:val="00E266B8"/>
    <w:rsid w:val="00E273C3"/>
    <w:rsid w:val="00E27BF5"/>
    <w:rsid w:val="00E3107A"/>
    <w:rsid w:val="00E33934"/>
    <w:rsid w:val="00E33962"/>
    <w:rsid w:val="00E350FC"/>
    <w:rsid w:val="00E35BAA"/>
    <w:rsid w:val="00E4097C"/>
    <w:rsid w:val="00E40A2A"/>
    <w:rsid w:val="00E4183B"/>
    <w:rsid w:val="00E41C30"/>
    <w:rsid w:val="00E42D98"/>
    <w:rsid w:val="00E4590F"/>
    <w:rsid w:val="00E533E1"/>
    <w:rsid w:val="00E54F60"/>
    <w:rsid w:val="00E62F6D"/>
    <w:rsid w:val="00E6406C"/>
    <w:rsid w:val="00E65B58"/>
    <w:rsid w:val="00E676B5"/>
    <w:rsid w:val="00E677F2"/>
    <w:rsid w:val="00E74B26"/>
    <w:rsid w:val="00E80733"/>
    <w:rsid w:val="00E80F13"/>
    <w:rsid w:val="00E81DA5"/>
    <w:rsid w:val="00E83726"/>
    <w:rsid w:val="00E90529"/>
    <w:rsid w:val="00E91311"/>
    <w:rsid w:val="00E967BD"/>
    <w:rsid w:val="00E972F3"/>
    <w:rsid w:val="00EA0ED9"/>
    <w:rsid w:val="00EA1764"/>
    <w:rsid w:val="00EA2A56"/>
    <w:rsid w:val="00EA47E4"/>
    <w:rsid w:val="00EA5F91"/>
    <w:rsid w:val="00EA6657"/>
    <w:rsid w:val="00EA7014"/>
    <w:rsid w:val="00EA7EC2"/>
    <w:rsid w:val="00EB32B0"/>
    <w:rsid w:val="00EB3EDF"/>
    <w:rsid w:val="00EB42B1"/>
    <w:rsid w:val="00EB52F0"/>
    <w:rsid w:val="00EB5E9E"/>
    <w:rsid w:val="00EB7319"/>
    <w:rsid w:val="00EC0FF9"/>
    <w:rsid w:val="00EC2155"/>
    <w:rsid w:val="00EC32CB"/>
    <w:rsid w:val="00EC735F"/>
    <w:rsid w:val="00EC7548"/>
    <w:rsid w:val="00ED055B"/>
    <w:rsid w:val="00ED109D"/>
    <w:rsid w:val="00ED2A5B"/>
    <w:rsid w:val="00ED4340"/>
    <w:rsid w:val="00ED7498"/>
    <w:rsid w:val="00ED7C0B"/>
    <w:rsid w:val="00ED7C59"/>
    <w:rsid w:val="00EE1E4A"/>
    <w:rsid w:val="00EE2489"/>
    <w:rsid w:val="00EF0624"/>
    <w:rsid w:val="00EF2EC3"/>
    <w:rsid w:val="00EF5CEC"/>
    <w:rsid w:val="00EF68D6"/>
    <w:rsid w:val="00F01636"/>
    <w:rsid w:val="00F021ED"/>
    <w:rsid w:val="00F02A2F"/>
    <w:rsid w:val="00F103DD"/>
    <w:rsid w:val="00F157F2"/>
    <w:rsid w:val="00F15B4D"/>
    <w:rsid w:val="00F16933"/>
    <w:rsid w:val="00F202D4"/>
    <w:rsid w:val="00F20B7C"/>
    <w:rsid w:val="00F23964"/>
    <w:rsid w:val="00F23F9C"/>
    <w:rsid w:val="00F2472E"/>
    <w:rsid w:val="00F26401"/>
    <w:rsid w:val="00F27CB5"/>
    <w:rsid w:val="00F300FD"/>
    <w:rsid w:val="00F32446"/>
    <w:rsid w:val="00F34316"/>
    <w:rsid w:val="00F3537F"/>
    <w:rsid w:val="00F40FB9"/>
    <w:rsid w:val="00F4250A"/>
    <w:rsid w:val="00F42724"/>
    <w:rsid w:val="00F45137"/>
    <w:rsid w:val="00F452D5"/>
    <w:rsid w:val="00F46DF3"/>
    <w:rsid w:val="00F477E1"/>
    <w:rsid w:val="00F5052A"/>
    <w:rsid w:val="00F52961"/>
    <w:rsid w:val="00F5379C"/>
    <w:rsid w:val="00F568B0"/>
    <w:rsid w:val="00F64EE9"/>
    <w:rsid w:val="00F6682C"/>
    <w:rsid w:val="00F7112C"/>
    <w:rsid w:val="00F72505"/>
    <w:rsid w:val="00F72C71"/>
    <w:rsid w:val="00F74994"/>
    <w:rsid w:val="00F75188"/>
    <w:rsid w:val="00F7531C"/>
    <w:rsid w:val="00F758AB"/>
    <w:rsid w:val="00F76103"/>
    <w:rsid w:val="00F774FD"/>
    <w:rsid w:val="00F77B9C"/>
    <w:rsid w:val="00F81DD8"/>
    <w:rsid w:val="00F846F0"/>
    <w:rsid w:val="00F85140"/>
    <w:rsid w:val="00F85532"/>
    <w:rsid w:val="00F860D3"/>
    <w:rsid w:val="00F87060"/>
    <w:rsid w:val="00F926C4"/>
    <w:rsid w:val="00F93191"/>
    <w:rsid w:val="00F93353"/>
    <w:rsid w:val="00F936EB"/>
    <w:rsid w:val="00F94B2D"/>
    <w:rsid w:val="00FA1412"/>
    <w:rsid w:val="00FA1EA6"/>
    <w:rsid w:val="00FA2C76"/>
    <w:rsid w:val="00FA3AC4"/>
    <w:rsid w:val="00FA6465"/>
    <w:rsid w:val="00FB066B"/>
    <w:rsid w:val="00FB407E"/>
    <w:rsid w:val="00FB7056"/>
    <w:rsid w:val="00FC0301"/>
    <w:rsid w:val="00FC17D5"/>
    <w:rsid w:val="00FC1BE7"/>
    <w:rsid w:val="00FC277A"/>
    <w:rsid w:val="00FC3086"/>
    <w:rsid w:val="00FC5F2A"/>
    <w:rsid w:val="00FC60D3"/>
    <w:rsid w:val="00FC6CAC"/>
    <w:rsid w:val="00FC771C"/>
    <w:rsid w:val="00FD12A1"/>
    <w:rsid w:val="00FD2ED7"/>
    <w:rsid w:val="00FD4A9C"/>
    <w:rsid w:val="00FD4EE1"/>
    <w:rsid w:val="00FD4EED"/>
    <w:rsid w:val="00FD7788"/>
    <w:rsid w:val="00FE01DD"/>
    <w:rsid w:val="00FE2935"/>
    <w:rsid w:val="00FE2CA9"/>
    <w:rsid w:val="00FE3FC2"/>
    <w:rsid w:val="00FE4232"/>
    <w:rsid w:val="00FE46BC"/>
    <w:rsid w:val="00FE7BAB"/>
    <w:rsid w:val="00FE7D21"/>
    <w:rsid w:val="00FF1765"/>
    <w:rsid w:val="00FF5165"/>
    <w:rsid w:val="00FF7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F437"/>
  <w15:chartTrackingRefBased/>
  <w15:docId w15:val="{8050BF43-E3D4-4260-9FC5-085B1142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C0"/>
  </w:style>
  <w:style w:type="paragraph" w:styleId="Heading1">
    <w:name w:val="heading 1"/>
    <w:basedOn w:val="Normal"/>
    <w:next w:val="Normal"/>
    <w:link w:val="Heading1Char"/>
    <w:uiPriority w:val="9"/>
    <w:qFormat/>
    <w:rsid w:val="00FD7788"/>
    <w:pPr>
      <w:spacing w:before="480" w:after="640"/>
      <w:jc w:val="center"/>
      <w:outlineLvl w:val="0"/>
    </w:pPr>
    <w:rPr>
      <w:rFonts w:ascii="Baskerville Old Face" w:hAnsi="Baskerville Old Face" w:cs="Times New Roman"/>
      <w:b/>
      <w:bCs/>
      <w:kern w:val="0"/>
      <w:sz w:val="28"/>
      <w:szCs w:val="28"/>
      <w:lang w:val="en-GB"/>
      <w14:ligatures w14:val="none"/>
    </w:rPr>
  </w:style>
  <w:style w:type="paragraph" w:styleId="Heading2">
    <w:name w:val="heading 2"/>
    <w:basedOn w:val="Normal"/>
    <w:next w:val="Normal"/>
    <w:link w:val="Heading2Char"/>
    <w:uiPriority w:val="9"/>
    <w:unhideWhenUsed/>
    <w:qFormat/>
    <w:rsid w:val="00A176F4"/>
    <w:pPr>
      <w:keepNext/>
      <w:keepLines/>
      <w:spacing w:before="40" w:after="0"/>
      <w:outlineLvl w:val="1"/>
    </w:pPr>
    <w:rPr>
      <w:rFonts w:ascii="Baskerville Old Face" w:eastAsiaTheme="majorEastAsia" w:hAnsi="Baskerville Old Face" w:cstheme="majorBidi"/>
      <w:b/>
      <w:sz w:val="24"/>
      <w:szCs w:val="26"/>
    </w:rPr>
  </w:style>
  <w:style w:type="paragraph" w:styleId="Heading3">
    <w:name w:val="heading 3"/>
    <w:basedOn w:val="Normal"/>
    <w:next w:val="Normal"/>
    <w:link w:val="Heading3Char"/>
    <w:uiPriority w:val="9"/>
    <w:unhideWhenUsed/>
    <w:qFormat/>
    <w:rsid w:val="008C5C22"/>
    <w:pPr>
      <w:keepNext/>
      <w:keepLines/>
      <w:spacing w:before="40" w:after="0"/>
      <w:outlineLvl w:val="2"/>
    </w:pPr>
    <w:rPr>
      <w:rFonts w:ascii="Baskerville Old Face" w:eastAsiaTheme="majorEastAsia" w:hAnsi="Baskerville Old Face"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617B"/>
    <w:pPr>
      <w:ind w:left="720"/>
      <w:contextualSpacing/>
    </w:pPr>
  </w:style>
  <w:style w:type="table" w:styleId="TableGrid">
    <w:name w:val="Table Grid"/>
    <w:basedOn w:val="TableNormal"/>
    <w:uiPriority w:val="39"/>
    <w:rsid w:val="004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133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133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164AD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C823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next w:val="GridTable4-Accent6"/>
    <w:uiPriority w:val="49"/>
    <w:rsid w:val="00C82318"/>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B07F59"/>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62">
    <w:name w:val="Grid Table 4 - Accent 62"/>
    <w:basedOn w:val="TableNormal"/>
    <w:next w:val="GridTable4-Accent6"/>
    <w:uiPriority w:val="49"/>
    <w:rsid w:val="006A50FE"/>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7375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
    <w:name w:val="Grid Table 2"/>
    <w:basedOn w:val="TableNormal"/>
    <w:uiPriority w:val="47"/>
    <w:rsid w:val="00A756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A756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F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CB3"/>
  </w:style>
  <w:style w:type="paragraph" w:styleId="Footer">
    <w:name w:val="footer"/>
    <w:basedOn w:val="Normal"/>
    <w:link w:val="FooterChar"/>
    <w:uiPriority w:val="99"/>
    <w:unhideWhenUsed/>
    <w:rsid w:val="004F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CB3"/>
  </w:style>
  <w:style w:type="table" w:customStyle="1" w:styleId="GridTable4-Accent63">
    <w:name w:val="Grid Table 4 - Accent 63"/>
    <w:basedOn w:val="TableNormal"/>
    <w:next w:val="GridTable4-Accent6"/>
    <w:uiPriority w:val="49"/>
    <w:rsid w:val="000F7D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3">
    <w:name w:val="Grid Table 5 Dark Accent 3"/>
    <w:basedOn w:val="TableNormal"/>
    <w:uiPriority w:val="50"/>
    <w:rsid w:val="00433A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rsid w:val="002232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5B2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BF54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5">
    <w:name w:val="Grid Table 6 Colorful Accent 5"/>
    <w:basedOn w:val="TableNormal"/>
    <w:uiPriority w:val="51"/>
    <w:rsid w:val="002275C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2">
    <w:name w:val="Grid Table 1 Light Accent 2"/>
    <w:basedOn w:val="TableNormal"/>
    <w:uiPriority w:val="46"/>
    <w:rsid w:val="001052C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BB12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2">
    <w:name w:val="Plain Table 2"/>
    <w:basedOn w:val="TableNormal"/>
    <w:uiPriority w:val="42"/>
    <w:rsid w:val="00923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rsid w:val="00C50BBB"/>
    <w:pPr>
      <w:spacing w:after="0" w:line="240" w:lineRule="auto"/>
    </w:pPr>
    <w:rPr>
      <w:rFonts w:eastAsiaTheme="minorEastAsia"/>
      <w:kern w:val="0"/>
      <w:lang w:val="en-GB" w:eastAsia="en-GB"/>
      <w14:ligatures w14:val="none"/>
    </w:rPr>
  </w:style>
  <w:style w:type="character" w:customStyle="1" w:styleId="NoSpacingChar">
    <w:name w:val="No Spacing Char"/>
    <w:basedOn w:val="DefaultParagraphFont"/>
    <w:link w:val="NoSpacing"/>
    <w:uiPriority w:val="1"/>
    <w:rsid w:val="00C50BBB"/>
    <w:rPr>
      <w:rFonts w:eastAsiaTheme="minorEastAsia"/>
      <w:kern w:val="0"/>
      <w:lang w:val="en-GB" w:eastAsia="en-GB"/>
      <w14:ligatures w14:val="none"/>
    </w:rPr>
  </w:style>
  <w:style w:type="table" w:styleId="GridTable4">
    <w:name w:val="Grid Table 4"/>
    <w:basedOn w:val="TableNormal"/>
    <w:uiPriority w:val="49"/>
    <w:rsid w:val="007D1A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EF062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E41C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610B3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2-Accent2">
    <w:name w:val="List Table 2 Accent 2"/>
    <w:basedOn w:val="TableNormal"/>
    <w:uiPriority w:val="47"/>
    <w:rsid w:val="00CE296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CE29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2">
    <w:name w:val="Grid Table 6 Colorful Accent 2"/>
    <w:basedOn w:val="TableNormal"/>
    <w:uiPriority w:val="51"/>
    <w:rsid w:val="00CE296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D1EC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482B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D7788"/>
    <w:rPr>
      <w:rFonts w:ascii="Baskerville Old Face" w:hAnsi="Baskerville Old Face" w:cs="Times New Roman"/>
      <w:b/>
      <w:bCs/>
      <w:kern w:val="0"/>
      <w:sz w:val="28"/>
      <w:szCs w:val="28"/>
      <w:lang w:val="en-GB"/>
      <w14:ligatures w14:val="none"/>
    </w:rPr>
  </w:style>
  <w:style w:type="paragraph" w:styleId="TOCHeading">
    <w:name w:val="TOC Heading"/>
    <w:basedOn w:val="Heading1"/>
    <w:next w:val="Normal"/>
    <w:uiPriority w:val="39"/>
    <w:unhideWhenUsed/>
    <w:qFormat/>
    <w:rsid w:val="00F300FD"/>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D7788"/>
    <w:pPr>
      <w:tabs>
        <w:tab w:val="right" w:leader="dot" w:pos="9350"/>
      </w:tabs>
      <w:spacing w:after="100"/>
    </w:pPr>
    <w:rPr>
      <w:b/>
      <w:bCs/>
      <w:noProof/>
    </w:rPr>
  </w:style>
  <w:style w:type="character" w:styleId="Hyperlink">
    <w:name w:val="Hyperlink"/>
    <w:basedOn w:val="DefaultParagraphFont"/>
    <w:uiPriority w:val="99"/>
    <w:unhideWhenUsed/>
    <w:rsid w:val="00F300FD"/>
    <w:rPr>
      <w:color w:val="0563C1" w:themeColor="hyperlink"/>
      <w:u w:val="single"/>
    </w:rPr>
  </w:style>
  <w:style w:type="character" w:customStyle="1" w:styleId="Heading2Char">
    <w:name w:val="Heading 2 Char"/>
    <w:basedOn w:val="DefaultParagraphFont"/>
    <w:link w:val="Heading2"/>
    <w:uiPriority w:val="9"/>
    <w:rsid w:val="00A176F4"/>
    <w:rPr>
      <w:rFonts w:ascii="Baskerville Old Face" w:eastAsiaTheme="majorEastAsia" w:hAnsi="Baskerville Old Face" w:cstheme="majorBidi"/>
      <w:b/>
      <w:sz w:val="24"/>
      <w:szCs w:val="26"/>
    </w:rPr>
  </w:style>
  <w:style w:type="character" w:customStyle="1" w:styleId="Heading3Char">
    <w:name w:val="Heading 3 Char"/>
    <w:basedOn w:val="DefaultParagraphFont"/>
    <w:link w:val="Heading3"/>
    <w:uiPriority w:val="9"/>
    <w:rsid w:val="008C5C22"/>
    <w:rPr>
      <w:rFonts w:ascii="Baskerville Old Face" w:eastAsiaTheme="majorEastAsia" w:hAnsi="Baskerville Old Face" w:cstheme="majorBidi"/>
      <w:b/>
      <w:i/>
      <w:sz w:val="24"/>
      <w:szCs w:val="24"/>
    </w:rPr>
  </w:style>
  <w:style w:type="paragraph" w:styleId="TOC2">
    <w:name w:val="toc 2"/>
    <w:basedOn w:val="Normal"/>
    <w:next w:val="Normal"/>
    <w:autoRedefine/>
    <w:uiPriority w:val="39"/>
    <w:unhideWhenUsed/>
    <w:rsid w:val="00B60669"/>
    <w:pPr>
      <w:spacing w:after="100"/>
      <w:ind w:left="220"/>
    </w:pPr>
  </w:style>
  <w:style w:type="paragraph" w:styleId="TOC3">
    <w:name w:val="toc 3"/>
    <w:basedOn w:val="Normal"/>
    <w:next w:val="Normal"/>
    <w:autoRedefine/>
    <w:uiPriority w:val="39"/>
    <w:unhideWhenUsed/>
    <w:rsid w:val="008C5C22"/>
    <w:pPr>
      <w:tabs>
        <w:tab w:val="right" w:leader="dot" w:pos="9350"/>
      </w:tabs>
      <w:spacing w:after="100"/>
      <w:ind w:left="440"/>
    </w:pPr>
    <w:rPr>
      <w:i/>
      <w:iCs/>
      <w:noProof/>
    </w:rPr>
  </w:style>
  <w:style w:type="character" w:styleId="UnresolvedMention">
    <w:name w:val="Unresolved Mention"/>
    <w:basedOn w:val="DefaultParagraphFont"/>
    <w:uiPriority w:val="99"/>
    <w:semiHidden/>
    <w:unhideWhenUsed/>
    <w:rsid w:val="00800A2A"/>
    <w:rPr>
      <w:color w:val="605E5C"/>
      <w:shd w:val="clear" w:color="auto" w:fill="E1DFDD"/>
    </w:rPr>
  </w:style>
  <w:style w:type="character" w:styleId="FollowedHyperlink">
    <w:name w:val="FollowedHyperlink"/>
    <w:basedOn w:val="DefaultParagraphFont"/>
    <w:uiPriority w:val="99"/>
    <w:semiHidden/>
    <w:unhideWhenUsed/>
    <w:rsid w:val="00800A2A"/>
    <w:rPr>
      <w:color w:val="954F72" w:themeColor="followedHyperlink"/>
      <w:u w:val="single"/>
    </w:rPr>
  </w:style>
  <w:style w:type="numbering" w:customStyle="1" w:styleId="NoList1">
    <w:name w:val="No List1"/>
    <w:next w:val="NoList"/>
    <w:uiPriority w:val="99"/>
    <w:semiHidden/>
    <w:unhideWhenUsed/>
    <w:rsid w:val="00D304CF"/>
  </w:style>
  <w:style w:type="table" w:customStyle="1" w:styleId="TableGrid1">
    <w:name w:val="Table Grid1"/>
    <w:basedOn w:val="TableNormal"/>
    <w:next w:val="TableGrid"/>
    <w:uiPriority w:val="39"/>
    <w:rsid w:val="00D304CF"/>
    <w:pPr>
      <w:spacing w:after="0" w:line="240" w:lineRule="auto"/>
    </w:pPr>
    <w:rPr>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D304CF"/>
  </w:style>
  <w:style w:type="table" w:customStyle="1" w:styleId="GridTable4-Accent11">
    <w:name w:val="Grid Table 4 - Accent 11"/>
    <w:basedOn w:val="TableNormal"/>
    <w:uiPriority w:val="49"/>
    <w:rsid w:val="00D304CF"/>
    <w:pPr>
      <w:spacing w:after="0" w:line="240" w:lineRule="auto"/>
    </w:pPr>
    <w:rPr>
      <w:rFonts w:eastAsia="DengXian"/>
      <w:kern w:val="0"/>
      <w:sz w:val="24"/>
      <w:szCs w:val="24"/>
      <w:lang w:eastAsia="zh-CN"/>
      <w14:ligatures w14:val="none"/>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1">
    <w:name w:val="Grid Table 4 - Accent 611"/>
    <w:basedOn w:val="TableNormal"/>
    <w:uiPriority w:val="49"/>
    <w:rsid w:val="00D304CF"/>
    <w:pPr>
      <w:spacing w:after="0" w:line="240" w:lineRule="auto"/>
    </w:pPr>
    <w:rPr>
      <w:kern w:val="0"/>
      <w:sz w:val="20"/>
      <w:szCs w:val="20"/>
      <w:lang w:eastAsia="zh-CN"/>
      <w14:ligatures w14:val="none"/>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uiPriority w:val="49"/>
    <w:rsid w:val="00D304CF"/>
    <w:pPr>
      <w:spacing w:after="0" w:line="240" w:lineRule="auto"/>
    </w:pPr>
    <w:rPr>
      <w:kern w:val="0"/>
      <w:sz w:val="20"/>
      <w:szCs w:val="20"/>
      <w:lang w:eastAsia="zh-CN"/>
      <w14:ligatures w14:val="none"/>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D304CF"/>
    <w:pPr>
      <w:spacing w:after="0" w:line="240" w:lineRule="auto"/>
    </w:pPr>
    <w:rPr>
      <w:kern w:val="0"/>
      <w:sz w:val="20"/>
      <w:szCs w:val="20"/>
      <w:lang w:eastAsia="zh-CN"/>
      <w14:ligatures w14:val="none"/>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1">
    <w:name w:val="Grid Table 41"/>
    <w:basedOn w:val="TableNormal"/>
    <w:uiPriority w:val="49"/>
    <w:rsid w:val="00D304CF"/>
    <w:pPr>
      <w:spacing w:after="0" w:line="240" w:lineRule="auto"/>
    </w:pPr>
    <w:rPr>
      <w:kern w:val="0"/>
      <w:sz w:val="20"/>
      <w:szCs w:val="20"/>
      <w:lang w:eastAsia="zh-CN"/>
      <w14:ligatures w14:val="none"/>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uiPriority w:val="49"/>
    <w:rsid w:val="00D304CF"/>
    <w:pPr>
      <w:spacing w:after="0" w:line="240" w:lineRule="auto"/>
    </w:pPr>
    <w:rPr>
      <w:kern w:val="0"/>
      <w:sz w:val="20"/>
      <w:szCs w:val="20"/>
      <w:lang w:eastAsia="zh-CN"/>
      <w14:ligatures w14:val="none"/>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aragraphNumbering">
    <w:name w:val="Paragraph Numbering"/>
    <w:basedOn w:val="Normal"/>
    <w:link w:val="ParagraphNumberingChar"/>
    <w:uiPriority w:val="1"/>
    <w:qFormat/>
    <w:rsid w:val="00D304CF"/>
    <w:pPr>
      <w:numPr>
        <w:numId w:val="43"/>
      </w:numPr>
      <w:spacing w:after="240" w:line="264" w:lineRule="auto"/>
    </w:pPr>
    <w:rPr>
      <w:rFonts w:ascii="Segoe UI" w:eastAsia="SimSun" w:hAnsi="Segoe UI" w:cs="Times New Roman"/>
      <w:kern w:val="0"/>
      <w:sz w:val="21"/>
      <w:szCs w:val="24"/>
      <w14:ligatures w14:val="none"/>
    </w:rPr>
  </w:style>
  <w:style w:type="character" w:customStyle="1" w:styleId="ParagraphNumberingChar">
    <w:name w:val="Paragraph Numbering Char"/>
    <w:basedOn w:val="DefaultParagraphFont"/>
    <w:link w:val="ParagraphNumbering"/>
    <w:uiPriority w:val="1"/>
    <w:locked/>
    <w:rsid w:val="00D304CF"/>
    <w:rPr>
      <w:rFonts w:ascii="Segoe UI" w:eastAsia="SimSun" w:hAnsi="Segoe UI" w:cs="Times New Roman"/>
      <w:kern w:val="0"/>
      <w:sz w:val="21"/>
      <w:szCs w:val="24"/>
      <w14:ligatures w14:val="none"/>
    </w:rPr>
  </w:style>
  <w:style w:type="table" w:customStyle="1" w:styleId="GridTable4-Accent31">
    <w:name w:val="Grid Table 4 - Accent 31"/>
    <w:basedOn w:val="TableNormal"/>
    <w:uiPriority w:val="49"/>
    <w:rsid w:val="00D304CF"/>
    <w:pPr>
      <w:spacing w:after="0" w:line="240" w:lineRule="auto"/>
    </w:pPr>
    <w:rPr>
      <w:kern w:val="0"/>
      <w:sz w:val="20"/>
      <w:szCs w:val="20"/>
      <w:lang w:eastAsia="zh-CN"/>
      <w14:ligatures w14:val="none"/>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D304CF"/>
    <w:pPr>
      <w:spacing w:after="0" w:line="240" w:lineRule="auto"/>
    </w:pPr>
    <w:rPr>
      <w:kern w:val="0"/>
      <w:sz w:val="20"/>
      <w:szCs w:val="20"/>
      <w:lang w:eastAsia="zh-CN"/>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qFormat/>
    <w:rsid w:val="00D304CF"/>
    <w:pPr>
      <w:spacing w:after="0" w:line="240" w:lineRule="auto"/>
    </w:pPr>
    <w:rPr>
      <w:kern w:val="0"/>
      <w:sz w:val="20"/>
      <w:szCs w:val="20"/>
      <w:lang w:eastAsia="zh-CN"/>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5693">
      <w:bodyDiv w:val="1"/>
      <w:marLeft w:val="0"/>
      <w:marRight w:val="0"/>
      <w:marTop w:val="0"/>
      <w:marBottom w:val="0"/>
      <w:divBdr>
        <w:top w:val="none" w:sz="0" w:space="0" w:color="auto"/>
        <w:left w:val="none" w:sz="0" w:space="0" w:color="auto"/>
        <w:bottom w:val="none" w:sz="0" w:space="0" w:color="auto"/>
        <w:right w:val="none" w:sz="0" w:space="0" w:color="auto"/>
      </w:divBdr>
    </w:div>
    <w:div w:id="46802358">
      <w:bodyDiv w:val="1"/>
      <w:marLeft w:val="0"/>
      <w:marRight w:val="0"/>
      <w:marTop w:val="0"/>
      <w:marBottom w:val="0"/>
      <w:divBdr>
        <w:top w:val="none" w:sz="0" w:space="0" w:color="auto"/>
        <w:left w:val="none" w:sz="0" w:space="0" w:color="auto"/>
        <w:bottom w:val="none" w:sz="0" w:space="0" w:color="auto"/>
        <w:right w:val="none" w:sz="0" w:space="0" w:color="auto"/>
      </w:divBdr>
    </w:div>
    <w:div w:id="68425109">
      <w:bodyDiv w:val="1"/>
      <w:marLeft w:val="0"/>
      <w:marRight w:val="0"/>
      <w:marTop w:val="0"/>
      <w:marBottom w:val="0"/>
      <w:divBdr>
        <w:top w:val="none" w:sz="0" w:space="0" w:color="auto"/>
        <w:left w:val="none" w:sz="0" w:space="0" w:color="auto"/>
        <w:bottom w:val="none" w:sz="0" w:space="0" w:color="auto"/>
        <w:right w:val="none" w:sz="0" w:space="0" w:color="auto"/>
      </w:divBdr>
    </w:div>
    <w:div w:id="261379219">
      <w:bodyDiv w:val="1"/>
      <w:marLeft w:val="0"/>
      <w:marRight w:val="0"/>
      <w:marTop w:val="0"/>
      <w:marBottom w:val="0"/>
      <w:divBdr>
        <w:top w:val="none" w:sz="0" w:space="0" w:color="auto"/>
        <w:left w:val="none" w:sz="0" w:space="0" w:color="auto"/>
        <w:bottom w:val="none" w:sz="0" w:space="0" w:color="auto"/>
        <w:right w:val="none" w:sz="0" w:space="0" w:color="auto"/>
      </w:divBdr>
    </w:div>
    <w:div w:id="340745240">
      <w:bodyDiv w:val="1"/>
      <w:marLeft w:val="0"/>
      <w:marRight w:val="0"/>
      <w:marTop w:val="0"/>
      <w:marBottom w:val="0"/>
      <w:divBdr>
        <w:top w:val="none" w:sz="0" w:space="0" w:color="auto"/>
        <w:left w:val="none" w:sz="0" w:space="0" w:color="auto"/>
        <w:bottom w:val="none" w:sz="0" w:space="0" w:color="auto"/>
        <w:right w:val="none" w:sz="0" w:space="0" w:color="auto"/>
      </w:divBdr>
    </w:div>
    <w:div w:id="509028268">
      <w:bodyDiv w:val="1"/>
      <w:marLeft w:val="0"/>
      <w:marRight w:val="0"/>
      <w:marTop w:val="0"/>
      <w:marBottom w:val="0"/>
      <w:divBdr>
        <w:top w:val="none" w:sz="0" w:space="0" w:color="auto"/>
        <w:left w:val="none" w:sz="0" w:space="0" w:color="auto"/>
        <w:bottom w:val="none" w:sz="0" w:space="0" w:color="auto"/>
        <w:right w:val="none" w:sz="0" w:space="0" w:color="auto"/>
      </w:divBdr>
    </w:div>
    <w:div w:id="527529182">
      <w:bodyDiv w:val="1"/>
      <w:marLeft w:val="0"/>
      <w:marRight w:val="0"/>
      <w:marTop w:val="0"/>
      <w:marBottom w:val="0"/>
      <w:divBdr>
        <w:top w:val="none" w:sz="0" w:space="0" w:color="auto"/>
        <w:left w:val="none" w:sz="0" w:space="0" w:color="auto"/>
        <w:bottom w:val="none" w:sz="0" w:space="0" w:color="auto"/>
        <w:right w:val="none" w:sz="0" w:space="0" w:color="auto"/>
      </w:divBdr>
    </w:div>
    <w:div w:id="543324681">
      <w:bodyDiv w:val="1"/>
      <w:marLeft w:val="0"/>
      <w:marRight w:val="0"/>
      <w:marTop w:val="0"/>
      <w:marBottom w:val="0"/>
      <w:divBdr>
        <w:top w:val="none" w:sz="0" w:space="0" w:color="auto"/>
        <w:left w:val="none" w:sz="0" w:space="0" w:color="auto"/>
        <w:bottom w:val="none" w:sz="0" w:space="0" w:color="auto"/>
        <w:right w:val="none" w:sz="0" w:space="0" w:color="auto"/>
      </w:divBdr>
    </w:div>
    <w:div w:id="630135426">
      <w:bodyDiv w:val="1"/>
      <w:marLeft w:val="0"/>
      <w:marRight w:val="0"/>
      <w:marTop w:val="0"/>
      <w:marBottom w:val="0"/>
      <w:divBdr>
        <w:top w:val="none" w:sz="0" w:space="0" w:color="auto"/>
        <w:left w:val="none" w:sz="0" w:space="0" w:color="auto"/>
        <w:bottom w:val="none" w:sz="0" w:space="0" w:color="auto"/>
        <w:right w:val="none" w:sz="0" w:space="0" w:color="auto"/>
      </w:divBdr>
    </w:div>
    <w:div w:id="641690924">
      <w:bodyDiv w:val="1"/>
      <w:marLeft w:val="0"/>
      <w:marRight w:val="0"/>
      <w:marTop w:val="0"/>
      <w:marBottom w:val="0"/>
      <w:divBdr>
        <w:top w:val="none" w:sz="0" w:space="0" w:color="auto"/>
        <w:left w:val="none" w:sz="0" w:space="0" w:color="auto"/>
        <w:bottom w:val="none" w:sz="0" w:space="0" w:color="auto"/>
        <w:right w:val="none" w:sz="0" w:space="0" w:color="auto"/>
      </w:divBdr>
    </w:div>
    <w:div w:id="697123008">
      <w:bodyDiv w:val="1"/>
      <w:marLeft w:val="0"/>
      <w:marRight w:val="0"/>
      <w:marTop w:val="0"/>
      <w:marBottom w:val="0"/>
      <w:divBdr>
        <w:top w:val="none" w:sz="0" w:space="0" w:color="auto"/>
        <w:left w:val="none" w:sz="0" w:space="0" w:color="auto"/>
        <w:bottom w:val="none" w:sz="0" w:space="0" w:color="auto"/>
        <w:right w:val="none" w:sz="0" w:space="0" w:color="auto"/>
      </w:divBdr>
    </w:div>
    <w:div w:id="706831637">
      <w:bodyDiv w:val="1"/>
      <w:marLeft w:val="0"/>
      <w:marRight w:val="0"/>
      <w:marTop w:val="0"/>
      <w:marBottom w:val="0"/>
      <w:divBdr>
        <w:top w:val="none" w:sz="0" w:space="0" w:color="auto"/>
        <w:left w:val="none" w:sz="0" w:space="0" w:color="auto"/>
        <w:bottom w:val="none" w:sz="0" w:space="0" w:color="auto"/>
        <w:right w:val="none" w:sz="0" w:space="0" w:color="auto"/>
      </w:divBdr>
    </w:div>
    <w:div w:id="846556923">
      <w:bodyDiv w:val="1"/>
      <w:marLeft w:val="0"/>
      <w:marRight w:val="0"/>
      <w:marTop w:val="0"/>
      <w:marBottom w:val="0"/>
      <w:divBdr>
        <w:top w:val="none" w:sz="0" w:space="0" w:color="auto"/>
        <w:left w:val="none" w:sz="0" w:space="0" w:color="auto"/>
        <w:bottom w:val="none" w:sz="0" w:space="0" w:color="auto"/>
        <w:right w:val="none" w:sz="0" w:space="0" w:color="auto"/>
      </w:divBdr>
    </w:div>
    <w:div w:id="892813809">
      <w:bodyDiv w:val="1"/>
      <w:marLeft w:val="0"/>
      <w:marRight w:val="0"/>
      <w:marTop w:val="0"/>
      <w:marBottom w:val="0"/>
      <w:divBdr>
        <w:top w:val="none" w:sz="0" w:space="0" w:color="auto"/>
        <w:left w:val="none" w:sz="0" w:space="0" w:color="auto"/>
        <w:bottom w:val="none" w:sz="0" w:space="0" w:color="auto"/>
        <w:right w:val="none" w:sz="0" w:space="0" w:color="auto"/>
      </w:divBdr>
    </w:div>
    <w:div w:id="941913960">
      <w:bodyDiv w:val="1"/>
      <w:marLeft w:val="0"/>
      <w:marRight w:val="0"/>
      <w:marTop w:val="0"/>
      <w:marBottom w:val="0"/>
      <w:divBdr>
        <w:top w:val="none" w:sz="0" w:space="0" w:color="auto"/>
        <w:left w:val="none" w:sz="0" w:space="0" w:color="auto"/>
        <w:bottom w:val="none" w:sz="0" w:space="0" w:color="auto"/>
        <w:right w:val="none" w:sz="0" w:space="0" w:color="auto"/>
      </w:divBdr>
    </w:div>
    <w:div w:id="969166635">
      <w:bodyDiv w:val="1"/>
      <w:marLeft w:val="0"/>
      <w:marRight w:val="0"/>
      <w:marTop w:val="0"/>
      <w:marBottom w:val="0"/>
      <w:divBdr>
        <w:top w:val="none" w:sz="0" w:space="0" w:color="auto"/>
        <w:left w:val="none" w:sz="0" w:space="0" w:color="auto"/>
        <w:bottom w:val="none" w:sz="0" w:space="0" w:color="auto"/>
        <w:right w:val="none" w:sz="0" w:space="0" w:color="auto"/>
      </w:divBdr>
    </w:div>
    <w:div w:id="1092359014">
      <w:bodyDiv w:val="1"/>
      <w:marLeft w:val="0"/>
      <w:marRight w:val="0"/>
      <w:marTop w:val="0"/>
      <w:marBottom w:val="0"/>
      <w:divBdr>
        <w:top w:val="none" w:sz="0" w:space="0" w:color="auto"/>
        <w:left w:val="none" w:sz="0" w:space="0" w:color="auto"/>
        <w:bottom w:val="none" w:sz="0" w:space="0" w:color="auto"/>
        <w:right w:val="none" w:sz="0" w:space="0" w:color="auto"/>
      </w:divBdr>
    </w:div>
    <w:div w:id="1164083115">
      <w:bodyDiv w:val="1"/>
      <w:marLeft w:val="0"/>
      <w:marRight w:val="0"/>
      <w:marTop w:val="0"/>
      <w:marBottom w:val="0"/>
      <w:divBdr>
        <w:top w:val="none" w:sz="0" w:space="0" w:color="auto"/>
        <w:left w:val="none" w:sz="0" w:space="0" w:color="auto"/>
        <w:bottom w:val="none" w:sz="0" w:space="0" w:color="auto"/>
        <w:right w:val="none" w:sz="0" w:space="0" w:color="auto"/>
      </w:divBdr>
    </w:div>
    <w:div w:id="1342926391">
      <w:bodyDiv w:val="1"/>
      <w:marLeft w:val="0"/>
      <w:marRight w:val="0"/>
      <w:marTop w:val="0"/>
      <w:marBottom w:val="0"/>
      <w:divBdr>
        <w:top w:val="none" w:sz="0" w:space="0" w:color="auto"/>
        <w:left w:val="none" w:sz="0" w:space="0" w:color="auto"/>
        <w:bottom w:val="none" w:sz="0" w:space="0" w:color="auto"/>
        <w:right w:val="none" w:sz="0" w:space="0" w:color="auto"/>
      </w:divBdr>
    </w:div>
    <w:div w:id="1435974438">
      <w:bodyDiv w:val="1"/>
      <w:marLeft w:val="0"/>
      <w:marRight w:val="0"/>
      <w:marTop w:val="0"/>
      <w:marBottom w:val="0"/>
      <w:divBdr>
        <w:top w:val="none" w:sz="0" w:space="0" w:color="auto"/>
        <w:left w:val="none" w:sz="0" w:space="0" w:color="auto"/>
        <w:bottom w:val="none" w:sz="0" w:space="0" w:color="auto"/>
        <w:right w:val="none" w:sz="0" w:space="0" w:color="auto"/>
      </w:divBdr>
    </w:div>
    <w:div w:id="1498228626">
      <w:bodyDiv w:val="1"/>
      <w:marLeft w:val="0"/>
      <w:marRight w:val="0"/>
      <w:marTop w:val="0"/>
      <w:marBottom w:val="0"/>
      <w:divBdr>
        <w:top w:val="none" w:sz="0" w:space="0" w:color="auto"/>
        <w:left w:val="none" w:sz="0" w:space="0" w:color="auto"/>
        <w:bottom w:val="none" w:sz="0" w:space="0" w:color="auto"/>
        <w:right w:val="none" w:sz="0" w:space="0" w:color="auto"/>
      </w:divBdr>
    </w:div>
    <w:div w:id="1511095475">
      <w:bodyDiv w:val="1"/>
      <w:marLeft w:val="0"/>
      <w:marRight w:val="0"/>
      <w:marTop w:val="0"/>
      <w:marBottom w:val="0"/>
      <w:divBdr>
        <w:top w:val="none" w:sz="0" w:space="0" w:color="auto"/>
        <w:left w:val="none" w:sz="0" w:space="0" w:color="auto"/>
        <w:bottom w:val="none" w:sz="0" w:space="0" w:color="auto"/>
        <w:right w:val="none" w:sz="0" w:space="0" w:color="auto"/>
      </w:divBdr>
    </w:div>
    <w:div w:id="1536582652">
      <w:bodyDiv w:val="1"/>
      <w:marLeft w:val="0"/>
      <w:marRight w:val="0"/>
      <w:marTop w:val="0"/>
      <w:marBottom w:val="0"/>
      <w:divBdr>
        <w:top w:val="none" w:sz="0" w:space="0" w:color="auto"/>
        <w:left w:val="none" w:sz="0" w:space="0" w:color="auto"/>
        <w:bottom w:val="none" w:sz="0" w:space="0" w:color="auto"/>
        <w:right w:val="none" w:sz="0" w:space="0" w:color="auto"/>
      </w:divBdr>
    </w:div>
    <w:div w:id="1678770599">
      <w:bodyDiv w:val="1"/>
      <w:marLeft w:val="0"/>
      <w:marRight w:val="0"/>
      <w:marTop w:val="0"/>
      <w:marBottom w:val="0"/>
      <w:divBdr>
        <w:top w:val="none" w:sz="0" w:space="0" w:color="auto"/>
        <w:left w:val="none" w:sz="0" w:space="0" w:color="auto"/>
        <w:bottom w:val="none" w:sz="0" w:space="0" w:color="auto"/>
        <w:right w:val="none" w:sz="0" w:space="0" w:color="auto"/>
      </w:divBdr>
    </w:div>
    <w:div w:id="1743790691">
      <w:bodyDiv w:val="1"/>
      <w:marLeft w:val="0"/>
      <w:marRight w:val="0"/>
      <w:marTop w:val="0"/>
      <w:marBottom w:val="0"/>
      <w:divBdr>
        <w:top w:val="none" w:sz="0" w:space="0" w:color="auto"/>
        <w:left w:val="none" w:sz="0" w:space="0" w:color="auto"/>
        <w:bottom w:val="none" w:sz="0" w:space="0" w:color="auto"/>
        <w:right w:val="none" w:sz="0" w:space="0" w:color="auto"/>
      </w:divBdr>
    </w:div>
    <w:div w:id="1821075271">
      <w:bodyDiv w:val="1"/>
      <w:marLeft w:val="0"/>
      <w:marRight w:val="0"/>
      <w:marTop w:val="0"/>
      <w:marBottom w:val="0"/>
      <w:divBdr>
        <w:top w:val="none" w:sz="0" w:space="0" w:color="auto"/>
        <w:left w:val="none" w:sz="0" w:space="0" w:color="auto"/>
        <w:bottom w:val="none" w:sz="0" w:space="0" w:color="auto"/>
        <w:right w:val="none" w:sz="0" w:space="0" w:color="auto"/>
      </w:divBdr>
    </w:div>
    <w:div w:id="1891111761">
      <w:bodyDiv w:val="1"/>
      <w:marLeft w:val="0"/>
      <w:marRight w:val="0"/>
      <w:marTop w:val="0"/>
      <w:marBottom w:val="0"/>
      <w:divBdr>
        <w:top w:val="none" w:sz="0" w:space="0" w:color="auto"/>
        <w:left w:val="none" w:sz="0" w:space="0" w:color="auto"/>
        <w:bottom w:val="none" w:sz="0" w:space="0" w:color="auto"/>
        <w:right w:val="none" w:sz="0" w:space="0" w:color="auto"/>
      </w:divBdr>
    </w:div>
    <w:div w:id="1906605632">
      <w:bodyDiv w:val="1"/>
      <w:marLeft w:val="0"/>
      <w:marRight w:val="0"/>
      <w:marTop w:val="0"/>
      <w:marBottom w:val="0"/>
      <w:divBdr>
        <w:top w:val="none" w:sz="0" w:space="0" w:color="auto"/>
        <w:left w:val="none" w:sz="0" w:space="0" w:color="auto"/>
        <w:bottom w:val="none" w:sz="0" w:space="0" w:color="auto"/>
        <w:right w:val="none" w:sz="0" w:space="0" w:color="auto"/>
      </w:divBdr>
    </w:div>
    <w:div w:id="1930191172">
      <w:bodyDiv w:val="1"/>
      <w:marLeft w:val="0"/>
      <w:marRight w:val="0"/>
      <w:marTop w:val="0"/>
      <w:marBottom w:val="0"/>
      <w:divBdr>
        <w:top w:val="none" w:sz="0" w:space="0" w:color="auto"/>
        <w:left w:val="none" w:sz="0" w:space="0" w:color="auto"/>
        <w:bottom w:val="none" w:sz="0" w:space="0" w:color="auto"/>
        <w:right w:val="none" w:sz="0" w:space="0" w:color="auto"/>
      </w:divBdr>
    </w:div>
    <w:div w:id="1985426190">
      <w:bodyDiv w:val="1"/>
      <w:marLeft w:val="0"/>
      <w:marRight w:val="0"/>
      <w:marTop w:val="0"/>
      <w:marBottom w:val="0"/>
      <w:divBdr>
        <w:top w:val="none" w:sz="0" w:space="0" w:color="auto"/>
        <w:left w:val="none" w:sz="0" w:space="0" w:color="auto"/>
        <w:bottom w:val="none" w:sz="0" w:space="0" w:color="auto"/>
        <w:right w:val="none" w:sz="0" w:space="0" w:color="auto"/>
      </w:divBdr>
    </w:div>
    <w:div w:id="2030182467">
      <w:bodyDiv w:val="1"/>
      <w:marLeft w:val="0"/>
      <w:marRight w:val="0"/>
      <w:marTop w:val="0"/>
      <w:marBottom w:val="0"/>
      <w:divBdr>
        <w:top w:val="none" w:sz="0" w:space="0" w:color="auto"/>
        <w:left w:val="none" w:sz="0" w:space="0" w:color="auto"/>
        <w:bottom w:val="none" w:sz="0" w:space="0" w:color="auto"/>
        <w:right w:val="none" w:sz="0" w:space="0" w:color="auto"/>
      </w:divBdr>
    </w:div>
    <w:div w:id="20907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4/relationships/chartEx" Target="charts/chartEx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mkargbo\Documents\Domestic%20Revenue%202023%20Janu-August%20and%20forcast%20%20revised%20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sseymour-wilson\Desktop\MRP%20Work%202024\Annual%20Report\Annual%20Report%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seymour-wilson\Desktop\MRP%20Work%202024\Annual%20Report\Annual%20Report%202023.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sseymour-wilson\Desktop\MRP%20Work%202024\Annual%20Report\Annual%20Report%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40" b="1" i="0" u="none" strike="noStrike" kern="1200" baseline="0">
                <a:solidFill>
                  <a:schemeClr val="dk1">
                    <a:lumMod val="75000"/>
                    <a:lumOff val="25000"/>
                  </a:schemeClr>
                </a:solidFill>
                <a:latin typeface="Baskerville Old Face" panose="02020602080505020303" pitchFamily="1" charset="0"/>
                <a:ea typeface="+mn-ea"/>
                <a:cs typeface="+mn-cs"/>
              </a:defRPr>
            </a:pPr>
            <a:r>
              <a:rPr lang="en-US" sz="1100"/>
              <a:t>Fig 4: Quarterly Trend of 2023 Doestic Revenue (NLe million)</a:t>
            </a:r>
          </a:p>
        </c:rich>
      </c:tx>
      <c:overlay val="0"/>
      <c:spPr>
        <a:noFill/>
        <a:ln>
          <a:noFill/>
        </a:ln>
        <a:effectLst/>
      </c:spPr>
      <c:txPr>
        <a:bodyPr rot="0" spcFirstLastPara="1" vertOverflow="ellipsis" vert="horz" wrap="square" anchor="ctr" anchorCtr="1"/>
        <a:lstStyle/>
        <a:p>
          <a:pPr>
            <a:defRPr lang="en-US" sz="1440" b="1" i="0" u="none" strike="noStrike" kern="1200" baseline="0">
              <a:solidFill>
                <a:schemeClr val="dk1">
                  <a:lumMod val="75000"/>
                  <a:lumOff val="25000"/>
                </a:schemeClr>
              </a:solidFill>
              <a:latin typeface="Baskerville Old Face" panose="02020602080505020303" pitchFamily="1" charset="0"/>
              <a:ea typeface="+mn-ea"/>
              <a:cs typeface="+mn-cs"/>
            </a:defRPr>
          </a:pPr>
          <a:endParaRPr lang="en-US"/>
        </a:p>
      </c:txPr>
    </c:title>
    <c:autoTitleDeleted val="0"/>
    <c:plotArea>
      <c:layout/>
      <c:lineChart>
        <c:grouping val="standard"/>
        <c:varyColors val="0"/>
        <c:ser>
          <c:idx val="0"/>
          <c:order val="0"/>
          <c:tx>
            <c:strRef>
              <c:f>Sheet1!$A$2</c:f>
              <c:strCache>
                <c:ptCount val="1"/>
                <c:pt idx="0">
                  <c:v>TOTAL REVENUES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lstStyle/>
              <a:p>
                <a:pPr>
                  <a:defRPr lang="en-US" sz="1200" b="1" i="0" u="none" strike="noStrike" kern="1200" baseline="0">
                    <a:solidFill>
                      <a:sysClr val="windowText" lastClr="000000"/>
                    </a:solidFill>
                    <a:latin typeface="Baskerville Old Face" panose="02020602080505020303" pitchFamily="1" charset="0"/>
                    <a:ea typeface="+mn-ea"/>
                    <a:cs typeface="+mn-cs"/>
                  </a:defRPr>
                </a:pPr>
                <a:endParaRPr lang="en-S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Sheet1!$B$1:$E$1</c:f>
              <c:strCache>
                <c:ptCount val="4"/>
                <c:pt idx="0">
                  <c:v>Q1 </c:v>
                </c:pt>
                <c:pt idx="1">
                  <c:v>Q2</c:v>
                </c:pt>
                <c:pt idx="2">
                  <c:v>Q3 </c:v>
                </c:pt>
                <c:pt idx="3">
                  <c:v>Q4 </c:v>
                </c:pt>
              </c:strCache>
            </c:strRef>
          </c:cat>
          <c:val>
            <c:numRef>
              <c:f>Sheet1!$B$2:$E$2</c:f>
              <c:numCache>
                <c:formatCode>_(* #,##0_);_(* \(#,##0\);_(* "-"_);_(@_)</c:formatCode>
                <c:ptCount val="4"/>
                <c:pt idx="0">
                  <c:v>2335.5161317090001</c:v>
                </c:pt>
                <c:pt idx="1">
                  <c:v>2355.4718971000002</c:v>
                </c:pt>
                <c:pt idx="2">
                  <c:v>2485.0056717100001</c:v>
                </c:pt>
                <c:pt idx="3">
                  <c:v>2924.4696720950001</c:v>
                </c:pt>
              </c:numCache>
            </c:numRef>
          </c:val>
          <c:smooth val="0"/>
          <c:extLst>
            <c:ext xmlns:c16="http://schemas.microsoft.com/office/drawing/2014/chart" uri="{C3380CC4-5D6E-409C-BE32-E72D297353CC}">
              <c16:uniqueId val="{00000000-A70A-43E6-A0BA-9C8863C0E0FD}"/>
            </c:ext>
          </c:extLst>
        </c:ser>
        <c:dLbls>
          <c:showLegendKey val="0"/>
          <c:showVal val="1"/>
          <c:showCatName val="0"/>
          <c:showSerName val="0"/>
          <c:showPercent val="0"/>
          <c:showBubbleSize val="0"/>
        </c:dLbls>
        <c:marker val="1"/>
        <c:smooth val="0"/>
        <c:axId val="1474739215"/>
        <c:axId val="1736156687"/>
      </c:lineChart>
      <c:catAx>
        <c:axId val="147473921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1200" b="0" i="0" u="none" strike="noStrike" kern="1200" cap="all" baseline="0">
                <a:solidFill>
                  <a:schemeClr val="dk1">
                    <a:lumMod val="75000"/>
                    <a:lumOff val="25000"/>
                  </a:schemeClr>
                </a:solidFill>
                <a:latin typeface="Baskerville Old Face" panose="02020602080505020303" pitchFamily="1" charset="0"/>
                <a:ea typeface="+mn-ea"/>
                <a:cs typeface="+mn-cs"/>
              </a:defRPr>
            </a:pPr>
            <a:endParaRPr lang="en-SL"/>
          </a:p>
        </c:txPr>
        <c:crossAx val="1736156687"/>
        <c:crosses val="autoZero"/>
        <c:auto val="1"/>
        <c:lblAlgn val="ctr"/>
        <c:lblOffset val="100"/>
        <c:noMultiLvlLbl val="0"/>
      </c:catAx>
      <c:valAx>
        <c:axId val="1736156687"/>
        <c:scaling>
          <c:orientation val="minMax"/>
        </c:scaling>
        <c:delete val="1"/>
        <c:axPos val="l"/>
        <c:numFmt formatCode="_(* #,##0_);_(* \(#,##0\);_(* &quot;-&quot;_);_(@_)" sourceLinked="1"/>
        <c:majorTickMark val="none"/>
        <c:minorTickMark val="none"/>
        <c:tickLblPos val="nextTo"/>
        <c:crossAx val="1474739215"/>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sz="1200">
          <a:latin typeface="Baskerville Old Face" panose="02020602080505020303" pitchFamily="1" charset="0"/>
        </a:defRPr>
      </a:pPr>
      <a:endParaRPr lang="en-S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'Revenue Trend'!$H$6</c:f>
              <c:strCache>
                <c:ptCount val="1"/>
                <c:pt idx="0">
                  <c:v>Domestic Tax Department (DTD)</c:v>
                </c:pt>
              </c:strCache>
            </c:strRef>
          </c:tx>
          <c:spPr>
            <a:solidFill>
              <a:schemeClr val="accent2"/>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Trend'!$I$6:$M$6</c:f>
              <c:numCache>
                <c:formatCode>#,##0</c:formatCode>
                <c:ptCount val="5"/>
                <c:pt idx="0">
                  <c:v>2906714</c:v>
                </c:pt>
                <c:pt idx="1">
                  <c:v>3038445</c:v>
                </c:pt>
                <c:pt idx="2">
                  <c:v>3692883</c:v>
                </c:pt>
                <c:pt idx="3">
                  <c:v>4325052</c:v>
                </c:pt>
                <c:pt idx="4">
                  <c:v>6087739.2652600007</c:v>
                </c:pt>
              </c:numCache>
            </c:numRef>
          </c:val>
          <c:extLst>
            <c:ext xmlns:c16="http://schemas.microsoft.com/office/drawing/2014/chart" uri="{C3380CC4-5D6E-409C-BE32-E72D297353CC}">
              <c16:uniqueId val="{00000000-B7C4-4170-AACC-B87CF85959EB}"/>
            </c:ext>
          </c:extLst>
        </c:ser>
        <c:ser>
          <c:idx val="2"/>
          <c:order val="2"/>
          <c:tx>
            <c:strRef>
              <c:f>'Revenue Trend'!$H$7</c:f>
              <c:strCache>
                <c:ptCount val="1"/>
                <c:pt idx="0">
                  <c:v>Customs Services Department (CSD)</c:v>
                </c:pt>
              </c:strCache>
            </c:strRef>
          </c:tx>
          <c:spPr>
            <a:solidFill>
              <a:schemeClr val="accent3"/>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Trend'!$I$7:$M$7</c:f>
              <c:numCache>
                <c:formatCode>#,##0</c:formatCode>
                <c:ptCount val="5"/>
                <c:pt idx="0">
                  <c:v>1313905</c:v>
                </c:pt>
                <c:pt idx="1">
                  <c:v>1220656</c:v>
                </c:pt>
                <c:pt idx="2">
                  <c:v>1288651</c:v>
                </c:pt>
                <c:pt idx="3">
                  <c:v>1238079</c:v>
                </c:pt>
                <c:pt idx="4">
                  <c:v>1763821</c:v>
                </c:pt>
              </c:numCache>
            </c:numRef>
          </c:val>
          <c:extLst>
            <c:ext xmlns:c16="http://schemas.microsoft.com/office/drawing/2014/chart" uri="{C3380CC4-5D6E-409C-BE32-E72D297353CC}">
              <c16:uniqueId val="{00000001-B7C4-4170-AACC-B87CF85959EB}"/>
            </c:ext>
          </c:extLst>
        </c:ser>
        <c:ser>
          <c:idx val="3"/>
          <c:order val="3"/>
          <c:tx>
            <c:strRef>
              <c:f>'Revenue Trend'!$H$8</c:f>
              <c:strCache>
                <c:ptCount val="1"/>
                <c:pt idx="0">
                  <c:v>Non-Tax Revenue Department (NTR)</c:v>
                </c:pt>
              </c:strCache>
            </c:strRef>
          </c:tx>
          <c:spPr>
            <a:solidFill>
              <a:schemeClr val="accent4"/>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Trend'!$I$8:$M$8</c:f>
              <c:numCache>
                <c:formatCode>#,##0</c:formatCode>
                <c:ptCount val="5"/>
                <c:pt idx="0">
                  <c:v>1090200</c:v>
                </c:pt>
                <c:pt idx="1">
                  <c:v>1123645</c:v>
                </c:pt>
                <c:pt idx="2">
                  <c:v>1723731</c:v>
                </c:pt>
                <c:pt idx="3">
                  <c:v>1447323</c:v>
                </c:pt>
                <c:pt idx="4">
                  <c:v>2042233.6233331207</c:v>
                </c:pt>
              </c:numCache>
            </c:numRef>
          </c:val>
          <c:extLst>
            <c:ext xmlns:c16="http://schemas.microsoft.com/office/drawing/2014/chart" uri="{C3380CC4-5D6E-409C-BE32-E72D297353CC}">
              <c16:uniqueId val="{00000002-B7C4-4170-AACC-B87CF85959EB}"/>
            </c:ext>
          </c:extLst>
        </c:ser>
        <c:ser>
          <c:idx val="4"/>
          <c:order val="4"/>
          <c:tx>
            <c:strRef>
              <c:f>'Revenue Trend'!$H$9</c:f>
              <c:strCache>
                <c:ptCount val="1"/>
                <c:pt idx="0">
                  <c:v>Road User Charges </c:v>
                </c:pt>
              </c:strCache>
            </c:strRef>
          </c:tx>
          <c:spPr>
            <a:solidFill>
              <a:schemeClr val="accent5"/>
            </a:solidFill>
            <a:ln>
              <a:noFill/>
            </a:ln>
            <a:effectLst/>
          </c:spPr>
          <c:invertIfNegative val="0"/>
          <c:cat>
            <c:numRef>
              <c:f>'Revenue Trend'!$I$4:$M$4</c:f>
              <c:numCache>
                <c:formatCode>General</c:formatCode>
                <c:ptCount val="5"/>
                <c:pt idx="0">
                  <c:v>2019</c:v>
                </c:pt>
                <c:pt idx="1">
                  <c:v>2020</c:v>
                </c:pt>
                <c:pt idx="2">
                  <c:v>2021</c:v>
                </c:pt>
                <c:pt idx="3">
                  <c:v>2022</c:v>
                </c:pt>
                <c:pt idx="4">
                  <c:v>2023</c:v>
                </c:pt>
              </c:numCache>
            </c:numRef>
          </c:cat>
          <c:val>
            <c:numRef>
              <c:f>'Revenue Trend'!$I$9:$M$9</c:f>
              <c:numCache>
                <c:formatCode>#,##0</c:formatCode>
                <c:ptCount val="5"/>
                <c:pt idx="0">
                  <c:v>106286</c:v>
                </c:pt>
                <c:pt idx="1">
                  <c:v>117881</c:v>
                </c:pt>
                <c:pt idx="2">
                  <c:v>211839</c:v>
                </c:pt>
                <c:pt idx="3">
                  <c:v>172231</c:v>
                </c:pt>
                <c:pt idx="4">
                  <c:v>206669</c:v>
                </c:pt>
              </c:numCache>
            </c:numRef>
          </c:val>
          <c:extLst>
            <c:ext xmlns:c16="http://schemas.microsoft.com/office/drawing/2014/chart" uri="{C3380CC4-5D6E-409C-BE32-E72D297353CC}">
              <c16:uniqueId val="{00000003-B7C4-4170-AACC-B87CF85959EB}"/>
            </c:ext>
          </c:extLst>
        </c:ser>
        <c:dLbls>
          <c:showLegendKey val="0"/>
          <c:showVal val="0"/>
          <c:showCatName val="0"/>
          <c:showSerName val="0"/>
          <c:showPercent val="0"/>
          <c:showBubbleSize val="0"/>
        </c:dLbls>
        <c:gapWidth val="269"/>
        <c:axId val="1073511360"/>
        <c:axId val="1223033024"/>
      </c:barChart>
      <c:lineChart>
        <c:grouping val="standard"/>
        <c:varyColors val="0"/>
        <c:ser>
          <c:idx val="0"/>
          <c:order val="0"/>
          <c:tx>
            <c:strRef>
              <c:f>'Revenue Trend'!$H$5</c:f>
              <c:strCache>
                <c:ptCount val="1"/>
                <c:pt idx="0">
                  <c:v> Total Domestic Revenue </c:v>
                </c:pt>
              </c:strCache>
            </c:strRef>
          </c:tx>
          <c:spPr>
            <a:ln w="38100" cap="rnd">
              <a:solidFill>
                <a:schemeClr val="accent1"/>
              </a:solidFill>
              <a:round/>
            </a:ln>
            <a:effectLst/>
          </c:spPr>
          <c:marker>
            <c:symbol val="none"/>
          </c:marker>
          <c:cat>
            <c:numRef>
              <c:f>'Revenue Trend'!$I$4:$M$4</c:f>
              <c:numCache>
                <c:formatCode>General</c:formatCode>
                <c:ptCount val="5"/>
                <c:pt idx="0">
                  <c:v>2019</c:v>
                </c:pt>
                <c:pt idx="1">
                  <c:v>2020</c:v>
                </c:pt>
                <c:pt idx="2">
                  <c:v>2021</c:v>
                </c:pt>
                <c:pt idx="3">
                  <c:v>2022</c:v>
                </c:pt>
                <c:pt idx="4">
                  <c:v>2023</c:v>
                </c:pt>
              </c:numCache>
            </c:numRef>
          </c:cat>
          <c:val>
            <c:numRef>
              <c:f>'Revenue Trend'!$I$5:$M$5</c:f>
              <c:numCache>
                <c:formatCode>#,##0</c:formatCode>
                <c:ptCount val="5"/>
                <c:pt idx="0">
                  <c:v>5417105</c:v>
                </c:pt>
                <c:pt idx="1">
                  <c:v>5500627</c:v>
                </c:pt>
                <c:pt idx="2">
                  <c:v>6917104</c:v>
                </c:pt>
                <c:pt idx="3">
                  <c:v>7182685</c:v>
                </c:pt>
                <c:pt idx="4">
                  <c:v>10100462.888593122</c:v>
                </c:pt>
              </c:numCache>
            </c:numRef>
          </c:val>
          <c:smooth val="0"/>
          <c:extLst>
            <c:ext xmlns:c16="http://schemas.microsoft.com/office/drawing/2014/chart" uri="{C3380CC4-5D6E-409C-BE32-E72D297353CC}">
              <c16:uniqueId val="{00000004-B7C4-4170-AACC-B87CF85959EB}"/>
            </c:ext>
          </c:extLst>
        </c:ser>
        <c:dLbls>
          <c:showLegendKey val="0"/>
          <c:showVal val="0"/>
          <c:showCatName val="0"/>
          <c:showSerName val="0"/>
          <c:showPercent val="0"/>
          <c:showBubbleSize val="0"/>
        </c:dLbls>
        <c:marker val="1"/>
        <c:smooth val="0"/>
        <c:axId val="1072333632"/>
        <c:axId val="1078248480"/>
      </c:lineChart>
      <c:catAx>
        <c:axId val="1073511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Baskerville Old Face" panose="02020602080505020303" pitchFamily="18" charset="0"/>
                <a:ea typeface="+mn-ea"/>
                <a:cs typeface="+mn-cs"/>
              </a:defRPr>
            </a:pPr>
            <a:endParaRPr lang="en-SL"/>
          </a:p>
        </c:txPr>
        <c:crossAx val="1223033024"/>
        <c:crosses val="autoZero"/>
        <c:auto val="1"/>
        <c:lblAlgn val="ctr"/>
        <c:lblOffset val="100"/>
        <c:noMultiLvlLbl val="0"/>
      </c:catAx>
      <c:valAx>
        <c:axId val="12230330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073511360"/>
        <c:crosses val="autoZero"/>
        <c:crossBetween val="between"/>
      </c:valAx>
      <c:valAx>
        <c:axId val="107824848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072333632"/>
        <c:crosses val="max"/>
        <c:crossBetween val="between"/>
      </c:valAx>
      <c:catAx>
        <c:axId val="1072333632"/>
        <c:scaling>
          <c:orientation val="minMax"/>
        </c:scaling>
        <c:delete val="1"/>
        <c:axPos val="b"/>
        <c:numFmt formatCode="General" sourceLinked="1"/>
        <c:majorTickMark val="out"/>
        <c:minorTickMark val="none"/>
        <c:tickLblPos val="nextTo"/>
        <c:crossAx val="1078248480"/>
        <c:crosses val="autoZero"/>
        <c:auto val="1"/>
        <c:lblAlgn val="ctr"/>
        <c:lblOffset val="100"/>
        <c:noMultiLvlLbl val="0"/>
      </c:catAx>
      <c:spPr>
        <a:noFill/>
        <a:ln>
          <a:noFill/>
        </a:ln>
        <a:effectLst/>
      </c:spPr>
    </c:plotArea>
    <c:legend>
      <c:legendPos val="b"/>
      <c:layout>
        <c:manualLayout>
          <c:xMode val="edge"/>
          <c:yMode val="edge"/>
          <c:x val="5.1704338428284688E-2"/>
          <c:y val="0.83340781405044229"/>
          <c:w val="0.90443446039833253"/>
          <c:h val="0.148459819675759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HR!$E$22</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HR!$D$23:$D$28</c:f>
              <c:strCache>
                <c:ptCount val="6"/>
                <c:pt idx="0">
                  <c:v>Retirement</c:v>
                </c:pt>
                <c:pt idx="1">
                  <c:v>Resignation</c:v>
                </c:pt>
                <c:pt idx="2">
                  <c:v>Termination</c:v>
                </c:pt>
                <c:pt idx="3">
                  <c:v>Boarding</c:v>
                </c:pt>
                <c:pt idx="4">
                  <c:v>Death</c:v>
                </c:pt>
                <c:pt idx="5">
                  <c:v>Summary Dismissal</c:v>
                </c:pt>
              </c:strCache>
            </c:strRef>
          </c:cat>
          <c:val>
            <c:numRef>
              <c:f>HR!$E$23:$E$28</c:f>
              <c:numCache>
                <c:formatCode>General</c:formatCode>
                <c:ptCount val="6"/>
                <c:pt idx="0">
                  <c:v>11</c:v>
                </c:pt>
                <c:pt idx="1">
                  <c:v>11</c:v>
                </c:pt>
                <c:pt idx="2">
                  <c:v>2</c:v>
                </c:pt>
                <c:pt idx="3">
                  <c:v>2</c:v>
                </c:pt>
                <c:pt idx="4">
                  <c:v>4</c:v>
                </c:pt>
                <c:pt idx="5">
                  <c:v>2</c:v>
                </c:pt>
              </c:numCache>
            </c:numRef>
          </c:val>
          <c:extLst>
            <c:ext xmlns:c16="http://schemas.microsoft.com/office/drawing/2014/chart" uri="{C3380CC4-5D6E-409C-BE32-E72D297353CC}">
              <c16:uniqueId val="{00000000-3E9A-42CB-B4D1-9E08572276D9}"/>
            </c:ext>
          </c:extLst>
        </c:ser>
        <c:ser>
          <c:idx val="1"/>
          <c:order val="1"/>
          <c:tx>
            <c:strRef>
              <c:f>HR!$F$22</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HR!$D$23:$D$28</c:f>
              <c:strCache>
                <c:ptCount val="6"/>
                <c:pt idx="0">
                  <c:v>Retirement</c:v>
                </c:pt>
                <c:pt idx="1">
                  <c:v>Resignation</c:v>
                </c:pt>
                <c:pt idx="2">
                  <c:v>Termination</c:v>
                </c:pt>
                <c:pt idx="3">
                  <c:v>Boarding</c:v>
                </c:pt>
                <c:pt idx="4">
                  <c:v>Death</c:v>
                </c:pt>
                <c:pt idx="5">
                  <c:v>Summary Dismissal</c:v>
                </c:pt>
              </c:strCache>
            </c:strRef>
          </c:cat>
          <c:val>
            <c:numRef>
              <c:f>HR!$F$23:$F$28</c:f>
              <c:numCache>
                <c:formatCode>General</c:formatCode>
                <c:ptCount val="6"/>
                <c:pt idx="0">
                  <c:v>14</c:v>
                </c:pt>
                <c:pt idx="1">
                  <c:v>12</c:v>
                </c:pt>
                <c:pt idx="2">
                  <c:v>4</c:v>
                </c:pt>
                <c:pt idx="3">
                  <c:v>1</c:v>
                </c:pt>
                <c:pt idx="4">
                  <c:v>1</c:v>
                </c:pt>
                <c:pt idx="5">
                  <c:v>0</c:v>
                </c:pt>
              </c:numCache>
            </c:numRef>
          </c:val>
          <c:extLst>
            <c:ext xmlns:c16="http://schemas.microsoft.com/office/drawing/2014/chart" uri="{C3380CC4-5D6E-409C-BE32-E72D297353CC}">
              <c16:uniqueId val="{00000001-3E9A-42CB-B4D1-9E08572276D9}"/>
            </c:ext>
          </c:extLst>
        </c:ser>
        <c:dLbls>
          <c:showLegendKey val="0"/>
          <c:showVal val="0"/>
          <c:showCatName val="0"/>
          <c:showSerName val="0"/>
          <c:showPercent val="0"/>
          <c:showBubbleSize val="0"/>
        </c:dLbls>
        <c:gapWidth val="182"/>
        <c:axId val="1970891792"/>
        <c:axId val="25791072"/>
      </c:barChart>
      <c:catAx>
        <c:axId val="197089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25791072"/>
        <c:crosses val="autoZero"/>
        <c:auto val="1"/>
        <c:lblAlgn val="ctr"/>
        <c:lblOffset val="100"/>
        <c:noMultiLvlLbl val="0"/>
      </c:catAx>
      <c:valAx>
        <c:axId val="25791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97089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Sheet1!$G$3</c:f>
              <c:strCache>
                <c:ptCount val="1"/>
                <c:pt idx="0">
                  <c:v>2023</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Baskerville Old Face" panose="02020602080505020303" pitchFamily="18" charset="0"/>
                    <a:ea typeface="+mn-ea"/>
                    <a:cs typeface="+mn-cs"/>
                  </a:defRPr>
                </a:pPr>
                <a:endParaRPr lang="en-S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Sheet1!$F$4:$F$13</c:f>
              <c:strCache>
                <c:ptCount val="10"/>
                <c:pt idx="0">
                  <c:v>CGT</c:v>
                </c:pt>
                <c:pt idx="1">
                  <c:v>CIT</c:v>
                </c:pt>
                <c:pt idx="2">
                  <c:v>Excise Tax</c:v>
                </c:pt>
                <c:pt idx="3">
                  <c:v> FTT </c:v>
                </c:pt>
                <c:pt idx="4">
                  <c:v>GST</c:v>
                </c:pt>
                <c:pt idx="5">
                  <c:v>PAYE</c:v>
                </c:pt>
                <c:pt idx="6">
                  <c:v>Payroll Tax</c:v>
                </c:pt>
                <c:pt idx="7">
                  <c:v>PIT</c:v>
                </c:pt>
                <c:pt idx="8">
                  <c:v>Rental Income Tax</c:v>
                </c:pt>
                <c:pt idx="9">
                  <c:v>WHT</c:v>
                </c:pt>
              </c:strCache>
            </c:strRef>
          </c:cat>
          <c:val>
            <c:numRef>
              <c:f>Sheet1!$G$4:$G$13</c:f>
              <c:numCache>
                <c:formatCode>0.00%</c:formatCode>
                <c:ptCount val="10"/>
                <c:pt idx="0">
                  <c:v>0.1205925925925926</c:v>
                </c:pt>
                <c:pt idx="1">
                  <c:v>7.0370370370370375E-2</c:v>
                </c:pt>
                <c:pt idx="2">
                  <c:v>1.4814814814814815E-4</c:v>
                </c:pt>
                <c:pt idx="4">
                  <c:v>2.6814814814814816E-2</c:v>
                </c:pt>
                <c:pt idx="5">
                  <c:v>4.0888888888888891E-2</c:v>
                </c:pt>
                <c:pt idx="6">
                  <c:v>6.0740740740740738E-3</c:v>
                </c:pt>
                <c:pt idx="7">
                  <c:v>0.55185185185185182</c:v>
                </c:pt>
                <c:pt idx="8">
                  <c:v>3.8814814814814816E-2</c:v>
                </c:pt>
                <c:pt idx="9">
                  <c:v>0.14444444444444443</c:v>
                </c:pt>
              </c:numCache>
            </c:numRef>
          </c:val>
          <c:extLst>
            <c:ext xmlns:c16="http://schemas.microsoft.com/office/drawing/2014/chart" uri="{C3380CC4-5D6E-409C-BE32-E72D297353CC}">
              <c16:uniqueId val="{00000000-6243-44E2-B803-D191FD29B870}"/>
            </c:ext>
          </c:extLst>
        </c:ser>
        <c:ser>
          <c:idx val="1"/>
          <c:order val="1"/>
          <c:tx>
            <c:strRef>
              <c:f>Sheet1!$H$3</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chemeClr val="tx1">
                        <a:lumMod val="50000"/>
                        <a:lumOff val="50000"/>
                      </a:schemeClr>
                    </a:solidFill>
                    <a:latin typeface="Baskerville Old Face" panose="02020602080505020303" pitchFamily="18" charset="0"/>
                    <a:ea typeface="+mn-ea"/>
                    <a:cs typeface="+mn-cs"/>
                  </a:defRPr>
                </a:pPr>
                <a:endParaRPr lang="en-S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Sheet1!$F$4:$F$13</c:f>
              <c:strCache>
                <c:ptCount val="10"/>
                <c:pt idx="0">
                  <c:v>CGT</c:v>
                </c:pt>
                <c:pt idx="1">
                  <c:v>CIT</c:v>
                </c:pt>
                <c:pt idx="2">
                  <c:v>Excise Tax</c:v>
                </c:pt>
                <c:pt idx="3">
                  <c:v> FTT </c:v>
                </c:pt>
                <c:pt idx="4">
                  <c:v>GST</c:v>
                </c:pt>
                <c:pt idx="5">
                  <c:v>PAYE</c:v>
                </c:pt>
                <c:pt idx="6">
                  <c:v>Payroll Tax</c:v>
                </c:pt>
                <c:pt idx="7">
                  <c:v>PIT</c:v>
                </c:pt>
                <c:pt idx="8">
                  <c:v>Rental Income Tax</c:v>
                </c:pt>
                <c:pt idx="9">
                  <c:v>WHT</c:v>
                </c:pt>
              </c:strCache>
            </c:strRef>
          </c:cat>
          <c:val>
            <c:numRef>
              <c:f>Sheet1!$H$4:$H$13</c:f>
              <c:numCache>
                <c:formatCode>0.00%</c:formatCode>
                <c:ptCount val="10"/>
                <c:pt idx="0">
                  <c:v>6.4799999999999996E-2</c:v>
                </c:pt>
                <c:pt idx="1">
                  <c:v>7.3599999999999999E-2</c:v>
                </c:pt>
                <c:pt idx="2">
                  <c:v>2.9999999999999997E-4</c:v>
                </c:pt>
                <c:pt idx="3">
                  <c:v>1E-4</c:v>
                </c:pt>
                <c:pt idx="4">
                  <c:v>8.9499999999999996E-2</c:v>
                </c:pt>
                <c:pt idx="5">
                  <c:v>6.8400000000000002E-2</c:v>
                </c:pt>
                <c:pt idx="6">
                  <c:v>8.0000000000000002E-3</c:v>
                </c:pt>
                <c:pt idx="7">
                  <c:v>0.56020000000000003</c:v>
                </c:pt>
                <c:pt idx="8">
                  <c:v>4.5400000000000003E-2</c:v>
                </c:pt>
                <c:pt idx="9">
                  <c:v>8.9599999999999999E-2</c:v>
                </c:pt>
              </c:numCache>
            </c:numRef>
          </c:val>
          <c:extLst>
            <c:ext xmlns:c16="http://schemas.microsoft.com/office/drawing/2014/chart" uri="{C3380CC4-5D6E-409C-BE32-E72D297353CC}">
              <c16:uniqueId val="{00000001-6243-44E2-B803-D191FD29B870}"/>
            </c:ext>
          </c:extLst>
        </c:ser>
        <c:dLbls>
          <c:dLblPos val="outEnd"/>
          <c:showLegendKey val="0"/>
          <c:showVal val="1"/>
          <c:showCatName val="0"/>
          <c:showSerName val="0"/>
          <c:showPercent val="0"/>
          <c:showBubbleSize val="0"/>
        </c:dLbls>
        <c:gapWidth val="444"/>
        <c:overlap val="-90"/>
        <c:axId val="1831499792"/>
        <c:axId val="1811874080"/>
      </c:barChart>
      <c:catAx>
        <c:axId val="183149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Baskerville Old Face" panose="02020602080505020303" pitchFamily="18" charset="0"/>
                <a:ea typeface="+mn-ea"/>
                <a:cs typeface="+mn-cs"/>
              </a:defRPr>
            </a:pPr>
            <a:endParaRPr lang="en-SL"/>
          </a:p>
        </c:txPr>
        <c:crossAx val="1811874080"/>
        <c:crosses val="autoZero"/>
        <c:auto val="1"/>
        <c:lblAlgn val="ctr"/>
        <c:lblOffset val="100"/>
        <c:noMultiLvlLbl val="0"/>
      </c:catAx>
      <c:valAx>
        <c:axId val="1811874080"/>
        <c:scaling>
          <c:orientation val="minMax"/>
        </c:scaling>
        <c:delete val="1"/>
        <c:axPos val="l"/>
        <c:numFmt formatCode="0.00%" sourceLinked="1"/>
        <c:majorTickMark val="none"/>
        <c:minorTickMark val="none"/>
        <c:tickLblPos val="nextTo"/>
        <c:crossAx val="1831499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'Tax Comp'!$B$19</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'Tax Comp'!$A$20:$A$22</c:f>
              <c:strCache>
                <c:ptCount val="3"/>
                <c:pt idx="0">
                  <c:v>Goods and Services Tax</c:v>
                </c:pt>
                <c:pt idx="1">
                  <c:v>Pay As You Earn</c:v>
                </c:pt>
                <c:pt idx="2">
                  <c:v>Withholding Tax</c:v>
                </c:pt>
              </c:strCache>
            </c:strRef>
          </c:cat>
          <c:val>
            <c:numRef>
              <c:f>'Tax Comp'!$B$20:$B$22</c:f>
              <c:numCache>
                <c:formatCode>0.00%</c:formatCode>
                <c:ptCount val="3"/>
                <c:pt idx="0">
                  <c:v>0.62907364331790605</c:v>
                </c:pt>
                <c:pt idx="1">
                  <c:v>0.61361826387045393</c:v>
                </c:pt>
                <c:pt idx="2">
                  <c:v>0.35776517257998741</c:v>
                </c:pt>
              </c:numCache>
            </c:numRef>
          </c:val>
          <c:extLst>
            <c:ext xmlns:c16="http://schemas.microsoft.com/office/drawing/2014/chart" uri="{C3380CC4-5D6E-409C-BE32-E72D297353CC}">
              <c16:uniqueId val="{00000000-4FB9-46EE-8E48-89D057A87D2C}"/>
            </c:ext>
          </c:extLst>
        </c:ser>
        <c:ser>
          <c:idx val="1"/>
          <c:order val="1"/>
          <c:tx>
            <c:strRef>
              <c:f>'Tax Comp'!$C$19</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'Tax Comp'!$A$20:$A$22</c:f>
              <c:strCache>
                <c:ptCount val="3"/>
                <c:pt idx="0">
                  <c:v>Goods and Services Tax</c:v>
                </c:pt>
                <c:pt idx="1">
                  <c:v>Pay As You Earn</c:v>
                </c:pt>
                <c:pt idx="2">
                  <c:v>Withholding Tax</c:v>
                </c:pt>
              </c:strCache>
            </c:strRef>
          </c:cat>
          <c:val>
            <c:numRef>
              <c:f>'Tax Comp'!$C$20:$C$22</c:f>
              <c:numCache>
                <c:formatCode>0.00%</c:formatCode>
                <c:ptCount val="3"/>
                <c:pt idx="0">
                  <c:v>0.63735183520719507</c:v>
                </c:pt>
                <c:pt idx="1">
                  <c:v>0.50151002815589729</c:v>
                </c:pt>
                <c:pt idx="2">
                  <c:v>0.55780102522960318</c:v>
                </c:pt>
              </c:numCache>
            </c:numRef>
          </c:val>
          <c:extLst>
            <c:ext xmlns:c16="http://schemas.microsoft.com/office/drawing/2014/chart" uri="{C3380CC4-5D6E-409C-BE32-E72D297353CC}">
              <c16:uniqueId val="{00000001-4FB9-46EE-8E48-89D057A87D2C}"/>
            </c:ext>
          </c:extLst>
        </c:ser>
        <c:dLbls>
          <c:showLegendKey val="0"/>
          <c:showVal val="0"/>
          <c:showCatName val="0"/>
          <c:showSerName val="0"/>
          <c:showPercent val="0"/>
          <c:showBubbleSize val="0"/>
        </c:dLbls>
        <c:gapWidth val="182"/>
        <c:axId val="1831499312"/>
        <c:axId val="1754436016"/>
      </c:barChart>
      <c:catAx>
        <c:axId val="1831499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754436016"/>
        <c:crosses val="autoZero"/>
        <c:auto val="1"/>
        <c:lblAlgn val="ctr"/>
        <c:lblOffset val="100"/>
        <c:noMultiLvlLbl val="0"/>
      </c:catAx>
      <c:valAx>
        <c:axId val="1754436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183149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CSD!$B$168</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CSD!$A$169:$A$180</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CSD!$B$169:$B$180</c:f>
              <c:numCache>
                <c:formatCode>General</c:formatCode>
                <c:ptCount val="12"/>
                <c:pt idx="0">
                  <c:v>31</c:v>
                </c:pt>
                <c:pt idx="1">
                  <c:v>29</c:v>
                </c:pt>
                <c:pt idx="2">
                  <c:v>37</c:v>
                </c:pt>
                <c:pt idx="3">
                  <c:v>30</c:v>
                </c:pt>
                <c:pt idx="4">
                  <c:v>44</c:v>
                </c:pt>
                <c:pt idx="5">
                  <c:v>41</c:v>
                </c:pt>
                <c:pt idx="6">
                  <c:v>38</c:v>
                </c:pt>
                <c:pt idx="7">
                  <c:v>30</c:v>
                </c:pt>
                <c:pt idx="8">
                  <c:v>29</c:v>
                </c:pt>
                <c:pt idx="9">
                  <c:v>30</c:v>
                </c:pt>
                <c:pt idx="10">
                  <c:v>30</c:v>
                </c:pt>
                <c:pt idx="11">
                  <c:v>30</c:v>
                </c:pt>
              </c:numCache>
            </c:numRef>
          </c:val>
          <c:extLst>
            <c:ext xmlns:c16="http://schemas.microsoft.com/office/drawing/2014/chart" uri="{C3380CC4-5D6E-409C-BE32-E72D297353CC}">
              <c16:uniqueId val="{00000000-9498-4D0A-98A8-448B1F5F17EE}"/>
            </c:ext>
          </c:extLst>
        </c:ser>
        <c:ser>
          <c:idx val="1"/>
          <c:order val="1"/>
          <c:tx>
            <c:strRef>
              <c:f>CSD!$C$168</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askerville Old Face" panose="02020602080505020303" pitchFamily="18" charset="0"/>
                    <a:ea typeface="+mn-ea"/>
                    <a:cs typeface="+mn-cs"/>
                  </a:defRPr>
                </a:pPr>
                <a:endParaRPr lang="en-S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CSD!$A$169:$A$180</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CSD!$C$169:$C$180</c:f>
              <c:numCache>
                <c:formatCode>General</c:formatCode>
                <c:ptCount val="12"/>
                <c:pt idx="0">
                  <c:v>32</c:v>
                </c:pt>
                <c:pt idx="1">
                  <c:v>34</c:v>
                </c:pt>
                <c:pt idx="2">
                  <c:v>40</c:v>
                </c:pt>
                <c:pt idx="3">
                  <c:v>31</c:v>
                </c:pt>
                <c:pt idx="4">
                  <c:v>48</c:v>
                </c:pt>
                <c:pt idx="5">
                  <c:v>32</c:v>
                </c:pt>
                <c:pt idx="6">
                  <c:v>40</c:v>
                </c:pt>
                <c:pt idx="7">
                  <c:v>33</c:v>
                </c:pt>
                <c:pt idx="8">
                  <c:v>33</c:v>
                </c:pt>
                <c:pt idx="9">
                  <c:v>27</c:v>
                </c:pt>
                <c:pt idx="10">
                  <c:v>32</c:v>
                </c:pt>
                <c:pt idx="11">
                  <c:v>32</c:v>
                </c:pt>
              </c:numCache>
            </c:numRef>
          </c:val>
          <c:extLst>
            <c:ext xmlns:c16="http://schemas.microsoft.com/office/drawing/2014/chart" uri="{C3380CC4-5D6E-409C-BE32-E72D297353CC}">
              <c16:uniqueId val="{00000001-9498-4D0A-98A8-448B1F5F17EE}"/>
            </c:ext>
          </c:extLst>
        </c:ser>
        <c:dLbls>
          <c:showLegendKey val="0"/>
          <c:showVal val="0"/>
          <c:showCatName val="0"/>
          <c:showSerName val="0"/>
          <c:showPercent val="0"/>
          <c:showBubbleSize val="0"/>
        </c:dLbls>
        <c:gapWidth val="219"/>
        <c:overlap val="-27"/>
        <c:axId val="893942320"/>
        <c:axId val="995364848"/>
      </c:barChart>
      <c:catAx>
        <c:axId val="89394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995364848"/>
        <c:crosses val="autoZero"/>
        <c:auto val="1"/>
        <c:lblAlgn val="ctr"/>
        <c:lblOffset val="100"/>
        <c:noMultiLvlLbl val="0"/>
      </c:catAx>
      <c:valAx>
        <c:axId val="995364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crossAx val="89394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kerville Old Face" panose="02020602080505020303" pitchFamily="18" charset="0"/>
              <a:ea typeface="+mn-ea"/>
              <a:cs typeface="+mn-cs"/>
            </a:defRPr>
          </a:pPr>
          <a:endParaRPr lang="en-S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739705266760166"/>
          <c:y val="0.10584098087029901"/>
          <c:w val="0.38819386517313975"/>
          <c:h val="0.78831803825940194"/>
        </c:manualLayout>
      </c:layout>
      <c:pieChart>
        <c:varyColors val="1"/>
        <c:ser>
          <c:idx val="0"/>
          <c:order val="0"/>
          <c:tx>
            <c:strRef>
              <c:f>CSD!$G$168</c:f>
              <c:strCache>
                <c:ptCount val="1"/>
                <c:pt idx="0">
                  <c:v>REVENUE COLLECTED</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C73-4431-AE40-A036D2AEA0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C73-4431-AE40-A036D2AEA0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C73-4431-AE40-A036D2AEA0BD}"/>
              </c:ext>
            </c:extLst>
          </c:dPt>
          <c:dLbls>
            <c:dLbl>
              <c:idx val="0"/>
              <c:layout>
                <c:manualLayout>
                  <c:x val="1.3581684128831966E-2"/>
                  <c:y val="0"/>
                </c:manualLayout>
              </c:layout>
              <c:spPr>
                <a:noFill/>
                <a:ln>
                  <a:noFill/>
                </a:ln>
                <a:effectLst/>
              </c:spPr>
              <c:txPr>
                <a:bodyPr rot="0" spcFirstLastPara="1" vertOverflow="ellipsis" vert="horz" wrap="square" anchor="ctr" anchorCtr="1"/>
                <a:lstStyle/>
                <a:p>
                  <a:pPr>
                    <a:defRPr sz="1000" b="1" i="0" u="none" strike="noStrike" kern="1200" spc="0" baseline="0">
                      <a:solidFill>
                        <a:schemeClr val="accent1"/>
                      </a:solidFill>
                      <a:latin typeface="Baskerville Old Face" panose="02020602080505020303" pitchFamily="18" charset="0"/>
                      <a:ea typeface="+mn-ea"/>
                      <a:cs typeface="+mn-cs"/>
                    </a:defRPr>
                  </a:pPr>
                  <a:endParaRPr lang="en-SL"/>
                </a:p>
              </c:txPr>
              <c:dLblPos val="bestFit"/>
              <c:showLegendKey val="0"/>
              <c:showVal val="1"/>
              <c:showCatName val="1"/>
              <c:showSerName val="0"/>
              <c:showPercent val="0"/>
              <c:showBubbleSize val="0"/>
              <c:extLst>
                <c:ext xmlns:c15="http://schemas.microsoft.com/office/drawing/2012/chart" uri="{CE6537A1-D6FC-4f65-9D91-7224C49458BB}">
                  <c15:layout>
                    <c:manualLayout>
                      <c:w val="0.23054901169949796"/>
                      <c:h val="0.10173364854215917"/>
                    </c:manualLayout>
                  </c15:layout>
                </c:ext>
                <c:ext xmlns:c16="http://schemas.microsoft.com/office/drawing/2014/chart" uri="{C3380CC4-5D6E-409C-BE32-E72D297353CC}">
                  <c16:uniqueId val="{00000001-4C73-4431-AE40-A036D2AEA0BD}"/>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accent2"/>
                      </a:solidFill>
                      <a:latin typeface="Baskerville Old Face" panose="02020602080505020303" pitchFamily="18" charset="0"/>
                      <a:ea typeface="+mn-ea"/>
                      <a:cs typeface="+mn-cs"/>
                    </a:defRPr>
                  </a:pPr>
                  <a:endParaRPr lang="en-SL"/>
                </a:p>
              </c:txPr>
              <c:dLblPos val="outEnd"/>
              <c:showLegendKey val="0"/>
              <c:showVal val="1"/>
              <c:showCatName val="1"/>
              <c:showSerName val="0"/>
              <c:showPercent val="0"/>
              <c:showBubbleSize val="0"/>
              <c:extLst>
                <c:ext xmlns:c16="http://schemas.microsoft.com/office/drawing/2014/chart" uri="{C3380CC4-5D6E-409C-BE32-E72D297353CC}">
                  <c16:uniqueId val="{00000003-4C73-4431-AE40-A036D2AEA0BD}"/>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accent3"/>
                      </a:solidFill>
                      <a:latin typeface="Baskerville Old Face" panose="02020602080505020303" pitchFamily="18" charset="0"/>
                      <a:ea typeface="+mn-ea"/>
                      <a:cs typeface="+mn-cs"/>
                    </a:defRPr>
                  </a:pPr>
                  <a:endParaRPr lang="en-SL"/>
                </a:p>
              </c:txPr>
              <c:dLblPos val="outEnd"/>
              <c:showLegendKey val="0"/>
              <c:showVal val="1"/>
              <c:showCatName val="1"/>
              <c:showSerName val="0"/>
              <c:showPercent val="0"/>
              <c:showBubbleSize val="0"/>
              <c:extLst>
                <c:ext xmlns:c16="http://schemas.microsoft.com/office/drawing/2014/chart" uri="{C3380CC4-5D6E-409C-BE32-E72D297353CC}">
                  <c16:uniqueId val="{00000005-4C73-4431-AE40-A036D2AEA0B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CSD!$F$169:$F$171</c:f>
              <c:strCache>
                <c:ptCount val="3"/>
                <c:pt idx="0">
                  <c:v>GBALAMUYA/KAMBIA</c:v>
                </c:pt>
                <c:pt idx="1">
                  <c:v>LUNGI TERMINAL</c:v>
                </c:pt>
                <c:pt idx="2">
                  <c:v>JENDEMA</c:v>
                </c:pt>
              </c:strCache>
            </c:strRef>
          </c:cat>
          <c:val>
            <c:numRef>
              <c:f>CSD!$G$169:$G$171</c:f>
              <c:numCache>
                <c:formatCode>#,##0.00</c:formatCode>
                <c:ptCount val="3"/>
                <c:pt idx="0">
                  <c:v>49250909.350000001</c:v>
                </c:pt>
                <c:pt idx="1">
                  <c:v>62793633.939999998</c:v>
                </c:pt>
                <c:pt idx="2">
                  <c:v>8471100.3100000005</c:v>
                </c:pt>
              </c:numCache>
            </c:numRef>
          </c:val>
          <c:extLst>
            <c:ext xmlns:c16="http://schemas.microsoft.com/office/drawing/2014/chart" uri="{C3380CC4-5D6E-409C-BE32-E72D297353CC}">
              <c16:uniqueId val="{00000006-4C73-4431-AE40-A036D2AEA0B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askerville Old Face" panose="02020602080505020303" pitchFamily="18" charset="0"/>
        </a:defRPr>
      </a:pPr>
      <a:endParaRPr lang="en-SL"/>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Sheet1!$A$34:$A$43</cx:f>
        <cx:lvl ptCount="10">
          <cx:pt idx="0">In business/Trading</cx:pt>
          <cx:pt idx="1">Other specify</cx:pt>
          <cx:pt idx="2">Am an employee</cx:pt>
          <cx:pt idx="3">One-off clearing of goods at Customs Services Dept</cx:pt>
          <cx:pt idx="4">Am a company director</cx:pt>
          <cx:pt idx="5">Want to pay my taxes</cx:pt>
          <cx:pt idx="6">Am an employer</cx:pt>
          <cx:pt idx="7">Owning property for rent/Receiving rental income</cx:pt>
          <cx:pt idx="8">Want to file a tax return</cx:pt>
          <cx:pt idx="9">To obtain tax clearance for political appointment</cx:pt>
        </cx:lvl>
      </cx:strDim>
      <cx:numDim type="val">
        <cx:f>Sheet1!$C$34:$C$43</cx:f>
        <cx:lvl ptCount="10" formatCode="0.00%">
          <cx:pt idx="0">0.58128146768742672</cx:pt>
          <cx:pt idx="1">0.13325056900475896</cx:pt>
          <cx:pt idx="2">0.092971929098558517</cx:pt>
          <cx:pt idx="3">0.078764052693289191</cx:pt>
          <cx:pt idx="4">0.049451686323194702</cx:pt>
          <cx:pt idx="5">0.024484447203255398</cx:pt>
          <cx:pt idx="6">0.012414649286157667</cx:pt>
          <cx:pt idx="7">0.0088971653217463278</cx:pt>
          <cx:pt idx="8">0.0080005517621904963</cx:pt>
          <cx:pt idx="9">0.003793365059659287</cx:pt>
        </cx:lvl>
      </cx:numDim>
    </cx:data>
  </cx:chartData>
  <cx:chart>
    <cx:plotArea>
      <cx:plotAreaRegion>
        <cx:series layoutId="funnel" uniqueId="{BD6EAAA7-68D4-4412-9123-C684D3266956}">
          <cx:dataLabels>
            <cx:txPr>
              <a:bodyPr spcFirstLastPara="1" vertOverflow="ellipsis" horzOverflow="overflow" wrap="square" lIns="0" tIns="0" rIns="0" bIns="0" anchor="ctr" anchorCtr="1"/>
              <a:lstStyle/>
              <a:p>
                <a:pPr algn="ctr" rtl="0">
                  <a:defRPr b="1">
                    <a:solidFill>
                      <a:sysClr val="windowText" lastClr="000000"/>
                    </a:solidFill>
                    <a:latin typeface="Baskerville Old Face" panose="02020602080505020303" pitchFamily="18" charset="0"/>
                    <a:ea typeface="Baskerville Old Face" panose="02020602080505020303" pitchFamily="18" charset="0"/>
                    <a:cs typeface="Baskerville Old Face" panose="02020602080505020303" pitchFamily="18" charset="0"/>
                  </a:defRPr>
                </a:pPr>
                <a:endParaRPr lang="en-US" sz="900" b="1" i="0" u="none" strike="noStrike" baseline="0">
                  <a:solidFill>
                    <a:sysClr val="windowText" lastClr="000000"/>
                  </a:solidFill>
                  <a:latin typeface="Baskerville Old Face" panose="02020602080505020303" pitchFamily="18" charset="0"/>
                </a:endParaRPr>
              </a:p>
            </cx:txPr>
            <cx:visibility seriesName="0" categoryName="0" value="1"/>
          </cx:dataLabels>
          <cx:dataId val="0"/>
        </cx:series>
      </cx:plotAreaRegion>
      <cx:axis id="0">
        <cx:catScaling gapWidth="0.0599999987"/>
        <cx:tickLabels/>
        <cx:txPr>
          <a:bodyPr vertOverflow="overflow" horzOverflow="overflow" wrap="square" lIns="0" tIns="0" rIns="0" bIns="0"/>
          <a:lstStyle/>
          <a:p>
            <a:pPr algn="ctr" rtl="0">
              <a:defRPr sz="900" b="0" i="0">
                <a:solidFill>
                  <a:srgbClr val="595959"/>
                </a:solidFill>
                <a:latin typeface="Baskerville Old Face" panose="02020602080505020303" pitchFamily="18" charset="0"/>
                <a:ea typeface="Baskerville Old Face" panose="02020602080505020303" pitchFamily="18" charset="0"/>
                <a:cs typeface="Baskerville Old Face" panose="02020602080505020303" pitchFamily="18" charset="0"/>
              </a:defRPr>
            </a:pPr>
            <a:endParaRPr lang="en-US">
              <a:latin typeface="Baskerville Old Face" panose="02020602080505020303"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7325-5962-4964-BF31-FAC24176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74</Pages>
  <Words>18226</Words>
  <Characters>103891</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Sheku  Seymour-Wilson</dc:creator>
  <cp:keywords/>
  <dc:description/>
  <cp:lastModifiedBy>Sahr A.K. Lamin</cp:lastModifiedBy>
  <cp:revision>24</cp:revision>
  <dcterms:created xsi:type="dcterms:W3CDTF">2025-05-15T23:39:00Z</dcterms:created>
  <dcterms:modified xsi:type="dcterms:W3CDTF">2025-05-30T10:37:00Z</dcterms:modified>
</cp:coreProperties>
</file>