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28DB" w14:textId="3A5B0984" w:rsidR="005A7A9B" w:rsidRDefault="005A7A9B" w:rsidP="005A7A9B">
      <w:pPr>
        <w:rPr>
          <w:rFonts w:ascii="Baskerville Old Face" w:hAnsi="Baskerville Old Face" w:cs="Times New Roman"/>
          <w:b/>
          <w:bCs/>
          <w:kern w:val="0"/>
          <w:sz w:val="28"/>
          <w:szCs w:val="28"/>
          <w:lang w:val="en-GB"/>
          <w14:ligatures w14:val="none"/>
        </w:rPr>
      </w:pPr>
      <w:r w:rsidRPr="00923467">
        <w:rPr>
          <w:noProof/>
        </w:rPr>
        <w:drawing>
          <wp:inline distT="0" distB="0" distL="0" distR="0" wp14:anchorId="5188CD9E" wp14:editId="0844F6E0">
            <wp:extent cx="2095500" cy="790575"/>
            <wp:effectExtent l="0" t="0" r="0" b="9525"/>
            <wp:docPr id="2023556173" name="Picture 20235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pic:spPr>
                </pic:pic>
              </a:graphicData>
            </a:graphic>
          </wp:inline>
        </w:drawing>
      </w:r>
    </w:p>
    <w:p w14:paraId="6AE6C810"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0A17F1BB" w14:textId="77777777" w:rsidR="005A7A9B" w:rsidRPr="00C345DD" w:rsidRDefault="005A7A9B" w:rsidP="005A7A9B">
      <w:pPr>
        <w:spacing w:after="0" w:line="240" w:lineRule="auto"/>
        <w:contextualSpacing/>
        <w:jc w:val="center"/>
        <w:rPr>
          <w:rFonts w:ascii="Baskerville Old Face" w:eastAsiaTheme="majorEastAsia" w:hAnsi="Baskerville Old Face" w:cstheme="majorBidi"/>
          <w:color w:val="4472C4" w:themeColor="accent1"/>
          <w:spacing w:val="-10"/>
          <w:kern w:val="28"/>
          <w:sz w:val="56"/>
          <w:szCs w:val="56"/>
          <w:lang w:val="en-GB"/>
          <w14:ligatures w14:val="none"/>
        </w:rPr>
      </w:pPr>
      <w:r w:rsidRPr="00C345DD">
        <w:rPr>
          <w:rFonts w:ascii="Baskerville Old Face" w:eastAsiaTheme="majorEastAsia" w:hAnsi="Baskerville Old Face" w:cstheme="majorBidi"/>
          <w:color w:val="4472C4" w:themeColor="accent1"/>
          <w:spacing w:val="-10"/>
          <w:kern w:val="28"/>
          <w:sz w:val="56"/>
          <w:szCs w:val="56"/>
          <w:lang w:val="en-GB"/>
          <w14:ligatures w14:val="none"/>
        </w:rPr>
        <w:t>NATIONAL REVENUE AUTHORITY</w:t>
      </w:r>
    </w:p>
    <w:p w14:paraId="53A148A8" w14:textId="77777777" w:rsidR="005A7A9B" w:rsidRPr="00C345DD" w:rsidRDefault="005A7A9B" w:rsidP="005A7A9B">
      <w:pPr>
        <w:spacing w:after="0" w:line="360" w:lineRule="auto"/>
        <w:jc w:val="center"/>
        <w:rPr>
          <w:rFonts w:ascii="Baskerville Old Face" w:hAnsi="Baskerville Old Face" w:cs="Times New Roman"/>
          <w:color w:val="4472C4" w:themeColor="accent1"/>
          <w:kern w:val="0"/>
          <w:lang w:val="en-GB"/>
          <w14:ligatures w14:val="none"/>
        </w:rPr>
      </w:pPr>
    </w:p>
    <w:p w14:paraId="6D6D37EF" w14:textId="77777777" w:rsidR="005A7A9B" w:rsidRPr="00C345DD" w:rsidRDefault="005A7A9B" w:rsidP="005A7A9B">
      <w:pPr>
        <w:spacing w:after="0" w:line="360" w:lineRule="auto"/>
        <w:jc w:val="center"/>
        <w:rPr>
          <w:rFonts w:ascii="Baskerville Old Face" w:hAnsi="Baskerville Old Face" w:cs="Times New Roman"/>
          <w:color w:val="4472C4" w:themeColor="accent1"/>
          <w:kern w:val="0"/>
          <w:lang w:val="en-GB"/>
          <w14:ligatures w14:val="none"/>
        </w:rPr>
      </w:pPr>
    </w:p>
    <w:p w14:paraId="1207C30A" w14:textId="77777777" w:rsidR="005A7A9B" w:rsidRPr="00C345DD" w:rsidRDefault="005A7A9B" w:rsidP="005A7A9B">
      <w:pPr>
        <w:spacing w:after="0" w:line="360" w:lineRule="auto"/>
        <w:jc w:val="center"/>
        <w:rPr>
          <w:rFonts w:ascii="Baskerville Old Face" w:hAnsi="Baskerville Old Face" w:cs="Times New Roman"/>
          <w:color w:val="4472C4" w:themeColor="accent1"/>
          <w:kern w:val="0"/>
          <w:lang w:val="en-GB"/>
          <w14:ligatures w14:val="none"/>
        </w:rPr>
      </w:pPr>
    </w:p>
    <w:p w14:paraId="4ED209CF" w14:textId="25C8D808" w:rsidR="005A7A9B" w:rsidRPr="00C345DD" w:rsidRDefault="005A7A9B" w:rsidP="005A7A9B">
      <w:pPr>
        <w:spacing w:after="0" w:line="240" w:lineRule="auto"/>
        <w:contextualSpacing/>
        <w:jc w:val="center"/>
        <w:rPr>
          <w:rFonts w:ascii="Baskerville Old Face" w:eastAsiaTheme="majorEastAsia" w:hAnsi="Baskerville Old Face" w:cstheme="majorBidi"/>
          <w:color w:val="4472C4" w:themeColor="accent1"/>
          <w:spacing w:val="-10"/>
          <w:kern w:val="28"/>
          <w:sz w:val="56"/>
          <w:szCs w:val="56"/>
          <w:lang w:val="en-GB"/>
          <w14:ligatures w14:val="none"/>
        </w:rPr>
      </w:pPr>
      <w:r w:rsidRPr="00C345DD">
        <w:rPr>
          <w:rFonts w:ascii="Baskerville Old Face" w:eastAsiaTheme="majorEastAsia" w:hAnsi="Baskerville Old Face" w:cstheme="majorBidi"/>
          <w:color w:val="4472C4" w:themeColor="accent1"/>
          <w:spacing w:val="-10"/>
          <w:kern w:val="28"/>
          <w:sz w:val="56"/>
          <w:szCs w:val="56"/>
          <w:lang w:val="en-GB"/>
          <w14:ligatures w14:val="none"/>
        </w:rPr>
        <w:t>ANNUAL REPORT 202</w:t>
      </w:r>
      <w:r w:rsidR="00857D17" w:rsidRPr="00C345DD">
        <w:rPr>
          <w:rFonts w:ascii="Baskerville Old Face" w:eastAsiaTheme="majorEastAsia" w:hAnsi="Baskerville Old Face" w:cstheme="majorBidi"/>
          <w:color w:val="4472C4" w:themeColor="accent1"/>
          <w:spacing w:val="-10"/>
          <w:kern w:val="28"/>
          <w:sz w:val="56"/>
          <w:szCs w:val="56"/>
          <w:lang w:val="en-GB"/>
          <w14:ligatures w14:val="none"/>
        </w:rPr>
        <w:t>4</w:t>
      </w:r>
    </w:p>
    <w:p w14:paraId="6ACF265C" w14:textId="77777777" w:rsidR="005A7A9B" w:rsidRPr="005A7A9B" w:rsidRDefault="005A7A9B" w:rsidP="005A7A9B">
      <w:pPr>
        <w:spacing w:after="0" w:line="360" w:lineRule="auto"/>
        <w:jc w:val="both"/>
        <w:rPr>
          <w:rFonts w:ascii="Baskerville Old Face" w:hAnsi="Baskerville Old Face" w:cs="Times New Roman"/>
          <w:kern w:val="0"/>
          <w:lang w:val="en-GB"/>
          <w14:ligatures w14:val="none"/>
        </w:rPr>
      </w:pPr>
    </w:p>
    <w:p w14:paraId="27FF814C"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10100D6A"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2DF55F3"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CF13F31" w14:textId="77777777" w:rsidR="005A7A9B" w:rsidRPr="009E16C4" w:rsidRDefault="005A7A9B" w:rsidP="005A7A9B">
      <w:pPr>
        <w:spacing w:after="0" w:line="360" w:lineRule="auto"/>
        <w:jc w:val="center"/>
        <w:rPr>
          <w:rFonts w:ascii="Baskerville Old Face" w:hAnsi="Baskerville Old Face" w:cs="Times New Roman"/>
          <w:b/>
          <w:bCs/>
          <w:color w:val="002060"/>
          <w:kern w:val="0"/>
          <w:sz w:val="24"/>
          <w:szCs w:val="24"/>
          <w:lang w:val="en-GB"/>
          <w14:ligatures w14:val="none"/>
        </w:rPr>
      </w:pPr>
      <w:r w:rsidRPr="009E16C4">
        <w:rPr>
          <w:rFonts w:ascii="Baskerville Old Face" w:hAnsi="Baskerville Old Face" w:cs="Times New Roman"/>
          <w:b/>
          <w:bCs/>
          <w:color w:val="002060"/>
          <w:kern w:val="0"/>
          <w:sz w:val="24"/>
          <w:szCs w:val="24"/>
          <w:lang w:val="en-GB"/>
          <w14:ligatures w14:val="none"/>
        </w:rPr>
        <w:t>Prepared by:</w:t>
      </w:r>
    </w:p>
    <w:p w14:paraId="2E121491" w14:textId="77777777" w:rsidR="005A7A9B" w:rsidRPr="009E16C4" w:rsidRDefault="005A7A9B" w:rsidP="005A7A9B">
      <w:pPr>
        <w:spacing w:after="0" w:line="360" w:lineRule="auto"/>
        <w:jc w:val="both"/>
        <w:rPr>
          <w:rFonts w:ascii="Baskerville Old Face" w:hAnsi="Baskerville Old Face" w:cs="Times New Roman"/>
          <w:b/>
          <w:bCs/>
          <w:color w:val="002060"/>
          <w:kern w:val="0"/>
          <w:lang w:val="en-GB" w:eastAsia="en-GB"/>
          <w14:ligatures w14:val="none"/>
        </w:rPr>
      </w:pPr>
    </w:p>
    <w:p w14:paraId="06ABC962" w14:textId="77777777" w:rsidR="005A7A9B" w:rsidRPr="009E16C4" w:rsidRDefault="005A7A9B" w:rsidP="005A7A9B">
      <w:pPr>
        <w:spacing w:after="0" w:line="360" w:lineRule="auto"/>
        <w:jc w:val="center"/>
        <w:rPr>
          <w:rFonts w:ascii="Baskerville Old Face" w:hAnsi="Baskerville Old Face" w:cs="Times New Roman"/>
          <w:b/>
          <w:bCs/>
          <w:color w:val="002060"/>
          <w:kern w:val="0"/>
          <w:sz w:val="24"/>
          <w:szCs w:val="24"/>
          <w:lang w:val="en-GB" w:eastAsia="en-GB"/>
          <w14:ligatures w14:val="none"/>
        </w:rPr>
      </w:pPr>
      <w:r w:rsidRPr="009E16C4">
        <w:rPr>
          <w:rFonts w:ascii="Baskerville Old Face" w:hAnsi="Baskerville Old Face" w:cs="Times New Roman"/>
          <w:b/>
          <w:bCs/>
          <w:color w:val="002060"/>
          <w:kern w:val="0"/>
          <w:sz w:val="24"/>
          <w:szCs w:val="24"/>
          <w:lang w:val="en-GB" w:eastAsia="en-GB"/>
          <w14:ligatures w14:val="none"/>
        </w:rPr>
        <w:t>MONITORING, RESEARCH AND PLANNING DEPARTMENT</w:t>
      </w:r>
    </w:p>
    <w:p w14:paraId="07596BC1" w14:textId="77777777" w:rsidR="005A7A9B" w:rsidRPr="009E16C4" w:rsidRDefault="005A7A9B" w:rsidP="005A7A9B">
      <w:pPr>
        <w:spacing w:after="0" w:line="360" w:lineRule="auto"/>
        <w:jc w:val="both"/>
        <w:rPr>
          <w:rFonts w:ascii="Baskerville Old Face" w:hAnsi="Baskerville Old Face" w:cs="Times New Roman"/>
          <w:b/>
          <w:bCs/>
          <w:color w:val="002060"/>
          <w:kern w:val="0"/>
          <w:sz w:val="24"/>
          <w:szCs w:val="24"/>
          <w:lang w:val="en-GB" w:eastAsia="en-GB"/>
          <w14:ligatures w14:val="none"/>
        </w:rPr>
      </w:pPr>
    </w:p>
    <w:p w14:paraId="0C87729B" w14:textId="5A9D35AB" w:rsidR="005A7A9B" w:rsidRPr="009E16C4" w:rsidRDefault="00857D17" w:rsidP="005A7A9B">
      <w:pPr>
        <w:spacing w:after="0" w:line="360" w:lineRule="auto"/>
        <w:jc w:val="center"/>
        <w:rPr>
          <w:rFonts w:ascii="Baskerville Old Face" w:hAnsi="Baskerville Old Face" w:cs="Times New Roman"/>
          <w:b/>
          <w:bCs/>
          <w:color w:val="002060"/>
          <w:kern w:val="0"/>
          <w:sz w:val="24"/>
          <w:szCs w:val="24"/>
          <w:lang w:val="en-GB" w:eastAsia="en-GB"/>
          <w14:ligatures w14:val="none"/>
        </w:rPr>
      </w:pPr>
      <w:r w:rsidRPr="009E16C4">
        <w:rPr>
          <w:rFonts w:ascii="Baskerville Old Face" w:hAnsi="Baskerville Old Face" w:cs="Times New Roman"/>
          <w:b/>
          <w:bCs/>
          <w:color w:val="002060"/>
          <w:kern w:val="0"/>
          <w:sz w:val="24"/>
          <w:szCs w:val="24"/>
          <w:lang w:val="en-GB" w:eastAsia="en-GB"/>
          <w14:ligatures w14:val="none"/>
        </w:rPr>
        <w:t>APRIL</w:t>
      </w:r>
      <w:r w:rsidR="005A7A9B" w:rsidRPr="009E16C4">
        <w:rPr>
          <w:rFonts w:ascii="Baskerville Old Face" w:hAnsi="Baskerville Old Face" w:cs="Times New Roman"/>
          <w:b/>
          <w:bCs/>
          <w:color w:val="002060"/>
          <w:kern w:val="0"/>
          <w:sz w:val="24"/>
          <w:szCs w:val="24"/>
          <w:lang w:val="en-GB" w:eastAsia="en-GB"/>
          <w14:ligatures w14:val="none"/>
        </w:rPr>
        <w:t xml:space="preserve"> 202</w:t>
      </w:r>
      <w:r w:rsidRPr="009E16C4">
        <w:rPr>
          <w:rFonts w:ascii="Baskerville Old Face" w:hAnsi="Baskerville Old Face" w:cs="Times New Roman"/>
          <w:b/>
          <w:bCs/>
          <w:color w:val="002060"/>
          <w:kern w:val="0"/>
          <w:sz w:val="24"/>
          <w:szCs w:val="24"/>
          <w:lang w:val="en-GB" w:eastAsia="en-GB"/>
          <w14:ligatures w14:val="none"/>
        </w:rPr>
        <w:t>5</w:t>
      </w:r>
    </w:p>
    <w:p w14:paraId="3D5792A8"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5C2EA404"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1E4BC58B"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281EDA30"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550AA28C"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78A07D69"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0AFFCDCF" w14:textId="77777777" w:rsidR="00304E14" w:rsidRDefault="00304E14" w:rsidP="00625BF5">
      <w:pPr>
        <w:jc w:val="center"/>
        <w:rPr>
          <w:rFonts w:ascii="Baskerville Old Face" w:hAnsi="Baskerville Old Face" w:cs="Times New Roman"/>
          <w:b/>
          <w:bCs/>
          <w:kern w:val="0"/>
          <w:sz w:val="28"/>
          <w:szCs w:val="28"/>
          <w:lang w:val="en-GB"/>
          <w14:ligatures w14:val="none"/>
        </w:rPr>
      </w:pPr>
    </w:p>
    <w:p w14:paraId="2F24E8D7"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2C24D9B1" w14:textId="77777777" w:rsidR="00C03BAC" w:rsidRDefault="00C03BAC" w:rsidP="00625BF5">
      <w:pPr>
        <w:jc w:val="center"/>
        <w:rPr>
          <w:rFonts w:ascii="Baskerville Old Face" w:hAnsi="Baskerville Old Face" w:cs="Times New Roman"/>
          <w:b/>
          <w:bCs/>
          <w:kern w:val="0"/>
          <w:sz w:val="28"/>
          <w:szCs w:val="28"/>
          <w:lang w:val="en-GB"/>
          <w14:ligatures w14:val="none"/>
        </w:rPr>
      </w:pPr>
    </w:p>
    <w:p w14:paraId="14E5F633" w14:textId="77777777" w:rsidR="00C03BAC" w:rsidRDefault="00C03BAC" w:rsidP="00625BF5">
      <w:pPr>
        <w:jc w:val="center"/>
        <w:rPr>
          <w:rFonts w:ascii="Baskerville Old Face" w:hAnsi="Baskerville Old Face" w:cs="Times New Roman"/>
          <w:b/>
          <w:bCs/>
          <w:kern w:val="0"/>
          <w:sz w:val="28"/>
          <w:szCs w:val="28"/>
          <w:lang w:val="en-GB"/>
          <w14:ligatures w14:val="none"/>
        </w:rPr>
      </w:pPr>
    </w:p>
    <w:sdt>
      <w:sdtPr>
        <w:rPr>
          <w:rFonts w:asciiTheme="minorHAnsi" w:eastAsiaTheme="minorHAnsi" w:hAnsiTheme="minorHAnsi" w:cstheme="minorBidi"/>
          <w:color w:val="auto"/>
          <w:kern w:val="2"/>
          <w:sz w:val="22"/>
          <w:szCs w:val="22"/>
          <w14:ligatures w14:val="standardContextual"/>
        </w:rPr>
        <w:id w:val="-530807168"/>
        <w:docPartObj>
          <w:docPartGallery w:val="Table of Contents"/>
          <w:docPartUnique/>
        </w:docPartObj>
      </w:sdtPr>
      <w:sdtEndPr>
        <w:rPr>
          <w:rFonts w:ascii="Baskerville Old Face" w:hAnsi="Baskerville Old Face"/>
          <w:b/>
          <w:bCs/>
          <w:noProof/>
        </w:rPr>
      </w:sdtEndPr>
      <w:sdtContent>
        <w:p w14:paraId="245C7EEF" w14:textId="77777777" w:rsidR="00395E0D" w:rsidRPr="00414ACD" w:rsidRDefault="00395E0D" w:rsidP="00292695">
          <w:pPr>
            <w:pStyle w:val="TOCHeading"/>
            <w:jc w:val="center"/>
            <w:rPr>
              <w:rFonts w:ascii="Baskerville Old Face" w:hAnsi="Baskerville Old Face"/>
              <w:b/>
              <w:bCs/>
            </w:rPr>
          </w:pPr>
          <w:r w:rsidRPr="00414ACD">
            <w:rPr>
              <w:rFonts w:ascii="Baskerville Old Face" w:hAnsi="Baskerville Old Face"/>
              <w:b/>
              <w:bCs/>
            </w:rPr>
            <w:t>Table of Contents</w:t>
          </w:r>
        </w:p>
        <w:p w14:paraId="4E5276AE" w14:textId="56CE9010" w:rsidR="00001032" w:rsidRPr="00001032" w:rsidRDefault="00395E0D">
          <w:pPr>
            <w:pStyle w:val="TOC1"/>
            <w:tabs>
              <w:tab w:val="right" w:leader="dot" w:pos="9350"/>
            </w:tabs>
            <w:rPr>
              <w:rFonts w:eastAsiaTheme="minorEastAsia"/>
              <w:noProof/>
              <w:sz w:val="24"/>
              <w:szCs w:val="24"/>
            </w:rPr>
          </w:pPr>
          <w:r w:rsidRPr="00414ACD">
            <w:rPr>
              <w:rFonts w:ascii="Baskerville Old Face" w:hAnsi="Baskerville Old Face"/>
            </w:rPr>
            <w:fldChar w:fldCharType="begin"/>
          </w:r>
          <w:r w:rsidRPr="00414ACD">
            <w:rPr>
              <w:rFonts w:ascii="Baskerville Old Face" w:hAnsi="Baskerville Old Face"/>
            </w:rPr>
            <w:instrText xml:space="preserve"> TOC \o "1-3" \h \z \u </w:instrText>
          </w:r>
          <w:r w:rsidRPr="00414ACD">
            <w:rPr>
              <w:rFonts w:ascii="Baskerville Old Face" w:hAnsi="Baskerville Old Face"/>
            </w:rPr>
            <w:fldChar w:fldCharType="separate"/>
          </w:r>
          <w:hyperlink w:anchor="_Toc198043899" w:history="1">
            <w:r w:rsidR="00001032" w:rsidRPr="00001032">
              <w:rPr>
                <w:rStyle w:val="Hyperlink"/>
                <w:rFonts w:ascii="Baskerville Old Face" w:hAnsi="Baskerville Old Face"/>
                <w:noProof/>
                <w:lang w:val="en-GB"/>
              </w:rPr>
              <w:t>List of Tables</w:t>
            </w:r>
            <w:r w:rsidR="00001032" w:rsidRPr="00001032">
              <w:rPr>
                <w:noProof/>
                <w:webHidden/>
              </w:rPr>
              <w:tab/>
            </w:r>
            <w:r w:rsidR="00001032" w:rsidRPr="00001032">
              <w:rPr>
                <w:noProof/>
                <w:webHidden/>
              </w:rPr>
              <w:fldChar w:fldCharType="begin"/>
            </w:r>
            <w:r w:rsidR="00001032" w:rsidRPr="00001032">
              <w:rPr>
                <w:noProof/>
                <w:webHidden/>
              </w:rPr>
              <w:instrText xml:space="preserve"> PAGEREF _Toc198043899 \h </w:instrText>
            </w:r>
            <w:r w:rsidR="00001032" w:rsidRPr="00001032">
              <w:rPr>
                <w:noProof/>
                <w:webHidden/>
              </w:rPr>
            </w:r>
            <w:r w:rsidR="00001032" w:rsidRPr="00001032">
              <w:rPr>
                <w:noProof/>
                <w:webHidden/>
              </w:rPr>
              <w:fldChar w:fldCharType="separate"/>
            </w:r>
            <w:r w:rsidR="00001032" w:rsidRPr="00001032">
              <w:rPr>
                <w:noProof/>
                <w:webHidden/>
              </w:rPr>
              <w:t>3</w:t>
            </w:r>
            <w:r w:rsidR="00001032" w:rsidRPr="00001032">
              <w:rPr>
                <w:noProof/>
                <w:webHidden/>
              </w:rPr>
              <w:fldChar w:fldCharType="end"/>
            </w:r>
          </w:hyperlink>
        </w:p>
        <w:p w14:paraId="4C9FC97A" w14:textId="7F47B246" w:rsidR="00001032" w:rsidRPr="00001032" w:rsidRDefault="00001032">
          <w:pPr>
            <w:pStyle w:val="TOC1"/>
            <w:tabs>
              <w:tab w:val="right" w:leader="dot" w:pos="9350"/>
            </w:tabs>
            <w:rPr>
              <w:rFonts w:eastAsiaTheme="minorEastAsia"/>
              <w:noProof/>
              <w:sz w:val="24"/>
              <w:szCs w:val="24"/>
            </w:rPr>
          </w:pPr>
          <w:hyperlink w:anchor="_Toc198043900" w:history="1">
            <w:r w:rsidRPr="00001032">
              <w:rPr>
                <w:rStyle w:val="Hyperlink"/>
                <w:rFonts w:ascii="Baskerville Old Face" w:hAnsi="Baskerville Old Face"/>
                <w:noProof/>
                <w:lang w:val="en-GB"/>
              </w:rPr>
              <w:t>List of Figures</w:t>
            </w:r>
            <w:r w:rsidRPr="00001032">
              <w:rPr>
                <w:noProof/>
                <w:webHidden/>
              </w:rPr>
              <w:tab/>
            </w:r>
            <w:r w:rsidRPr="00001032">
              <w:rPr>
                <w:noProof/>
                <w:webHidden/>
              </w:rPr>
              <w:fldChar w:fldCharType="begin"/>
            </w:r>
            <w:r w:rsidRPr="00001032">
              <w:rPr>
                <w:noProof/>
                <w:webHidden/>
              </w:rPr>
              <w:instrText xml:space="preserve"> PAGEREF _Toc198043900 \h </w:instrText>
            </w:r>
            <w:r w:rsidRPr="00001032">
              <w:rPr>
                <w:noProof/>
                <w:webHidden/>
              </w:rPr>
            </w:r>
            <w:r w:rsidRPr="00001032">
              <w:rPr>
                <w:noProof/>
                <w:webHidden/>
              </w:rPr>
              <w:fldChar w:fldCharType="separate"/>
            </w:r>
            <w:r w:rsidRPr="00001032">
              <w:rPr>
                <w:noProof/>
                <w:webHidden/>
              </w:rPr>
              <w:t>4</w:t>
            </w:r>
            <w:r w:rsidRPr="00001032">
              <w:rPr>
                <w:noProof/>
                <w:webHidden/>
              </w:rPr>
              <w:fldChar w:fldCharType="end"/>
            </w:r>
          </w:hyperlink>
        </w:p>
        <w:p w14:paraId="2901261D" w14:textId="04813940" w:rsidR="00001032" w:rsidRPr="00001032" w:rsidRDefault="00001032">
          <w:pPr>
            <w:pStyle w:val="TOC1"/>
            <w:tabs>
              <w:tab w:val="right" w:leader="dot" w:pos="9350"/>
            </w:tabs>
            <w:rPr>
              <w:rFonts w:eastAsiaTheme="minorEastAsia"/>
              <w:noProof/>
              <w:sz w:val="24"/>
              <w:szCs w:val="24"/>
            </w:rPr>
          </w:pPr>
          <w:hyperlink w:anchor="_Toc198043901" w:history="1">
            <w:r w:rsidRPr="00001032">
              <w:rPr>
                <w:rStyle w:val="Hyperlink"/>
                <w:rFonts w:ascii="Baskerville Old Face" w:hAnsi="Baskerville Old Face"/>
                <w:noProof/>
                <w:lang w:val="en-GB"/>
              </w:rPr>
              <w:t>List of Acronyms</w:t>
            </w:r>
            <w:r w:rsidRPr="00001032">
              <w:rPr>
                <w:noProof/>
                <w:webHidden/>
              </w:rPr>
              <w:tab/>
            </w:r>
            <w:r w:rsidRPr="00001032">
              <w:rPr>
                <w:noProof/>
                <w:webHidden/>
              </w:rPr>
              <w:fldChar w:fldCharType="begin"/>
            </w:r>
            <w:r w:rsidRPr="00001032">
              <w:rPr>
                <w:noProof/>
                <w:webHidden/>
              </w:rPr>
              <w:instrText xml:space="preserve"> PAGEREF _Toc198043901 \h </w:instrText>
            </w:r>
            <w:r w:rsidRPr="00001032">
              <w:rPr>
                <w:noProof/>
                <w:webHidden/>
              </w:rPr>
            </w:r>
            <w:r w:rsidRPr="00001032">
              <w:rPr>
                <w:noProof/>
                <w:webHidden/>
              </w:rPr>
              <w:fldChar w:fldCharType="separate"/>
            </w:r>
            <w:r w:rsidRPr="00001032">
              <w:rPr>
                <w:noProof/>
                <w:webHidden/>
              </w:rPr>
              <w:t>5</w:t>
            </w:r>
            <w:r w:rsidRPr="00001032">
              <w:rPr>
                <w:noProof/>
                <w:webHidden/>
              </w:rPr>
              <w:fldChar w:fldCharType="end"/>
            </w:r>
          </w:hyperlink>
        </w:p>
        <w:p w14:paraId="2C1FE361" w14:textId="2FA68898" w:rsidR="00001032" w:rsidRPr="00001032" w:rsidRDefault="00001032">
          <w:pPr>
            <w:pStyle w:val="TOC1"/>
            <w:tabs>
              <w:tab w:val="right" w:leader="dot" w:pos="9350"/>
            </w:tabs>
            <w:rPr>
              <w:rFonts w:eastAsiaTheme="minorEastAsia"/>
              <w:noProof/>
              <w:sz w:val="24"/>
              <w:szCs w:val="24"/>
            </w:rPr>
          </w:pPr>
          <w:hyperlink w:anchor="_Toc198043902" w:history="1">
            <w:r w:rsidRPr="00001032">
              <w:rPr>
                <w:rStyle w:val="Hyperlink"/>
                <w:rFonts w:ascii="Baskerville Old Face" w:hAnsi="Baskerville Old Face"/>
                <w:noProof/>
              </w:rPr>
              <w:t>FOREWORD BY THE COMMISSIONER-GENERAL</w:t>
            </w:r>
            <w:r w:rsidRPr="00001032">
              <w:rPr>
                <w:noProof/>
                <w:webHidden/>
              </w:rPr>
              <w:tab/>
            </w:r>
            <w:r w:rsidRPr="00001032">
              <w:rPr>
                <w:noProof/>
                <w:webHidden/>
              </w:rPr>
              <w:fldChar w:fldCharType="begin"/>
            </w:r>
            <w:r w:rsidRPr="00001032">
              <w:rPr>
                <w:noProof/>
                <w:webHidden/>
              </w:rPr>
              <w:instrText xml:space="preserve"> PAGEREF _Toc198043902 \h </w:instrText>
            </w:r>
            <w:r w:rsidRPr="00001032">
              <w:rPr>
                <w:noProof/>
                <w:webHidden/>
              </w:rPr>
            </w:r>
            <w:r w:rsidRPr="00001032">
              <w:rPr>
                <w:noProof/>
                <w:webHidden/>
              </w:rPr>
              <w:fldChar w:fldCharType="separate"/>
            </w:r>
            <w:r w:rsidRPr="00001032">
              <w:rPr>
                <w:noProof/>
                <w:webHidden/>
              </w:rPr>
              <w:t>7</w:t>
            </w:r>
            <w:r w:rsidRPr="00001032">
              <w:rPr>
                <w:noProof/>
                <w:webHidden/>
              </w:rPr>
              <w:fldChar w:fldCharType="end"/>
            </w:r>
          </w:hyperlink>
        </w:p>
        <w:p w14:paraId="5E62C698" w14:textId="74C7427A" w:rsidR="00001032" w:rsidRPr="00001032" w:rsidRDefault="00001032">
          <w:pPr>
            <w:pStyle w:val="TOC1"/>
            <w:tabs>
              <w:tab w:val="right" w:leader="dot" w:pos="9350"/>
            </w:tabs>
            <w:rPr>
              <w:rFonts w:eastAsiaTheme="minorEastAsia"/>
              <w:noProof/>
              <w:sz w:val="24"/>
              <w:szCs w:val="24"/>
            </w:rPr>
          </w:pPr>
          <w:hyperlink w:anchor="_Toc198043903" w:history="1">
            <w:r w:rsidRPr="00001032">
              <w:rPr>
                <w:rStyle w:val="Hyperlink"/>
                <w:rFonts w:ascii="Baskerville Old Face" w:hAnsi="Baskerville Old Face"/>
                <w:noProof/>
              </w:rPr>
              <w:t>EXECUTIVE SUMMARY</w:t>
            </w:r>
            <w:r w:rsidRPr="00001032">
              <w:rPr>
                <w:noProof/>
                <w:webHidden/>
              </w:rPr>
              <w:tab/>
            </w:r>
            <w:r w:rsidRPr="00001032">
              <w:rPr>
                <w:noProof/>
                <w:webHidden/>
              </w:rPr>
              <w:fldChar w:fldCharType="begin"/>
            </w:r>
            <w:r w:rsidRPr="00001032">
              <w:rPr>
                <w:noProof/>
                <w:webHidden/>
              </w:rPr>
              <w:instrText xml:space="preserve"> PAGEREF _Toc198043903 \h </w:instrText>
            </w:r>
            <w:r w:rsidRPr="00001032">
              <w:rPr>
                <w:noProof/>
                <w:webHidden/>
              </w:rPr>
            </w:r>
            <w:r w:rsidRPr="00001032">
              <w:rPr>
                <w:noProof/>
                <w:webHidden/>
              </w:rPr>
              <w:fldChar w:fldCharType="separate"/>
            </w:r>
            <w:r w:rsidRPr="00001032">
              <w:rPr>
                <w:noProof/>
                <w:webHidden/>
              </w:rPr>
              <w:t>8</w:t>
            </w:r>
            <w:r w:rsidRPr="00001032">
              <w:rPr>
                <w:noProof/>
                <w:webHidden/>
              </w:rPr>
              <w:fldChar w:fldCharType="end"/>
            </w:r>
          </w:hyperlink>
        </w:p>
        <w:p w14:paraId="0E69A491" w14:textId="269C160A" w:rsidR="00001032" w:rsidRPr="00001032" w:rsidRDefault="00001032">
          <w:pPr>
            <w:pStyle w:val="TOC1"/>
            <w:tabs>
              <w:tab w:val="right" w:leader="dot" w:pos="9350"/>
            </w:tabs>
            <w:rPr>
              <w:rFonts w:eastAsiaTheme="minorEastAsia"/>
              <w:b/>
              <w:bCs/>
              <w:noProof/>
              <w:sz w:val="24"/>
              <w:szCs w:val="24"/>
            </w:rPr>
          </w:pPr>
          <w:hyperlink w:anchor="_Toc198043904" w:history="1">
            <w:r w:rsidRPr="00001032">
              <w:rPr>
                <w:rStyle w:val="Hyperlink"/>
                <w:rFonts w:ascii="Baskerville Old Face" w:hAnsi="Baskerville Old Face"/>
                <w:b/>
                <w:bCs/>
                <w:noProof/>
                <w:lang w:val="en-GB"/>
              </w:rPr>
              <w:t>CHAPTER ONE</w:t>
            </w:r>
            <w:r w:rsidRPr="00001032">
              <w:rPr>
                <w:b/>
                <w:bCs/>
                <w:noProof/>
                <w:webHidden/>
              </w:rPr>
              <w:tab/>
            </w:r>
            <w:r w:rsidRPr="00001032">
              <w:rPr>
                <w:b/>
                <w:bCs/>
                <w:noProof/>
                <w:webHidden/>
              </w:rPr>
              <w:fldChar w:fldCharType="begin"/>
            </w:r>
            <w:r w:rsidRPr="00001032">
              <w:rPr>
                <w:b/>
                <w:bCs/>
                <w:noProof/>
                <w:webHidden/>
              </w:rPr>
              <w:instrText xml:space="preserve"> PAGEREF _Toc198043904 \h </w:instrText>
            </w:r>
            <w:r w:rsidRPr="00001032">
              <w:rPr>
                <w:b/>
                <w:bCs/>
                <w:noProof/>
                <w:webHidden/>
              </w:rPr>
            </w:r>
            <w:r w:rsidRPr="00001032">
              <w:rPr>
                <w:b/>
                <w:bCs/>
                <w:noProof/>
                <w:webHidden/>
              </w:rPr>
              <w:fldChar w:fldCharType="separate"/>
            </w:r>
            <w:r w:rsidRPr="00001032">
              <w:rPr>
                <w:b/>
                <w:bCs/>
                <w:noProof/>
                <w:webHidden/>
              </w:rPr>
              <w:t>11</w:t>
            </w:r>
            <w:r w:rsidRPr="00001032">
              <w:rPr>
                <w:b/>
                <w:bCs/>
                <w:noProof/>
                <w:webHidden/>
              </w:rPr>
              <w:fldChar w:fldCharType="end"/>
            </w:r>
          </w:hyperlink>
        </w:p>
        <w:p w14:paraId="05DAFF02" w14:textId="0D8C8B4E" w:rsidR="00001032" w:rsidRPr="00001032" w:rsidRDefault="00001032">
          <w:pPr>
            <w:pStyle w:val="TOC1"/>
            <w:tabs>
              <w:tab w:val="right" w:leader="dot" w:pos="9350"/>
            </w:tabs>
            <w:rPr>
              <w:rFonts w:eastAsiaTheme="minorEastAsia"/>
              <w:b/>
              <w:bCs/>
              <w:noProof/>
              <w:sz w:val="24"/>
              <w:szCs w:val="24"/>
            </w:rPr>
          </w:pPr>
          <w:hyperlink w:anchor="_Toc198043905" w:history="1">
            <w:r w:rsidRPr="00001032">
              <w:rPr>
                <w:rStyle w:val="Hyperlink"/>
                <w:rFonts w:ascii="Baskerville Old Face" w:hAnsi="Baskerville Old Face"/>
                <w:b/>
                <w:bCs/>
                <w:noProof/>
                <w:lang w:val="en-GB"/>
              </w:rPr>
              <w:t>1.0 INTRODUCTION</w:t>
            </w:r>
            <w:r w:rsidRPr="00001032">
              <w:rPr>
                <w:b/>
                <w:bCs/>
                <w:noProof/>
                <w:webHidden/>
              </w:rPr>
              <w:tab/>
            </w:r>
            <w:r w:rsidRPr="00001032">
              <w:rPr>
                <w:b/>
                <w:bCs/>
                <w:noProof/>
                <w:webHidden/>
              </w:rPr>
              <w:fldChar w:fldCharType="begin"/>
            </w:r>
            <w:r w:rsidRPr="00001032">
              <w:rPr>
                <w:b/>
                <w:bCs/>
                <w:noProof/>
                <w:webHidden/>
              </w:rPr>
              <w:instrText xml:space="preserve"> PAGEREF _Toc198043905 \h </w:instrText>
            </w:r>
            <w:r w:rsidRPr="00001032">
              <w:rPr>
                <w:b/>
                <w:bCs/>
                <w:noProof/>
                <w:webHidden/>
              </w:rPr>
            </w:r>
            <w:r w:rsidRPr="00001032">
              <w:rPr>
                <w:b/>
                <w:bCs/>
                <w:noProof/>
                <w:webHidden/>
              </w:rPr>
              <w:fldChar w:fldCharType="separate"/>
            </w:r>
            <w:r w:rsidRPr="00001032">
              <w:rPr>
                <w:b/>
                <w:bCs/>
                <w:noProof/>
                <w:webHidden/>
              </w:rPr>
              <w:t>11</w:t>
            </w:r>
            <w:r w:rsidRPr="00001032">
              <w:rPr>
                <w:b/>
                <w:bCs/>
                <w:noProof/>
                <w:webHidden/>
              </w:rPr>
              <w:fldChar w:fldCharType="end"/>
            </w:r>
          </w:hyperlink>
        </w:p>
        <w:p w14:paraId="3D75A946" w14:textId="60491E56" w:rsidR="00001032" w:rsidRPr="00001032" w:rsidRDefault="00001032">
          <w:pPr>
            <w:pStyle w:val="TOC2"/>
            <w:tabs>
              <w:tab w:val="right" w:leader="dot" w:pos="9350"/>
            </w:tabs>
            <w:rPr>
              <w:rFonts w:eastAsiaTheme="minorEastAsia"/>
              <w:noProof/>
              <w:sz w:val="24"/>
              <w:szCs w:val="24"/>
            </w:rPr>
          </w:pPr>
          <w:hyperlink w:anchor="_Toc198043906" w:history="1">
            <w:r w:rsidRPr="00001032">
              <w:rPr>
                <w:rStyle w:val="Hyperlink"/>
                <w:rFonts w:ascii="Baskerville Old Face" w:hAnsi="Baskerville Old Face"/>
                <w:noProof/>
                <w:lang w:val="en-GB"/>
              </w:rPr>
              <w:t>1.1 NRA CORPORATE STATEMENT</w:t>
            </w:r>
            <w:r w:rsidRPr="00001032">
              <w:rPr>
                <w:noProof/>
                <w:webHidden/>
              </w:rPr>
              <w:tab/>
            </w:r>
            <w:r w:rsidRPr="00001032">
              <w:rPr>
                <w:noProof/>
                <w:webHidden/>
              </w:rPr>
              <w:fldChar w:fldCharType="begin"/>
            </w:r>
            <w:r w:rsidRPr="00001032">
              <w:rPr>
                <w:noProof/>
                <w:webHidden/>
              </w:rPr>
              <w:instrText xml:space="preserve"> PAGEREF _Toc198043906 \h </w:instrText>
            </w:r>
            <w:r w:rsidRPr="00001032">
              <w:rPr>
                <w:noProof/>
                <w:webHidden/>
              </w:rPr>
            </w:r>
            <w:r w:rsidRPr="00001032">
              <w:rPr>
                <w:noProof/>
                <w:webHidden/>
              </w:rPr>
              <w:fldChar w:fldCharType="separate"/>
            </w:r>
            <w:r w:rsidRPr="00001032">
              <w:rPr>
                <w:noProof/>
                <w:webHidden/>
              </w:rPr>
              <w:t>12</w:t>
            </w:r>
            <w:r w:rsidRPr="00001032">
              <w:rPr>
                <w:noProof/>
                <w:webHidden/>
              </w:rPr>
              <w:fldChar w:fldCharType="end"/>
            </w:r>
          </w:hyperlink>
        </w:p>
        <w:p w14:paraId="65EBA916" w14:textId="73540906" w:rsidR="00001032" w:rsidRPr="00001032" w:rsidRDefault="00001032">
          <w:pPr>
            <w:pStyle w:val="TOC2"/>
            <w:tabs>
              <w:tab w:val="right" w:leader="dot" w:pos="9350"/>
            </w:tabs>
            <w:rPr>
              <w:rFonts w:eastAsiaTheme="minorEastAsia"/>
              <w:noProof/>
              <w:sz w:val="24"/>
              <w:szCs w:val="24"/>
            </w:rPr>
          </w:pPr>
          <w:hyperlink w:anchor="_Toc198043907" w:history="1">
            <w:r w:rsidRPr="00001032">
              <w:rPr>
                <w:rStyle w:val="Hyperlink"/>
                <w:rFonts w:ascii="Baskerville Old Face" w:hAnsi="Baskerville Old Face"/>
                <w:noProof/>
              </w:rPr>
              <w:t>1.2 GOVERNANCE STRUCTURE</w:t>
            </w:r>
            <w:r w:rsidRPr="00001032">
              <w:rPr>
                <w:noProof/>
                <w:webHidden/>
              </w:rPr>
              <w:tab/>
            </w:r>
            <w:r w:rsidRPr="00001032">
              <w:rPr>
                <w:noProof/>
                <w:webHidden/>
              </w:rPr>
              <w:fldChar w:fldCharType="begin"/>
            </w:r>
            <w:r w:rsidRPr="00001032">
              <w:rPr>
                <w:noProof/>
                <w:webHidden/>
              </w:rPr>
              <w:instrText xml:space="preserve"> PAGEREF _Toc198043907 \h </w:instrText>
            </w:r>
            <w:r w:rsidRPr="00001032">
              <w:rPr>
                <w:noProof/>
                <w:webHidden/>
              </w:rPr>
            </w:r>
            <w:r w:rsidRPr="00001032">
              <w:rPr>
                <w:noProof/>
                <w:webHidden/>
              </w:rPr>
              <w:fldChar w:fldCharType="separate"/>
            </w:r>
            <w:r w:rsidRPr="00001032">
              <w:rPr>
                <w:noProof/>
                <w:webHidden/>
              </w:rPr>
              <w:t>13</w:t>
            </w:r>
            <w:r w:rsidRPr="00001032">
              <w:rPr>
                <w:noProof/>
                <w:webHidden/>
              </w:rPr>
              <w:fldChar w:fldCharType="end"/>
            </w:r>
          </w:hyperlink>
        </w:p>
        <w:p w14:paraId="1CC295D9" w14:textId="3427B7DD" w:rsidR="00001032" w:rsidRPr="00001032" w:rsidRDefault="00001032">
          <w:pPr>
            <w:pStyle w:val="TOC2"/>
            <w:tabs>
              <w:tab w:val="right" w:leader="dot" w:pos="9350"/>
            </w:tabs>
            <w:rPr>
              <w:rFonts w:eastAsiaTheme="minorEastAsia"/>
              <w:noProof/>
              <w:sz w:val="24"/>
              <w:szCs w:val="24"/>
            </w:rPr>
          </w:pPr>
          <w:hyperlink w:anchor="_Toc198043908" w:history="1">
            <w:r w:rsidRPr="00001032">
              <w:rPr>
                <w:rStyle w:val="Hyperlink"/>
                <w:rFonts w:ascii="Baskerville Old Face" w:hAnsi="Baskerville Old Face"/>
                <w:noProof/>
              </w:rPr>
              <w:t>1.3 MACROECONOMIC OUTLOOK FOR 2024</w:t>
            </w:r>
            <w:r w:rsidRPr="00001032">
              <w:rPr>
                <w:noProof/>
                <w:webHidden/>
              </w:rPr>
              <w:tab/>
            </w:r>
            <w:r w:rsidRPr="00001032">
              <w:rPr>
                <w:noProof/>
                <w:webHidden/>
              </w:rPr>
              <w:fldChar w:fldCharType="begin"/>
            </w:r>
            <w:r w:rsidRPr="00001032">
              <w:rPr>
                <w:noProof/>
                <w:webHidden/>
              </w:rPr>
              <w:instrText xml:space="preserve"> PAGEREF _Toc198043908 \h </w:instrText>
            </w:r>
            <w:r w:rsidRPr="00001032">
              <w:rPr>
                <w:noProof/>
                <w:webHidden/>
              </w:rPr>
            </w:r>
            <w:r w:rsidRPr="00001032">
              <w:rPr>
                <w:noProof/>
                <w:webHidden/>
              </w:rPr>
              <w:fldChar w:fldCharType="separate"/>
            </w:r>
            <w:r w:rsidRPr="00001032">
              <w:rPr>
                <w:noProof/>
                <w:webHidden/>
              </w:rPr>
              <w:t>15</w:t>
            </w:r>
            <w:r w:rsidRPr="00001032">
              <w:rPr>
                <w:noProof/>
                <w:webHidden/>
              </w:rPr>
              <w:fldChar w:fldCharType="end"/>
            </w:r>
          </w:hyperlink>
        </w:p>
        <w:p w14:paraId="6FFB6C0A" w14:textId="73A2020A" w:rsidR="00001032" w:rsidRPr="00001032" w:rsidRDefault="00001032">
          <w:pPr>
            <w:pStyle w:val="TOC2"/>
            <w:tabs>
              <w:tab w:val="right" w:leader="dot" w:pos="9350"/>
            </w:tabs>
            <w:rPr>
              <w:rFonts w:eastAsiaTheme="minorEastAsia"/>
              <w:noProof/>
              <w:sz w:val="24"/>
              <w:szCs w:val="24"/>
            </w:rPr>
          </w:pPr>
          <w:hyperlink w:anchor="_Toc198043909" w:history="1">
            <w:r w:rsidRPr="00001032">
              <w:rPr>
                <w:rStyle w:val="Hyperlink"/>
                <w:rFonts w:ascii="Baskerville Old Face" w:hAnsi="Baskerville Old Face"/>
                <w:noProof/>
                <w:lang w:val="en-GB"/>
              </w:rPr>
              <w:t>1.4 NRA STRATEGIC PLAN 2023-2027</w:t>
            </w:r>
            <w:r w:rsidRPr="00001032">
              <w:rPr>
                <w:noProof/>
                <w:webHidden/>
              </w:rPr>
              <w:tab/>
            </w:r>
            <w:r w:rsidRPr="00001032">
              <w:rPr>
                <w:noProof/>
                <w:webHidden/>
              </w:rPr>
              <w:fldChar w:fldCharType="begin"/>
            </w:r>
            <w:r w:rsidRPr="00001032">
              <w:rPr>
                <w:noProof/>
                <w:webHidden/>
              </w:rPr>
              <w:instrText xml:space="preserve"> PAGEREF _Toc198043909 \h </w:instrText>
            </w:r>
            <w:r w:rsidRPr="00001032">
              <w:rPr>
                <w:noProof/>
                <w:webHidden/>
              </w:rPr>
            </w:r>
            <w:r w:rsidRPr="00001032">
              <w:rPr>
                <w:noProof/>
                <w:webHidden/>
              </w:rPr>
              <w:fldChar w:fldCharType="separate"/>
            </w:r>
            <w:r w:rsidRPr="00001032">
              <w:rPr>
                <w:noProof/>
                <w:webHidden/>
              </w:rPr>
              <w:t>16</w:t>
            </w:r>
            <w:r w:rsidRPr="00001032">
              <w:rPr>
                <w:noProof/>
                <w:webHidden/>
              </w:rPr>
              <w:fldChar w:fldCharType="end"/>
            </w:r>
          </w:hyperlink>
        </w:p>
        <w:p w14:paraId="1B6C9D0B" w14:textId="5CC2A39A" w:rsidR="00001032" w:rsidRPr="00001032" w:rsidRDefault="00001032">
          <w:pPr>
            <w:pStyle w:val="TOC2"/>
            <w:tabs>
              <w:tab w:val="right" w:leader="dot" w:pos="9350"/>
            </w:tabs>
            <w:rPr>
              <w:rFonts w:eastAsiaTheme="minorEastAsia"/>
              <w:noProof/>
              <w:sz w:val="24"/>
              <w:szCs w:val="24"/>
            </w:rPr>
          </w:pPr>
          <w:hyperlink w:anchor="_Toc198043910" w:history="1">
            <w:r w:rsidRPr="00001032">
              <w:rPr>
                <w:rStyle w:val="Hyperlink"/>
                <w:rFonts w:ascii="Baskerville Old Face" w:hAnsi="Baskerville Old Face"/>
                <w:noProof/>
              </w:rPr>
              <w:t>1.5 PROGRESS REPORT ON THE IMPLEMENTATION OF THE 2024 NRA OPERATIONAL PLAN</w:t>
            </w:r>
            <w:r w:rsidRPr="00001032">
              <w:rPr>
                <w:noProof/>
                <w:webHidden/>
              </w:rPr>
              <w:tab/>
            </w:r>
            <w:r w:rsidRPr="00001032">
              <w:rPr>
                <w:noProof/>
                <w:webHidden/>
              </w:rPr>
              <w:fldChar w:fldCharType="begin"/>
            </w:r>
            <w:r w:rsidRPr="00001032">
              <w:rPr>
                <w:noProof/>
                <w:webHidden/>
              </w:rPr>
              <w:instrText xml:space="preserve"> PAGEREF _Toc198043910 \h </w:instrText>
            </w:r>
            <w:r w:rsidRPr="00001032">
              <w:rPr>
                <w:noProof/>
                <w:webHidden/>
              </w:rPr>
            </w:r>
            <w:r w:rsidRPr="00001032">
              <w:rPr>
                <w:noProof/>
                <w:webHidden/>
              </w:rPr>
              <w:fldChar w:fldCharType="separate"/>
            </w:r>
            <w:r w:rsidRPr="00001032">
              <w:rPr>
                <w:noProof/>
                <w:webHidden/>
              </w:rPr>
              <w:t>17</w:t>
            </w:r>
            <w:r w:rsidRPr="00001032">
              <w:rPr>
                <w:noProof/>
                <w:webHidden/>
              </w:rPr>
              <w:fldChar w:fldCharType="end"/>
            </w:r>
          </w:hyperlink>
        </w:p>
        <w:p w14:paraId="30D16791" w14:textId="0C7FF8F1" w:rsidR="00001032" w:rsidRPr="00001032" w:rsidRDefault="00001032">
          <w:pPr>
            <w:pStyle w:val="TOC1"/>
            <w:tabs>
              <w:tab w:val="right" w:leader="dot" w:pos="9350"/>
            </w:tabs>
            <w:rPr>
              <w:rFonts w:eastAsiaTheme="minorEastAsia"/>
              <w:b/>
              <w:bCs/>
              <w:noProof/>
              <w:sz w:val="24"/>
              <w:szCs w:val="24"/>
            </w:rPr>
          </w:pPr>
          <w:hyperlink w:anchor="_Toc198043911" w:history="1">
            <w:r w:rsidRPr="00001032">
              <w:rPr>
                <w:rStyle w:val="Hyperlink"/>
                <w:rFonts w:ascii="Baskerville Old Face" w:hAnsi="Baskerville Old Face"/>
                <w:b/>
                <w:bCs/>
                <w:noProof/>
                <w:lang w:val="en-GB"/>
              </w:rPr>
              <w:t>CHAPTER TWO</w:t>
            </w:r>
            <w:r w:rsidRPr="00001032">
              <w:rPr>
                <w:b/>
                <w:bCs/>
                <w:noProof/>
                <w:webHidden/>
              </w:rPr>
              <w:tab/>
            </w:r>
            <w:r w:rsidRPr="00001032">
              <w:rPr>
                <w:b/>
                <w:bCs/>
                <w:noProof/>
                <w:webHidden/>
              </w:rPr>
              <w:fldChar w:fldCharType="begin"/>
            </w:r>
            <w:r w:rsidRPr="00001032">
              <w:rPr>
                <w:b/>
                <w:bCs/>
                <w:noProof/>
                <w:webHidden/>
              </w:rPr>
              <w:instrText xml:space="preserve"> PAGEREF _Toc198043911 \h </w:instrText>
            </w:r>
            <w:r w:rsidRPr="00001032">
              <w:rPr>
                <w:b/>
                <w:bCs/>
                <w:noProof/>
                <w:webHidden/>
              </w:rPr>
            </w:r>
            <w:r w:rsidRPr="00001032">
              <w:rPr>
                <w:b/>
                <w:bCs/>
                <w:noProof/>
                <w:webHidden/>
              </w:rPr>
              <w:fldChar w:fldCharType="separate"/>
            </w:r>
            <w:r w:rsidRPr="00001032">
              <w:rPr>
                <w:b/>
                <w:bCs/>
                <w:noProof/>
                <w:webHidden/>
              </w:rPr>
              <w:t>20</w:t>
            </w:r>
            <w:r w:rsidRPr="00001032">
              <w:rPr>
                <w:b/>
                <w:bCs/>
                <w:noProof/>
                <w:webHidden/>
              </w:rPr>
              <w:fldChar w:fldCharType="end"/>
            </w:r>
          </w:hyperlink>
        </w:p>
        <w:p w14:paraId="6C7F04D5" w14:textId="45687D78" w:rsidR="00001032" w:rsidRPr="00001032" w:rsidRDefault="00001032">
          <w:pPr>
            <w:pStyle w:val="TOC1"/>
            <w:tabs>
              <w:tab w:val="right" w:leader="dot" w:pos="9350"/>
            </w:tabs>
            <w:rPr>
              <w:rFonts w:eastAsiaTheme="minorEastAsia"/>
              <w:b/>
              <w:bCs/>
              <w:noProof/>
              <w:sz w:val="24"/>
              <w:szCs w:val="24"/>
            </w:rPr>
          </w:pPr>
          <w:hyperlink w:anchor="_Toc198043912" w:history="1">
            <w:r w:rsidRPr="00001032">
              <w:rPr>
                <w:rStyle w:val="Hyperlink"/>
                <w:rFonts w:ascii="Baskerville Old Face" w:eastAsia="Times New Roman" w:hAnsi="Baskerville Old Face"/>
                <w:b/>
                <w:bCs/>
                <w:iCs/>
                <w:noProof/>
              </w:rPr>
              <w:t>2.0 REVENUE AND DUTY-WAIVER PERFORMANCE</w:t>
            </w:r>
            <w:r w:rsidRPr="00001032">
              <w:rPr>
                <w:b/>
                <w:bCs/>
                <w:noProof/>
                <w:webHidden/>
              </w:rPr>
              <w:tab/>
            </w:r>
            <w:r w:rsidRPr="00001032">
              <w:rPr>
                <w:b/>
                <w:bCs/>
                <w:noProof/>
                <w:webHidden/>
              </w:rPr>
              <w:fldChar w:fldCharType="begin"/>
            </w:r>
            <w:r w:rsidRPr="00001032">
              <w:rPr>
                <w:b/>
                <w:bCs/>
                <w:noProof/>
                <w:webHidden/>
              </w:rPr>
              <w:instrText xml:space="preserve"> PAGEREF _Toc198043912 \h </w:instrText>
            </w:r>
            <w:r w:rsidRPr="00001032">
              <w:rPr>
                <w:b/>
                <w:bCs/>
                <w:noProof/>
                <w:webHidden/>
              </w:rPr>
            </w:r>
            <w:r w:rsidRPr="00001032">
              <w:rPr>
                <w:b/>
                <w:bCs/>
                <w:noProof/>
                <w:webHidden/>
              </w:rPr>
              <w:fldChar w:fldCharType="separate"/>
            </w:r>
            <w:r w:rsidRPr="00001032">
              <w:rPr>
                <w:b/>
                <w:bCs/>
                <w:noProof/>
                <w:webHidden/>
              </w:rPr>
              <w:t>20</w:t>
            </w:r>
            <w:r w:rsidRPr="00001032">
              <w:rPr>
                <w:b/>
                <w:bCs/>
                <w:noProof/>
                <w:webHidden/>
              </w:rPr>
              <w:fldChar w:fldCharType="end"/>
            </w:r>
          </w:hyperlink>
        </w:p>
        <w:p w14:paraId="5FE95371" w14:textId="25F2AB72" w:rsidR="00001032" w:rsidRPr="00001032" w:rsidRDefault="00001032">
          <w:pPr>
            <w:pStyle w:val="TOC2"/>
            <w:tabs>
              <w:tab w:val="right" w:leader="dot" w:pos="9350"/>
            </w:tabs>
            <w:rPr>
              <w:rFonts w:eastAsiaTheme="minorEastAsia"/>
              <w:noProof/>
              <w:sz w:val="24"/>
              <w:szCs w:val="24"/>
            </w:rPr>
          </w:pPr>
          <w:hyperlink w:anchor="_Toc198043913" w:history="1">
            <w:r w:rsidRPr="00001032">
              <w:rPr>
                <w:rStyle w:val="Hyperlink"/>
                <w:rFonts w:ascii="Baskerville Old Face" w:hAnsi="Baskerville Old Face"/>
                <w:noProof/>
              </w:rPr>
              <w:t>2.1 OVERVIEW OF REVENUE TARGETS IN 2024</w:t>
            </w:r>
            <w:r w:rsidRPr="00001032">
              <w:rPr>
                <w:noProof/>
                <w:webHidden/>
              </w:rPr>
              <w:tab/>
            </w:r>
            <w:r w:rsidRPr="00001032">
              <w:rPr>
                <w:noProof/>
                <w:webHidden/>
              </w:rPr>
              <w:fldChar w:fldCharType="begin"/>
            </w:r>
            <w:r w:rsidRPr="00001032">
              <w:rPr>
                <w:noProof/>
                <w:webHidden/>
              </w:rPr>
              <w:instrText xml:space="preserve"> PAGEREF _Toc198043913 \h </w:instrText>
            </w:r>
            <w:r w:rsidRPr="00001032">
              <w:rPr>
                <w:noProof/>
                <w:webHidden/>
              </w:rPr>
            </w:r>
            <w:r w:rsidRPr="00001032">
              <w:rPr>
                <w:noProof/>
                <w:webHidden/>
              </w:rPr>
              <w:fldChar w:fldCharType="separate"/>
            </w:r>
            <w:r w:rsidRPr="00001032">
              <w:rPr>
                <w:noProof/>
                <w:webHidden/>
              </w:rPr>
              <w:t>21</w:t>
            </w:r>
            <w:r w:rsidRPr="00001032">
              <w:rPr>
                <w:noProof/>
                <w:webHidden/>
              </w:rPr>
              <w:fldChar w:fldCharType="end"/>
            </w:r>
          </w:hyperlink>
        </w:p>
        <w:p w14:paraId="1532FDD4" w14:textId="351925F9" w:rsidR="00001032" w:rsidRPr="00001032" w:rsidRDefault="00001032">
          <w:pPr>
            <w:pStyle w:val="TOC2"/>
            <w:tabs>
              <w:tab w:val="right" w:leader="dot" w:pos="9350"/>
            </w:tabs>
            <w:rPr>
              <w:rFonts w:eastAsiaTheme="minorEastAsia"/>
              <w:noProof/>
              <w:sz w:val="24"/>
              <w:szCs w:val="24"/>
            </w:rPr>
          </w:pPr>
          <w:hyperlink w:anchor="_Toc198043914" w:history="1">
            <w:r w:rsidRPr="00001032">
              <w:rPr>
                <w:rStyle w:val="Hyperlink"/>
                <w:rFonts w:ascii="Baskerville Old Face" w:hAnsi="Baskerville Old Face"/>
                <w:noProof/>
              </w:rPr>
              <w:t>2.2 REVENUE PERFORMANCE IN 2024</w:t>
            </w:r>
            <w:r w:rsidRPr="00001032">
              <w:rPr>
                <w:noProof/>
                <w:webHidden/>
              </w:rPr>
              <w:tab/>
            </w:r>
            <w:r w:rsidRPr="00001032">
              <w:rPr>
                <w:noProof/>
                <w:webHidden/>
              </w:rPr>
              <w:fldChar w:fldCharType="begin"/>
            </w:r>
            <w:r w:rsidRPr="00001032">
              <w:rPr>
                <w:noProof/>
                <w:webHidden/>
              </w:rPr>
              <w:instrText xml:space="preserve"> PAGEREF _Toc198043914 \h </w:instrText>
            </w:r>
            <w:r w:rsidRPr="00001032">
              <w:rPr>
                <w:noProof/>
                <w:webHidden/>
              </w:rPr>
            </w:r>
            <w:r w:rsidRPr="00001032">
              <w:rPr>
                <w:noProof/>
                <w:webHidden/>
              </w:rPr>
              <w:fldChar w:fldCharType="separate"/>
            </w:r>
            <w:r w:rsidRPr="00001032">
              <w:rPr>
                <w:noProof/>
                <w:webHidden/>
              </w:rPr>
              <w:t>21</w:t>
            </w:r>
            <w:r w:rsidRPr="00001032">
              <w:rPr>
                <w:noProof/>
                <w:webHidden/>
              </w:rPr>
              <w:fldChar w:fldCharType="end"/>
            </w:r>
          </w:hyperlink>
        </w:p>
        <w:p w14:paraId="60407772" w14:textId="4CADFBB1" w:rsidR="00001032" w:rsidRPr="00001032" w:rsidRDefault="00001032">
          <w:pPr>
            <w:pStyle w:val="TOC3"/>
            <w:tabs>
              <w:tab w:val="right" w:leader="dot" w:pos="9350"/>
            </w:tabs>
            <w:rPr>
              <w:rFonts w:eastAsiaTheme="minorEastAsia"/>
              <w:noProof/>
              <w:sz w:val="24"/>
              <w:szCs w:val="24"/>
            </w:rPr>
          </w:pPr>
          <w:hyperlink w:anchor="_Toc198043915" w:history="1">
            <w:r w:rsidRPr="00001032">
              <w:rPr>
                <w:rStyle w:val="Hyperlink"/>
                <w:rFonts w:ascii="Baskerville Old Face" w:hAnsi="Baskerville Old Face"/>
                <w:noProof/>
              </w:rPr>
              <w:t>2.2.1 Revenue Performance in 2024 Compared to 2023</w:t>
            </w:r>
            <w:r w:rsidRPr="00001032">
              <w:rPr>
                <w:noProof/>
                <w:webHidden/>
              </w:rPr>
              <w:tab/>
            </w:r>
            <w:r w:rsidRPr="00001032">
              <w:rPr>
                <w:noProof/>
                <w:webHidden/>
              </w:rPr>
              <w:fldChar w:fldCharType="begin"/>
            </w:r>
            <w:r w:rsidRPr="00001032">
              <w:rPr>
                <w:noProof/>
                <w:webHidden/>
              </w:rPr>
              <w:instrText xml:space="preserve"> PAGEREF _Toc198043915 \h </w:instrText>
            </w:r>
            <w:r w:rsidRPr="00001032">
              <w:rPr>
                <w:noProof/>
                <w:webHidden/>
              </w:rPr>
            </w:r>
            <w:r w:rsidRPr="00001032">
              <w:rPr>
                <w:noProof/>
                <w:webHidden/>
              </w:rPr>
              <w:fldChar w:fldCharType="separate"/>
            </w:r>
            <w:r w:rsidRPr="00001032">
              <w:rPr>
                <w:noProof/>
                <w:webHidden/>
              </w:rPr>
              <w:t>21</w:t>
            </w:r>
            <w:r w:rsidRPr="00001032">
              <w:rPr>
                <w:noProof/>
                <w:webHidden/>
              </w:rPr>
              <w:fldChar w:fldCharType="end"/>
            </w:r>
          </w:hyperlink>
        </w:p>
        <w:p w14:paraId="24332A8E" w14:textId="1E98B3DF" w:rsidR="00001032" w:rsidRPr="00001032" w:rsidRDefault="00001032">
          <w:pPr>
            <w:pStyle w:val="TOC3"/>
            <w:tabs>
              <w:tab w:val="right" w:leader="dot" w:pos="9350"/>
            </w:tabs>
            <w:rPr>
              <w:rFonts w:eastAsiaTheme="minorEastAsia"/>
              <w:noProof/>
              <w:sz w:val="24"/>
              <w:szCs w:val="24"/>
            </w:rPr>
          </w:pPr>
          <w:hyperlink w:anchor="_Toc198043916" w:history="1">
            <w:r w:rsidRPr="00001032">
              <w:rPr>
                <w:rStyle w:val="Hyperlink"/>
                <w:rFonts w:ascii="Baskerville Old Face" w:hAnsi="Baskerville Old Face"/>
                <w:noProof/>
              </w:rPr>
              <w:t>2.2.2 Quarterly Trend in 2024 Revenue Collection</w:t>
            </w:r>
            <w:r w:rsidRPr="00001032">
              <w:rPr>
                <w:noProof/>
                <w:webHidden/>
              </w:rPr>
              <w:tab/>
            </w:r>
            <w:r w:rsidRPr="00001032">
              <w:rPr>
                <w:noProof/>
                <w:webHidden/>
              </w:rPr>
              <w:fldChar w:fldCharType="begin"/>
            </w:r>
            <w:r w:rsidRPr="00001032">
              <w:rPr>
                <w:noProof/>
                <w:webHidden/>
              </w:rPr>
              <w:instrText xml:space="preserve"> PAGEREF _Toc198043916 \h </w:instrText>
            </w:r>
            <w:r w:rsidRPr="00001032">
              <w:rPr>
                <w:noProof/>
                <w:webHidden/>
              </w:rPr>
            </w:r>
            <w:r w:rsidRPr="00001032">
              <w:rPr>
                <w:noProof/>
                <w:webHidden/>
              </w:rPr>
              <w:fldChar w:fldCharType="separate"/>
            </w:r>
            <w:r w:rsidRPr="00001032">
              <w:rPr>
                <w:noProof/>
                <w:webHidden/>
              </w:rPr>
              <w:t>23</w:t>
            </w:r>
            <w:r w:rsidRPr="00001032">
              <w:rPr>
                <w:noProof/>
                <w:webHidden/>
              </w:rPr>
              <w:fldChar w:fldCharType="end"/>
            </w:r>
          </w:hyperlink>
        </w:p>
        <w:p w14:paraId="59F450C4" w14:textId="7C42A6A8" w:rsidR="00001032" w:rsidRPr="00001032" w:rsidRDefault="00001032">
          <w:pPr>
            <w:pStyle w:val="TOC3"/>
            <w:tabs>
              <w:tab w:val="right" w:leader="dot" w:pos="9350"/>
            </w:tabs>
            <w:rPr>
              <w:rFonts w:eastAsiaTheme="minorEastAsia"/>
              <w:noProof/>
              <w:sz w:val="24"/>
              <w:szCs w:val="24"/>
            </w:rPr>
          </w:pPr>
          <w:hyperlink w:anchor="_Toc198043917" w:history="1">
            <w:r w:rsidRPr="00001032">
              <w:rPr>
                <w:rStyle w:val="Hyperlink"/>
                <w:rFonts w:ascii="Baskerville Old Face" w:hAnsi="Baskerville Old Face"/>
                <w:noProof/>
              </w:rPr>
              <w:t>2.2.3 Revenue Performance in 2024 Relative to Target</w:t>
            </w:r>
            <w:r w:rsidRPr="00001032">
              <w:rPr>
                <w:noProof/>
                <w:webHidden/>
              </w:rPr>
              <w:tab/>
            </w:r>
            <w:r w:rsidRPr="00001032">
              <w:rPr>
                <w:noProof/>
                <w:webHidden/>
              </w:rPr>
              <w:fldChar w:fldCharType="begin"/>
            </w:r>
            <w:r w:rsidRPr="00001032">
              <w:rPr>
                <w:noProof/>
                <w:webHidden/>
              </w:rPr>
              <w:instrText xml:space="preserve"> PAGEREF _Toc198043917 \h </w:instrText>
            </w:r>
            <w:r w:rsidRPr="00001032">
              <w:rPr>
                <w:noProof/>
                <w:webHidden/>
              </w:rPr>
            </w:r>
            <w:r w:rsidRPr="00001032">
              <w:rPr>
                <w:noProof/>
                <w:webHidden/>
              </w:rPr>
              <w:fldChar w:fldCharType="separate"/>
            </w:r>
            <w:r w:rsidRPr="00001032">
              <w:rPr>
                <w:noProof/>
                <w:webHidden/>
              </w:rPr>
              <w:t>24</w:t>
            </w:r>
            <w:r w:rsidRPr="00001032">
              <w:rPr>
                <w:noProof/>
                <w:webHidden/>
              </w:rPr>
              <w:fldChar w:fldCharType="end"/>
            </w:r>
          </w:hyperlink>
        </w:p>
        <w:p w14:paraId="0CCB5E7A" w14:textId="5220460F" w:rsidR="00001032" w:rsidRPr="00001032" w:rsidRDefault="00001032">
          <w:pPr>
            <w:pStyle w:val="TOC3"/>
            <w:tabs>
              <w:tab w:val="right" w:leader="dot" w:pos="9350"/>
            </w:tabs>
            <w:rPr>
              <w:rFonts w:eastAsiaTheme="minorEastAsia"/>
              <w:noProof/>
              <w:sz w:val="24"/>
              <w:szCs w:val="24"/>
            </w:rPr>
          </w:pPr>
          <w:hyperlink w:anchor="_Toc198043918" w:history="1">
            <w:r w:rsidRPr="00001032">
              <w:rPr>
                <w:rStyle w:val="Hyperlink"/>
                <w:rFonts w:ascii="Baskerville Old Face" w:hAnsi="Baskerville Old Face"/>
                <w:noProof/>
              </w:rPr>
              <w:t>2.2.4 Reasons for Good Revenue Outcome in 2024</w:t>
            </w:r>
            <w:r w:rsidRPr="00001032">
              <w:rPr>
                <w:noProof/>
                <w:webHidden/>
              </w:rPr>
              <w:tab/>
            </w:r>
            <w:r w:rsidRPr="00001032">
              <w:rPr>
                <w:noProof/>
                <w:webHidden/>
              </w:rPr>
              <w:fldChar w:fldCharType="begin"/>
            </w:r>
            <w:r w:rsidRPr="00001032">
              <w:rPr>
                <w:noProof/>
                <w:webHidden/>
              </w:rPr>
              <w:instrText xml:space="preserve"> PAGEREF _Toc198043918 \h </w:instrText>
            </w:r>
            <w:r w:rsidRPr="00001032">
              <w:rPr>
                <w:noProof/>
                <w:webHidden/>
              </w:rPr>
            </w:r>
            <w:r w:rsidRPr="00001032">
              <w:rPr>
                <w:noProof/>
                <w:webHidden/>
              </w:rPr>
              <w:fldChar w:fldCharType="separate"/>
            </w:r>
            <w:r w:rsidRPr="00001032">
              <w:rPr>
                <w:noProof/>
                <w:webHidden/>
              </w:rPr>
              <w:t>25</w:t>
            </w:r>
            <w:r w:rsidRPr="00001032">
              <w:rPr>
                <w:noProof/>
                <w:webHidden/>
              </w:rPr>
              <w:fldChar w:fldCharType="end"/>
            </w:r>
          </w:hyperlink>
        </w:p>
        <w:p w14:paraId="70F417AE" w14:textId="11EE6A52" w:rsidR="00001032" w:rsidRPr="00001032" w:rsidRDefault="00001032">
          <w:pPr>
            <w:pStyle w:val="TOC3"/>
            <w:tabs>
              <w:tab w:val="right" w:leader="dot" w:pos="9350"/>
            </w:tabs>
            <w:rPr>
              <w:rFonts w:eastAsiaTheme="minorEastAsia"/>
              <w:noProof/>
              <w:sz w:val="24"/>
              <w:szCs w:val="24"/>
            </w:rPr>
          </w:pPr>
          <w:hyperlink w:anchor="_Toc198043919" w:history="1">
            <w:r w:rsidRPr="00001032">
              <w:rPr>
                <w:rStyle w:val="Hyperlink"/>
                <w:rFonts w:ascii="Baskerville Old Face" w:hAnsi="Baskerville Old Face"/>
                <w:noProof/>
              </w:rPr>
              <w:t>2.2.5 Challenges of Revenue Mobilisation in 2024</w:t>
            </w:r>
            <w:r w:rsidRPr="00001032">
              <w:rPr>
                <w:noProof/>
                <w:webHidden/>
              </w:rPr>
              <w:tab/>
            </w:r>
            <w:r w:rsidRPr="00001032">
              <w:rPr>
                <w:noProof/>
                <w:webHidden/>
              </w:rPr>
              <w:fldChar w:fldCharType="begin"/>
            </w:r>
            <w:r w:rsidRPr="00001032">
              <w:rPr>
                <w:noProof/>
                <w:webHidden/>
              </w:rPr>
              <w:instrText xml:space="preserve"> PAGEREF _Toc198043919 \h </w:instrText>
            </w:r>
            <w:r w:rsidRPr="00001032">
              <w:rPr>
                <w:noProof/>
                <w:webHidden/>
              </w:rPr>
            </w:r>
            <w:r w:rsidRPr="00001032">
              <w:rPr>
                <w:noProof/>
                <w:webHidden/>
              </w:rPr>
              <w:fldChar w:fldCharType="separate"/>
            </w:r>
            <w:r w:rsidRPr="00001032">
              <w:rPr>
                <w:noProof/>
                <w:webHidden/>
              </w:rPr>
              <w:t>26</w:t>
            </w:r>
            <w:r w:rsidRPr="00001032">
              <w:rPr>
                <w:noProof/>
                <w:webHidden/>
              </w:rPr>
              <w:fldChar w:fldCharType="end"/>
            </w:r>
          </w:hyperlink>
        </w:p>
        <w:p w14:paraId="5F3D523D" w14:textId="301063F1" w:rsidR="00001032" w:rsidRPr="00001032" w:rsidRDefault="00001032">
          <w:pPr>
            <w:pStyle w:val="TOC3"/>
            <w:tabs>
              <w:tab w:val="right" w:leader="dot" w:pos="9350"/>
            </w:tabs>
            <w:rPr>
              <w:rFonts w:eastAsiaTheme="minorEastAsia"/>
              <w:noProof/>
              <w:sz w:val="24"/>
              <w:szCs w:val="24"/>
            </w:rPr>
          </w:pPr>
          <w:hyperlink w:anchor="_Toc198043920" w:history="1">
            <w:r w:rsidRPr="00001032">
              <w:rPr>
                <w:rStyle w:val="Hyperlink"/>
                <w:rFonts w:ascii="Baskerville Old Face" w:hAnsi="Baskerville Old Face"/>
                <w:noProof/>
              </w:rPr>
              <w:t>2.2.6 Historic Revenue Performance (2020 – 2024)</w:t>
            </w:r>
            <w:r w:rsidRPr="00001032">
              <w:rPr>
                <w:noProof/>
                <w:webHidden/>
              </w:rPr>
              <w:tab/>
            </w:r>
            <w:r w:rsidRPr="00001032">
              <w:rPr>
                <w:noProof/>
                <w:webHidden/>
              </w:rPr>
              <w:fldChar w:fldCharType="begin"/>
            </w:r>
            <w:r w:rsidRPr="00001032">
              <w:rPr>
                <w:noProof/>
                <w:webHidden/>
              </w:rPr>
              <w:instrText xml:space="preserve"> PAGEREF _Toc198043920 \h </w:instrText>
            </w:r>
            <w:r w:rsidRPr="00001032">
              <w:rPr>
                <w:noProof/>
                <w:webHidden/>
              </w:rPr>
            </w:r>
            <w:r w:rsidRPr="00001032">
              <w:rPr>
                <w:noProof/>
                <w:webHidden/>
              </w:rPr>
              <w:fldChar w:fldCharType="separate"/>
            </w:r>
            <w:r w:rsidRPr="00001032">
              <w:rPr>
                <w:noProof/>
                <w:webHidden/>
              </w:rPr>
              <w:t>27</w:t>
            </w:r>
            <w:r w:rsidRPr="00001032">
              <w:rPr>
                <w:noProof/>
                <w:webHidden/>
              </w:rPr>
              <w:fldChar w:fldCharType="end"/>
            </w:r>
          </w:hyperlink>
        </w:p>
        <w:p w14:paraId="4E88DAE1" w14:textId="6F513632" w:rsidR="00001032" w:rsidRPr="00001032" w:rsidRDefault="00001032">
          <w:pPr>
            <w:pStyle w:val="TOC2"/>
            <w:tabs>
              <w:tab w:val="right" w:leader="dot" w:pos="9350"/>
            </w:tabs>
            <w:rPr>
              <w:rFonts w:eastAsiaTheme="minorEastAsia"/>
              <w:noProof/>
              <w:sz w:val="24"/>
              <w:szCs w:val="24"/>
            </w:rPr>
          </w:pPr>
          <w:hyperlink w:anchor="_Toc198043921" w:history="1">
            <w:r w:rsidRPr="00001032">
              <w:rPr>
                <w:rStyle w:val="Hyperlink"/>
                <w:rFonts w:ascii="Baskerville Old Face" w:hAnsi="Baskerville Old Face"/>
                <w:noProof/>
              </w:rPr>
              <w:t>2.3 COMPARATIVE DUTY WAIVER PERFORMANCE, 2024 AND 2023</w:t>
            </w:r>
            <w:r w:rsidRPr="00001032">
              <w:rPr>
                <w:noProof/>
                <w:webHidden/>
              </w:rPr>
              <w:tab/>
            </w:r>
            <w:r w:rsidRPr="00001032">
              <w:rPr>
                <w:noProof/>
                <w:webHidden/>
              </w:rPr>
              <w:fldChar w:fldCharType="begin"/>
            </w:r>
            <w:r w:rsidRPr="00001032">
              <w:rPr>
                <w:noProof/>
                <w:webHidden/>
              </w:rPr>
              <w:instrText xml:space="preserve"> PAGEREF _Toc198043921 \h </w:instrText>
            </w:r>
            <w:r w:rsidRPr="00001032">
              <w:rPr>
                <w:noProof/>
                <w:webHidden/>
              </w:rPr>
            </w:r>
            <w:r w:rsidRPr="00001032">
              <w:rPr>
                <w:noProof/>
                <w:webHidden/>
              </w:rPr>
              <w:fldChar w:fldCharType="separate"/>
            </w:r>
            <w:r w:rsidRPr="00001032">
              <w:rPr>
                <w:noProof/>
                <w:webHidden/>
              </w:rPr>
              <w:t>28</w:t>
            </w:r>
            <w:r w:rsidRPr="00001032">
              <w:rPr>
                <w:noProof/>
                <w:webHidden/>
              </w:rPr>
              <w:fldChar w:fldCharType="end"/>
            </w:r>
          </w:hyperlink>
        </w:p>
        <w:p w14:paraId="7341D914" w14:textId="59F928E2" w:rsidR="00001032" w:rsidRPr="00001032" w:rsidRDefault="00001032">
          <w:pPr>
            <w:pStyle w:val="TOC1"/>
            <w:tabs>
              <w:tab w:val="right" w:leader="dot" w:pos="9350"/>
            </w:tabs>
            <w:rPr>
              <w:rFonts w:eastAsiaTheme="minorEastAsia"/>
              <w:b/>
              <w:bCs/>
              <w:noProof/>
              <w:sz w:val="24"/>
              <w:szCs w:val="24"/>
            </w:rPr>
          </w:pPr>
          <w:hyperlink w:anchor="_Toc198043922" w:history="1">
            <w:r w:rsidRPr="00001032">
              <w:rPr>
                <w:rStyle w:val="Hyperlink"/>
                <w:rFonts w:ascii="Baskerville Old Face" w:hAnsi="Baskerville Old Face"/>
                <w:b/>
                <w:bCs/>
                <w:noProof/>
              </w:rPr>
              <w:t>CHAPTER THREE</w:t>
            </w:r>
            <w:r w:rsidRPr="00001032">
              <w:rPr>
                <w:b/>
                <w:bCs/>
                <w:noProof/>
                <w:webHidden/>
              </w:rPr>
              <w:tab/>
            </w:r>
            <w:r w:rsidRPr="00001032">
              <w:rPr>
                <w:b/>
                <w:bCs/>
                <w:noProof/>
                <w:webHidden/>
              </w:rPr>
              <w:fldChar w:fldCharType="begin"/>
            </w:r>
            <w:r w:rsidRPr="00001032">
              <w:rPr>
                <w:b/>
                <w:bCs/>
                <w:noProof/>
                <w:webHidden/>
              </w:rPr>
              <w:instrText xml:space="preserve"> PAGEREF _Toc198043922 \h </w:instrText>
            </w:r>
            <w:r w:rsidRPr="00001032">
              <w:rPr>
                <w:b/>
                <w:bCs/>
                <w:noProof/>
                <w:webHidden/>
              </w:rPr>
            </w:r>
            <w:r w:rsidRPr="00001032">
              <w:rPr>
                <w:b/>
                <w:bCs/>
                <w:noProof/>
                <w:webHidden/>
              </w:rPr>
              <w:fldChar w:fldCharType="separate"/>
            </w:r>
            <w:r w:rsidRPr="00001032">
              <w:rPr>
                <w:b/>
                <w:bCs/>
                <w:noProof/>
                <w:webHidden/>
              </w:rPr>
              <w:t>31</w:t>
            </w:r>
            <w:r w:rsidRPr="00001032">
              <w:rPr>
                <w:b/>
                <w:bCs/>
                <w:noProof/>
                <w:webHidden/>
              </w:rPr>
              <w:fldChar w:fldCharType="end"/>
            </w:r>
          </w:hyperlink>
        </w:p>
        <w:p w14:paraId="4031D152" w14:textId="13287ACD" w:rsidR="00001032" w:rsidRPr="00001032" w:rsidRDefault="00001032">
          <w:pPr>
            <w:pStyle w:val="TOC1"/>
            <w:tabs>
              <w:tab w:val="right" w:leader="dot" w:pos="9350"/>
            </w:tabs>
            <w:rPr>
              <w:rFonts w:eastAsiaTheme="minorEastAsia"/>
              <w:b/>
              <w:bCs/>
              <w:noProof/>
              <w:sz w:val="24"/>
              <w:szCs w:val="24"/>
            </w:rPr>
          </w:pPr>
          <w:hyperlink w:anchor="_Toc198043923" w:history="1">
            <w:r w:rsidRPr="00001032">
              <w:rPr>
                <w:rStyle w:val="Hyperlink"/>
                <w:rFonts w:ascii="Baskerville Old Face" w:hAnsi="Baskerville Old Face"/>
                <w:b/>
                <w:bCs/>
                <w:noProof/>
              </w:rPr>
              <w:t>3.0 KEY NON-REVENUE ACHIEVEMENTS</w:t>
            </w:r>
            <w:r w:rsidRPr="00001032">
              <w:rPr>
                <w:b/>
                <w:bCs/>
                <w:noProof/>
                <w:webHidden/>
              </w:rPr>
              <w:tab/>
            </w:r>
            <w:r w:rsidRPr="00001032">
              <w:rPr>
                <w:b/>
                <w:bCs/>
                <w:noProof/>
                <w:webHidden/>
              </w:rPr>
              <w:fldChar w:fldCharType="begin"/>
            </w:r>
            <w:r w:rsidRPr="00001032">
              <w:rPr>
                <w:b/>
                <w:bCs/>
                <w:noProof/>
                <w:webHidden/>
              </w:rPr>
              <w:instrText xml:space="preserve"> PAGEREF _Toc198043923 \h </w:instrText>
            </w:r>
            <w:r w:rsidRPr="00001032">
              <w:rPr>
                <w:b/>
                <w:bCs/>
                <w:noProof/>
                <w:webHidden/>
              </w:rPr>
            </w:r>
            <w:r w:rsidRPr="00001032">
              <w:rPr>
                <w:b/>
                <w:bCs/>
                <w:noProof/>
                <w:webHidden/>
              </w:rPr>
              <w:fldChar w:fldCharType="separate"/>
            </w:r>
            <w:r w:rsidRPr="00001032">
              <w:rPr>
                <w:b/>
                <w:bCs/>
                <w:noProof/>
                <w:webHidden/>
              </w:rPr>
              <w:t>31</w:t>
            </w:r>
            <w:r w:rsidRPr="00001032">
              <w:rPr>
                <w:b/>
                <w:bCs/>
                <w:noProof/>
                <w:webHidden/>
              </w:rPr>
              <w:fldChar w:fldCharType="end"/>
            </w:r>
          </w:hyperlink>
        </w:p>
        <w:p w14:paraId="523816C5" w14:textId="0D83A212" w:rsidR="00001032" w:rsidRPr="00001032" w:rsidRDefault="00001032">
          <w:pPr>
            <w:pStyle w:val="TOC2"/>
            <w:tabs>
              <w:tab w:val="right" w:leader="dot" w:pos="9350"/>
            </w:tabs>
            <w:rPr>
              <w:rFonts w:eastAsiaTheme="minorEastAsia"/>
              <w:noProof/>
              <w:sz w:val="24"/>
              <w:szCs w:val="24"/>
            </w:rPr>
          </w:pPr>
          <w:hyperlink w:anchor="_Toc198043924" w:history="1">
            <w:r w:rsidRPr="00001032">
              <w:rPr>
                <w:rStyle w:val="Hyperlink"/>
                <w:rFonts w:ascii="Baskerville Old Face" w:hAnsi="Baskerville Old Face"/>
                <w:noProof/>
              </w:rPr>
              <w:t>3.1 HUMAN RESOURCE AND STAFF WELFARE MANAGEMENT</w:t>
            </w:r>
            <w:r w:rsidRPr="00001032">
              <w:rPr>
                <w:noProof/>
                <w:webHidden/>
              </w:rPr>
              <w:tab/>
            </w:r>
            <w:r w:rsidRPr="00001032">
              <w:rPr>
                <w:noProof/>
                <w:webHidden/>
              </w:rPr>
              <w:fldChar w:fldCharType="begin"/>
            </w:r>
            <w:r w:rsidRPr="00001032">
              <w:rPr>
                <w:noProof/>
                <w:webHidden/>
              </w:rPr>
              <w:instrText xml:space="preserve"> PAGEREF _Toc198043924 \h </w:instrText>
            </w:r>
            <w:r w:rsidRPr="00001032">
              <w:rPr>
                <w:noProof/>
                <w:webHidden/>
              </w:rPr>
            </w:r>
            <w:r w:rsidRPr="00001032">
              <w:rPr>
                <w:noProof/>
                <w:webHidden/>
              </w:rPr>
              <w:fldChar w:fldCharType="separate"/>
            </w:r>
            <w:r w:rsidRPr="00001032">
              <w:rPr>
                <w:noProof/>
                <w:webHidden/>
              </w:rPr>
              <w:t>31</w:t>
            </w:r>
            <w:r w:rsidRPr="00001032">
              <w:rPr>
                <w:noProof/>
                <w:webHidden/>
              </w:rPr>
              <w:fldChar w:fldCharType="end"/>
            </w:r>
          </w:hyperlink>
        </w:p>
        <w:p w14:paraId="4CCE778E" w14:textId="5984CAEE" w:rsidR="00001032" w:rsidRPr="00001032" w:rsidRDefault="00001032">
          <w:pPr>
            <w:pStyle w:val="TOC3"/>
            <w:tabs>
              <w:tab w:val="right" w:leader="dot" w:pos="9350"/>
            </w:tabs>
            <w:rPr>
              <w:rFonts w:eastAsiaTheme="minorEastAsia"/>
              <w:noProof/>
              <w:sz w:val="24"/>
              <w:szCs w:val="24"/>
            </w:rPr>
          </w:pPr>
          <w:hyperlink w:anchor="_Toc198043925" w:history="1">
            <w:r w:rsidRPr="00001032">
              <w:rPr>
                <w:rStyle w:val="Hyperlink"/>
                <w:rFonts w:ascii="Baskerville Old Face" w:hAnsi="Baskerville Old Face"/>
                <w:noProof/>
              </w:rPr>
              <w:t>3.1.1 Staff Strength</w:t>
            </w:r>
            <w:r w:rsidRPr="00001032">
              <w:rPr>
                <w:noProof/>
                <w:webHidden/>
              </w:rPr>
              <w:tab/>
            </w:r>
            <w:r w:rsidRPr="00001032">
              <w:rPr>
                <w:noProof/>
                <w:webHidden/>
              </w:rPr>
              <w:fldChar w:fldCharType="begin"/>
            </w:r>
            <w:r w:rsidRPr="00001032">
              <w:rPr>
                <w:noProof/>
                <w:webHidden/>
              </w:rPr>
              <w:instrText xml:space="preserve"> PAGEREF _Toc198043925 \h </w:instrText>
            </w:r>
            <w:r w:rsidRPr="00001032">
              <w:rPr>
                <w:noProof/>
                <w:webHidden/>
              </w:rPr>
            </w:r>
            <w:r w:rsidRPr="00001032">
              <w:rPr>
                <w:noProof/>
                <w:webHidden/>
              </w:rPr>
              <w:fldChar w:fldCharType="separate"/>
            </w:r>
            <w:r w:rsidRPr="00001032">
              <w:rPr>
                <w:noProof/>
                <w:webHidden/>
              </w:rPr>
              <w:t>31</w:t>
            </w:r>
            <w:r w:rsidRPr="00001032">
              <w:rPr>
                <w:noProof/>
                <w:webHidden/>
              </w:rPr>
              <w:fldChar w:fldCharType="end"/>
            </w:r>
          </w:hyperlink>
        </w:p>
        <w:p w14:paraId="27CD6352" w14:textId="3DFCADD2" w:rsidR="00001032" w:rsidRPr="00001032" w:rsidRDefault="00001032">
          <w:pPr>
            <w:pStyle w:val="TOC3"/>
            <w:tabs>
              <w:tab w:val="right" w:leader="dot" w:pos="9350"/>
            </w:tabs>
            <w:rPr>
              <w:rFonts w:eastAsiaTheme="minorEastAsia"/>
              <w:noProof/>
              <w:sz w:val="24"/>
              <w:szCs w:val="24"/>
            </w:rPr>
          </w:pPr>
          <w:hyperlink w:anchor="_Toc198043926" w:history="1">
            <w:r w:rsidRPr="00001032">
              <w:rPr>
                <w:rStyle w:val="Hyperlink"/>
                <w:rFonts w:ascii="Baskerville Old Face" w:hAnsi="Baskerville Old Face"/>
                <w:noProof/>
              </w:rPr>
              <w:t>3.1.2 Staff Separation</w:t>
            </w:r>
            <w:r w:rsidRPr="00001032">
              <w:rPr>
                <w:noProof/>
                <w:webHidden/>
              </w:rPr>
              <w:tab/>
            </w:r>
            <w:r w:rsidRPr="00001032">
              <w:rPr>
                <w:noProof/>
                <w:webHidden/>
              </w:rPr>
              <w:fldChar w:fldCharType="begin"/>
            </w:r>
            <w:r w:rsidRPr="00001032">
              <w:rPr>
                <w:noProof/>
                <w:webHidden/>
              </w:rPr>
              <w:instrText xml:space="preserve"> PAGEREF _Toc198043926 \h </w:instrText>
            </w:r>
            <w:r w:rsidRPr="00001032">
              <w:rPr>
                <w:noProof/>
                <w:webHidden/>
              </w:rPr>
            </w:r>
            <w:r w:rsidRPr="00001032">
              <w:rPr>
                <w:noProof/>
                <w:webHidden/>
              </w:rPr>
              <w:fldChar w:fldCharType="separate"/>
            </w:r>
            <w:r w:rsidRPr="00001032">
              <w:rPr>
                <w:noProof/>
                <w:webHidden/>
              </w:rPr>
              <w:t>32</w:t>
            </w:r>
            <w:r w:rsidRPr="00001032">
              <w:rPr>
                <w:noProof/>
                <w:webHidden/>
              </w:rPr>
              <w:fldChar w:fldCharType="end"/>
            </w:r>
          </w:hyperlink>
        </w:p>
        <w:p w14:paraId="0D680760" w14:textId="6C2E2D29" w:rsidR="00001032" w:rsidRPr="00001032" w:rsidRDefault="00001032">
          <w:pPr>
            <w:pStyle w:val="TOC3"/>
            <w:tabs>
              <w:tab w:val="right" w:leader="dot" w:pos="9350"/>
            </w:tabs>
            <w:rPr>
              <w:rFonts w:eastAsiaTheme="minorEastAsia"/>
              <w:noProof/>
              <w:sz w:val="24"/>
              <w:szCs w:val="24"/>
            </w:rPr>
          </w:pPr>
          <w:hyperlink w:anchor="_Toc198043927" w:history="1">
            <w:r w:rsidRPr="00001032">
              <w:rPr>
                <w:rStyle w:val="Hyperlink"/>
                <w:rFonts w:ascii="Baskerville Old Face" w:hAnsi="Baskerville Old Face"/>
                <w:noProof/>
              </w:rPr>
              <w:t>3.1.3 Staff Recruitment, Confirmation, Promotion and Engagement</w:t>
            </w:r>
            <w:r w:rsidRPr="00001032">
              <w:rPr>
                <w:noProof/>
                <w:webHidden/>
              </w:rPr>
              <w:tab/>
            </w:r>
            <w:r w:rsidRPr="00001032">
              <w:rPr>
                <w:noProof/>
                <w:webHidden/>
              </w:rPr>
              <w:fldChar w:fldCharType="begin"/>
            </w:r>
            <w:r w:rsidRPr="00001032">
              <w:rPr>
                <w:noProof/>
                <w:webHidden/>
              </w:rPr>
              <w:instrText xml:space="preserve"> PAGEREF _Toc198043927 \h </w:instrText>
            </w:r>
            <w:r w:rsidRPr="00001032">
              <w:rPr>
                <w:noProof/>
                <w:webHidden/>
              </w:rPr>
            </w:r>
            <w:r w:rsidRPr="00001032">
              <w:rPr>
                <w:noProof/>
                <w:webHidden/>
              </w:rPr>
              <w:fldChar w:fldCharType="separate"/>
            </w:r>
            <w:r w:rsidRPr="00001032">
              <w:rPr>
                <w:noProof/>
                <w:webHidden/>
              </w:rPr>
              <w:t>34</w:t>
            </w:r>
            <w:r w:rsidRPr="00001032">
              <w:rPr>
                <w:noProof/>
                <w:webHidden/>
              </w:rPr>
              <w:fldChar w:fldCharType="end"/>
            </w:r>
          </w:hyperlink>
        </w:p>
        <w:p w14:paraId="6AEFA565" w14:textId="63861E52" w:rsidR="00001032" w:rsidRPr="00001032" w:rsidRDefault="00001032">
          <w:pPr>
            <w:pStyle w:val="TOC3"/>
            <w:tabs>
              <w:tab w:val="right" w:leader="dot" w:pos="9350"/>
            </w:tabs>
            <w:rPr>
              <w:rFonts w:eastAsiaTheme="minorEastAsia"/>
              <w:noProof/>
              <w:sz w:val="24"/>
              <w:szCs w:val="24"/>
            </w:rPr>
          </w:pPr>
          <w:hyperlink w:anchor="_Toc198043928" w:history="1">
            <w:r w:rsidRPr="00001032">
              <w:rPr>
                <w:rStyle w:val="Hyperlink"/>
                <w:rFonts w:ascii="Baskerville Old Face" w:hAnsi="Baskerville Old Face"/>
                <w:noProof/>
              </w:rPr>
              <w:t>3.1.4 Capacity Building and Staff Development</w:t>
            </w:r>
            <w:r w:rsidRPr="00001032">
              <w:rPr>
                <w:noProof/>
                <w:webHidden/>
              </w:rPr>
              <w:tab/>
            </w:r>
            <w:r w:rsidRPr="00001032">
              <w:rPr>
                <w:noProof/>
                <w:webHidden/>
              </w:rPr>
              <w:fldChar w:fldCharType="begin"/>
            </w:r>
            <w:r w:rsidRPr="00001032">
              <w:rPr>
                <w:noProof/>
                <w:webHidden/>
              </w:rPr>
              <w:instrText xml:space="preserve"> PAGEREF _Toc198043928 \h </w:instrText>
            </w:r>
            <w:r w:rsidRPr="00001032">
              <w:rPr>
                <w:noProof/>
                <w:webHidden/>
              </w:rPr>
            </w:r>
            <w:r w:rsidRPr="00001032">
              <w:rPr>
                <w:noProof/>
                <w:webHidden/>
              </w:rPr>
              <w:fldChar w:fldCharType="separate"/>
            </w:r>
            <w:r w:rsidRPr="00001032">
              <w:rPr>
                <w:noProof/>
                <w:webHidden/>
              </w:rPr>
              <w:t>34</w:t>
            </w:r>
            <w:r w:rsidRPr="00001032">
              <w:rPr>
                <w:noProof/>
                <w:webHidden/>
              </w:rPr>
              <w:fldChar w:fldCharType="end"/>
            </w:r>
          </w:hyperlink>
        </w:p>
        <w:p w14:paraId="06A90463" w14:textId="50B6BA63" w:rsidR="00001032" w:rsidRPr="00001032" w:rsidRDefault="00001032">
          <w:pPr>
            <w:pStyle w:val="TOC3"/>
            <w:tabs>
              <w:tab w:val="right" w:leader="dot" w:pos="9350"/>
            </w:tabs>
            <w:rPr>
              <w:rFonts w:eastAsiaTheme="minorEastAsia"/>
              <w:noProof/>
              <w:sz w:val="24"/>
              <w:szCs w:val="24"/>
            </w:rPr>
          </w:pPr>
          <w:hyperlink w:anchor="_Toc198043929" w:history="1">
            <w:r w:rsidRPr="00001032">
              <w:rPr>
                <w:rStyle w:val="Hyperlink"/>
                <w:rFonts w:ascii="Baskerville Old Face" w:hAnsi="Baskerville Old Face"/>
                <w:noProof/>
              </w:rPr>
              <w:t>3.1.5 Biometric Attendance Management</w:t>
            </w:r>
            <w:r w:rsidRPr="00001032">
              <w:rPr>
                <w:noProof/>
                <w:webHidden/>
              </w:rPr>
              <w:tab/>
            </w:r>
            <w:r w:rsidRPr="00001032">
              <w:rPr>
                <w:noProof/>
                <w:webHidden/>
              </w:rPr>
              <w:fldChar w:fldCharType="begin"/>
            </w:r>
            <w:r w:rsidRPr="00001032">
              <w:rPr>
                <w:noProof/>
                <w:webHidden/>
              </w:rPr>
              <w:instrText xml:space="preserve"> PAGEREF _Toc198043929 \h </w:instrText>
            </w:r>
            <w:r w:rsidRPr="00001032">
              <w:rPr>
                <w:noProof/>
                <w:webHidden/>
              </w:rPr>
            </w:r>
            <w:r w:rsidRPr="00001032">
              <w:rPr>
                <w:noProof/>
                <w:webHidden/>
              </w:rPr>
              <w:fldChar w:fldCharType="separate"/>
            </w:r>
            <w:r w:rsidRPr="00001032">
              <w:rPr>
                <w:noProof/>
                <w:webHidden/>
              </w:rPr>
              <w:t>35</w:t>
            </w:r>
            <w:r w:rsidRPr="00001032">
              <w:rPr>
                <w:noProof/>
                <w:webHidden/>
              </w:rPr>
              <w:fldChar w:fldCharType="end"/>
            </w:r>
          </w:hyperlink>
        </w:p>
        <w:p w14:paraId="1D1A04A3" w14:textId="5AF7660A" w:rsidR="00001032" w:rsidRPr="00001032" w:rsidRDefault="00001032">
          <w:pPr>
            <w:pStyle w:val="TOC3"/>
            <w:tabs>
              <w:tab w:val="right" w:leader="dot" w:pos="9350"/>
            </w:tabs>
            <w:rPr>
              <w:rFonts w:eastAsiaTheme="minorEastAsia"/>
              <w:noProof/>
              <w:sz w:val="24"/>
              <w:szCs w:val="24"/>
            </w:rPr>
          </w:pPr>
          <w:hyperlink w:anchor="_Toc198043930" w:history="1">
            <w:r w:rsidRPr="00001032">
              <w:rPr>
                <w:rStyle w:val="Hyperlink"/>
                <w:rFonts w:ascii="Baskerville Old Face" w:hAnsi="Baskerville Old Face"/>
                <w:noProof/>
              </w:rPr>
              <w:t>3.1.6 Management of Sick Leave and Death Benefits</w:t>
            </w:r>
            <w:r w:rsidRPr="00001032">
              <w:rPr>
                <w:noProof/>
                <w:webHidden/>
              </w:rPr>
              <w:tab/>
            </w:r>
            <w:r w:rsidRPr="00001032">
              <w:rPr>
                <w:noProof/>
                <w:webHidden/>
              </w:rPr>
              <w:fldChar w:fldCharType="begin"/>
            </w:r>
            <w:r w:rsidRPr="00001032">
              <w:rPr>
                <w:noProof/>
                <w:webHidden/>
              </w:rPr>
              <w:instrText xml:space="preserve"> PAGEREF _Toc198043930 \h </w:instrText>
            </w:r>
            <w:r w:rsidRPr="00001032">
              <w:rPr>
                <w:noProof/>
                <w:webHidden/>
              </w:rPr>
            </w:r>
            <w:r w:rsidRPr="00001032">
              <w:rPr>
                <w:noProof/>
                <w:webHidden/>
              </w:rPr>
              <w:fldChar w:fldCharType="separate"/>
            </w:r>
            <w:r w:rsidRPr="00001032">
              <w:rPr>
                <w:noProof/>
                <w:webHidden/>
              </w:rPr>
              <w:t>36</w:t>
            </w:r>
            <w:r w:rsidRPr="00001032">
              <w:rPr>
                <w:noProof/>
                <w:webHidden/>
              </w:rPr>
              <w:fldChar w:fldCharType="end"/>
            </w:r>
          </w:hyperlink>
        </w:p>
        <w:p w14:paraId="0A309D50" w14:textId="7E747CF1" w:rsidR="00001032" w:rsidRPr="00001032" w:rsidRDefault="00001032">
          <w:pPr>
            <w:pStyle w:val="TOC2"/>
            <w:tabs>
              <w:tab w:val="right" w:leader="dot" w:pos="9350"/>
            </w:tabs>
            <w:rPr>
              <w:rFonts w:eastAsiaTheme="minorEastAsia"/>
              <w:noProof/>
              <w:sz w:val="24"/>
              <w:szCs w:val="24"/>
            </w:rPr>
          </w:pPr>
          <w:hyperlink w:anchor="_Toc198043931" w:history="1">
            <w:r w:rsidRPr="00001032">
              <w:rPr>
                <w:rStyle w:val="Hyperlink"/>
                <w:rFonts w:ascii="Baskerville Old Face" w:hAnsi="Baskerville Old Face"/>
                <w:noProof/>
              </w:rPr>
              <w:t>3.2 UPDATE ON REVENUE INTELLIGENCE AND INVESTIGATIONS</w:t>
            </w:r>
            <w:r w:rsidRPr="00001032">
              <w:rPr>
                <w:noProof/>
                <w:webHidden/>
              </w:rPr>
              <w:tab/>
            </w:r>
            <w:r w:rsidRPr="00001032">
              <w:rPr>
                <w:noProof/>
                <w:webHidden/>
              </w:rPr>
              <w:fldChar w:fldCharType="begin"/>
            </w:r>
            <w:r w:rsidRPr="00001032">
              <w:rPr>
                <w:noProof/>
                <w:webHidden/>
              </w:rPr>
              <w:instrText xml:space="preserve"> PAGEREF _Toc198043931 \h </w:instrText>
            </w:r>
            <w:r w:rsidRPr="00001032">
              <w:rPr>
                <w:noProof/>
                <w:webHidden/>
              </w:rPr>
            </w:r>
            <w:r w:rsidRPr="00001032">
              <w:rPr>
                <w:noProof/>
                <w:webHidden/>
              </w:rPr>
              <w:fldChar w:fldCharType="separate"/>
            </w:r>
            <w:r w:rsidRPr="00001032">
              <w:rPr>
                <w:noProof/>
                <w:webHidden/>
              </w:rPr>
              <w:t>36</w:t>
            </w:r>
            <w:r w:rsidRPr="00001032">
              <w:rPr>
                <w:noProof/>
                <w:webHidden/>
              </w:rPr>
              <w:fldChar w:fldCharType="end"/>
            </w:r>
          </w:hyperlink>
        </w:p>
        <w:p w14:paraId="060FAD1B" w14:textId="2792BEAC" w:rsidR="00001032" w:rsidRPr="00001032" w:rsidRDefault="00001032">
          <w:pPr>
            <w:pStyle w:val="TOC2"/>
            <w:tabs>
              <w:tab w:val="right" w:leader="dot" w:pos="9350"/>
            </w:tabs>
            <w:rPr>
              <w:rFonts w:eastAsiaTheme="minorEastAsia"/>
              <w:noProof/>
              <w:sz w:val="24"/>
              <w:szCs w:val="24"/>
            </w:rPr>
          </w:pPr>
          <w:hyperlink w:anchor="_Toc198043932" w:history="1">
            <w:r w:rsidRPr="00001032">
              <w:rPr>
                <w:rStyle w:val="Hyperlink"/>
                <w:rFonts w:ascii="Baskerville Old Face" w:hAnsi="Baskerville Old Face"/>
                <w:noProof/>
              </w:rPr>
              <w:t>3.3 STRENGTHENING NON-TAX REVENUE MOBILISATION</w:t>
            </w:r>
            <w:r w:rsidRPr="00001032">
              <w:rPr>
                <w:noProof/>
                <w:webHidden/>
              </w:rPr>
              <w:tab/>
            </w:r>
            <w:r w:rsidRPr="00001032">
              <w:rPr>
                <w:noProof/>
                <w:webHidden/>
              </w:rPr>
              <w:fldChar w:fldCharType="begin"/>
            </w:r>
            <w:r w:rsidRPr="00001032">
              <w:rPr>
                <w:noProof/>
                <w:webHidden/>
              </w:rPr>
              <w:instrText xml:space="preserve"> PAGEREF _Toc198043932 \h </w:instrText>
            </w:r>
            <w:r w:rsidRPr="00001032">
              <w:rPr>
                <w:noProof/>
                <w:webHidden/>
              </w:rPr>
            </w:r>
            <w:r w:rsidRPr="00001032">
              <w:rPr>
                <w:noProof/>
                <w:webHidden/>
              </w:rPr>
              <w:fldChar w:fldCharType="separate"/>
            </w:r>
            <w:r w:rsidRPr="00001032">
              <w:rPr>
                <w:noProof/>
                <w:webHidden/>
              </w:rPr>
              <w:t>37</w:t>
            </w:r>
            <w:r w:rsidRPr="00001032">
              <w:rPr>
                <w:noProof/>
                <w:webHidden/>
              </w:rPr>
              <w:fldChar w:fldCharType="end"/>
            </w:r>
          </w:hyperlink>
        </w:p>
        <w:p w14:paraId="22708A46" w14:textId="0546B34F" w:rsidR="00001032" w:rsidRPr="00001032" w:rsidRDefault="00001032">
          <w:pPr>
            <w:pStyle w:val="TOC2"/>
            <w:tabs>
              <w:tab w:val="right" w:leader="dot" w:pos="9350"/>
            </w:tabs>
            <w:rPr>
              <w:rFonts w:eastAsiaTheme="minorEastAsia"/>
              <w:noProof/>
              <w:sz w:val="24"/>
              <w:szCs w:val="24"/>
            </w:rPr>
          </w:pPr>
          <w:hyperlink w:anchor="_Toc198043933" w:history="1">
            <w:r w:rsidRPr="00001032">
              <w:rPr>
                <w:rStyle w:val="Hyperlink"/>
                <w:rFonts w:ascii="Baskerville Old Face" w:hAnsi="Baskerville Old Face"/>
                <w:noProof/>
              </w:rPr>
              <w:t>3.4 ICT ACTIVITIES UPDATE</w:t>
            </w:r>
            <w:r w:rsidRPr="00001032">
              <w:rPr>
                <w:noProof/>
                <w:webHidden/>
              </w:rPr>
              <w:tab/>
            </w:r>
            <w:r w:rsidRPr="00001032">
              <w:rPr>
                <w:noProof/>
                <w:webHidden/>
              </w:rPr>
              <w:fldChar w:fldCharType="begin"/>
            </w:r>
            <w:r w:rsidRPr="00001032">
              <w:rPr>
                <w:noProof/>
                <w:webHidden/>
              </w:rPr>
              <w:instrText xml:space="preserve"> PAGEREF _Toc198043933 \h </w:instrText>
            </w:r>
            <w:r w:rsidRPr="00001032">
              <w:rPr>
                <w:noProof/>
                <w:webHidden/>
              </w:rPr>
            </w:r>
            <w:r w:rsidRPr="00001032">
              <w:rPr>
                <w:noProof/>
                <w:webHidden/>
              </w:rPr>
              <w:fldChar w:fldCharType="separate"/>
            </w:r>
            <w:r w:rsidRPr="00001032">
              <w:rPr>
                <w:noProof/>
                <w:webHidden/>
              </w:rPr>
              <w:t>38</w:t>
            </w:r>
            <w:r w:rsidRPr="00001032">
              <w:rPr>
                <w:noProof/>
                <w:webHidden/>
              </w:rPr>
              <w:fldChar w:fldCharType="end"/>
            </w:r>
          </w:hyperlink>
        </w:p>
        <w:p w14:paraId="52757260" w14:textId="0808F692" w:rsidR="00001032" w:rsidRPr="00001032" w:rsidRDefault="00001032">
          <w:pPr>
            <w:pStyle w:val="TOC1"/>
            <w:tabs>
              <w:tab w:val="right" w:leader="dot" w:pos="9350"/>
            </w:tabs>
            <w:rPr>
              <w:rFonts w:eastAsiaTheme="minorEastAsia"/>
              <w:b/>
              <w:bCs/>
              <w:noProof/>
              <w:sz w:val="24"/>
              <w:szCs w:val="24"/>
            </w:rPr>
          </w:pPr>
          <w:hyperlink w:anchor="_Toc198043934" w:history="1">
            <w:r w:rsidRPr="00001032">
              <w:rPr>
                <w:rStyle w:val="Hyperlink"/>
                <w:rFonts w:ascii="Baskerville Old Face" w:hAnsi="Baskerville Old Face"/>
                <w:b/>
                <w:bCs/>
                <w:noProof/>
                <w:lang w:val="en-GB"/>
              </w:rPr>
              <w:t>CHAPTER FOUR</w:t>
            </w:r>
            <w:r w:rsidRPr="00001032">
              <w:rPr>
                <w:b/>
                <w:bCs/>
                <w:noProof/>
                <w:webHidden/>
              </w:rPr>
              <w:tab/>
            </w:r>
            <w:r w:rsidRPr="00001032">
              <w:rPr>
                <w:b/>
                <w:bCs/>
                <w:noProof/>
                <w:webHidden/>
              </w:rPr>
              <w:fldChar w:fldCharType="begin"/>
            </w:r>
            <w:r w:rsidRPr="00001032">
              <w:rPr>
                <w:b/>
                <w:bCs/>
                <w:noProof/>
                <w:webHidden/>
              </w:rPr>
              <w:instrText xml:space="preserve"> PAGEREF _Toc198043934 \h </w:instrText>
            </w:r>
            <w:r w:rsidRPr="00001032">
              <w:rPr>
                <w:b/>
                <w:bCs/>
                <w:noProof/>
                <w:webHidden/>
              </w:rPr>
            </w:r>
            <w:r w:rsidRPr="00001032">
              <w:rPr>
                <w:b/>
                <w:bCs/>
                <w:noProof/>
                <w:webHidden/>
              </w:rPr>
              <w:fldChar w:fldCharType="separate"/>
            </w:r>
            <w:r w:rsidRPr="00001032">
              <w:rPr>
                <w:b/>
                <w:bCs/>
                <w:noProof/>
                <w:webHidden/>
              </w:rPr>
              <w:t>40</w:t>
            </w:r>
            <w:r w:rsidRPr="00001032">
              <w:rPr>
                <w:b/>
                <w:bCs/>
                <w:noProof/>
                <w:webHidden/>
              </w:rPr>
              <w:fldChar w:fldCharType="end"/>
            </w:r>
          </w:hyperlink>
        </w:p>
        <w:p w14:paraId="7EB1A9A2" w14:textId="02785344" w:rsidR="00001032" w:rsidRPr="00001032" w:rsidRDefault="00001032">
          <w:pPr>
            <w:pStyle w:val="TOC1"/>
            <w:tabs>
              <w:tab w:val="right" w:leader="dot" w:pos="9350"/>
            </w:tabs>
            <w:rPr>
              <w:rFonts w:eastAsiaTheme="minorEastAsia"/>
              <w:b/>
              <w:bCs/>
              <w:noProof/>
              <w:sz w:val="24"/>
              <w:szCs w:val="24"/>
            </w:rPr>
          </w:pPr>
          <w:hyperlink w:anchor="_Toc198043935" w:history="1">
            <w:r w:rsidRPr="00001032">
              <w:rPr>
                <w:rStyle w:val="Hyperlink"/>
                <w:rFonts w:ascii="Baskerville Old Face" w:hAnsi="Baskerville Old Face"/>
                <w:b/>
                <w:bCs/>
                <w:noProof/>
                <w:lang w:val="en-GB"/>
              </w:rPr>
              <w:t>4.0 SPECIAL RELEVANCE STATISTICS</w:t>
            </w:r>
            <w:r w:rsidRPr="00001032">
              <w:rPr>
                <w:b/>
                <w:bCs/>
                <w:noProof/>
                <w:webHidden/>
              </w:rPr>
              <w:tab/>
            </w:r>
            <w:r w:rsidRPr="00001032">
              <w:rPr>
                <w:b/>
                <w:bCs/>
                <w:noProof/>
                <w:webHidden/>
              </w:rPr>
              <w:fldChar w:fldCharType="begin"/>
            </w:r>
            <w:r w:rsidRPr="00001032">
              <w:rPr>
                <w:b/>
                <w:bCs/>
                <w:noProof/>
                <w:webHidden/>
              </w:rPr>
              <w:instrText xml:space="preserve"> PAGEREF _Toc198043935 \h </w:instrText>
            </w:r>
            <w:r w:rsidRPr="00001032">
              <w:rPr>
                <w:b/>
                <w:bCs/>
                <w:noProof/>
                <w:webHidden/>
              </w:rPr>
            </w:r>
            <w:r w:rsidRPr="00001032">
              <w:rPr>
                <w:b/>
                <w:bCs/>
                <w:noProof/>
                <w:webHidden/>
              </w:rPr>
              <w:fldChar w:fldCharType="separate"/>
            </w:r>
            <w:r w:rsidRPr="00001032">
              <w:rPr>
                <w:b/>
                <w:bCs/>
                <w:noProof/>
                <w:webHidden/>
              </w:rPr>
              <w:t>40</w:t>
            </w:r>
            <w:r w:rsidRPr="00001032">
              <w:rPr>
                <w:b/>
                <w:bCs/>
                <w:noProof/>
                <w:webHidden/>
              </w:rPr>
              <w:fldChar w:fldCharType="end"/>
            </w:r>
          </w:hyperlink>
        </w:p>
        <w:p w14:paraId="00C5A71D" w14:textId="15F397B3" w:rsidR="00001032" w:rsidRPr="00001032" w:rsidRDefault="00001032">
          <w:pPr>
            <w:pStyle w:val="TOC2"/>
            <w:tabs>
              <w:tab w:val="right" w:leader="dot" w:pos="9350"/>
            </w:tabs>
            <w:rPr>
              <w:rFonts w:eastAsiaTheme="minorEastAsia"/>
              <w:noProof/>
              <w:sz w:val="24"/>
              <w:szCs w:val="24"/>
            </w:rPr>
          </w:pPr>
          <w:hyperlink w:anchor="_Toc198043936" w:history="1">
            <w:r w:rsidRPr="00001032">
              <w:rPr>
                <w:rStyle w:val="Hyperlink"/>
                <w:rFonts w:ascii="Baskerville Old Face" w:hAnsi="Baskerville Old Face"/>
                <w:noProof/>
                <w:lang w:val="en-GB"/>
              </w:rPr>
              <w:t>4.1 UPDATE ON TAXPAYER REGISTRATION</w:t>
            </w:r>
            <w:r w:rsidRPr="00001032">
              <w:rPr>
                <w:noProof/>
                <w:webHidden/>
              </w:rPr>
              <w:tab/>
            </w:r>
            <w:r w:rsidRPr="00001032">
              <w:rPr>
                <w:noProof/>
                <w:webHidden/>
              </w:rPr>
              <w:fldChar w:fldCharType="begin"/>
            </w:r>
            <w:r w:rsidRPr="00001032">
              <w:rPr>
                <w:noProof/>
                <w:webHidden/>
              </w:rPr>
              <w:instrText xml:space="preserve"> PAGEREF _Toc198043936 \h </w:instrText>
            </w:r>
            <w:r w:rsidRPr="00001032">
              <w:rPr>
                <w:noProof/>
                <w:webHidden/>
              </w:rPr>
            </w:r>
            <w:r w:rsidRPr="00001032">
              <w:rPr>
                <w:noProof/>
                <w:webHidden/>
              </w:rPr>
              <w:fldChar w:fldCharType="separate"/>
            </w:r>
            <w:r w:rsidRPr="00001032">
              <w:rPr>
                <w:noProof/>
                <w:webHidden/>
              </w:rPr>
              <w:t>40</w:t>
            </w:r>
            <w:r w:rsidRPr="00001032">
              <w:rPr>
                <w:noProof/>
                <w:webHidden/>
              </w:rPr>
              <w:fldChar w:fldCharType="end"/>
            </w:r>
          </w:hyperlink>
        </w:p>
        <w:p w14:paraId="39A8AF5E" w14:textId="71EA07DC" w:rsidR="00001032" w:rsidRPr="00001032" w:rsidRDefault="00001032">
          <w:pPr>
            <w:pStyle w:val="TOC2"/>
            <w:tabs>
              <w:tab w:val="right" w:leader="dot" w:pos="9350"/>
            </w:tabs>
            <w:rPr>
              <w:rFonts w:eastAsiaTheme="minorEastAsia"/>
              <w:noProof/>
              <w:sz w:val="24"/>
              <w:szCs w:val="24"/>
            </w:rPr>
          </w:pPr>
          <w:hyperlink w:anchor="_Toc198043937" w:history="1">
            <w:r w:rsidRPr="00001032">
              <w:rPr>
                <w:rStyle w:val="Hyperlink"/>
                <w:rFonts w:ascii="Baskerville Old Face" w:hAnsi="Baskerville Old Face"/>
                <w:noProof/>
                <w:lang w:val="en-GB"/>
              </w:rPr>
              <w:t>4.2 TAX COMPLIANCE (FILING ANALYSIS) AND ENFORCEMENT</w:t>
            </w:r>
            <w:r w:rsidRPr="00001032">
              <w:rPr>
                <w:noProof/>
                <w:webHidden/>
              </w:rPr>
              <w:tab/>
            </w:r>
            <w:r w:rsidRPr="00001032">
              <w:rPr>
                <w:noProof/>
                <w:webHidden/>
              </w:rPr>
              <w:fldChar w:fldCharType="begin"/>
            </w:r>
            <w:r w:rsidRPr="00001032">
              <w:rPr>
                <w:noProof/>
                <w:webHidden/>
              </w:rPr>
              <w:instrText xml:space="preserve"> PAGEREF _Toc198043937 \h </w:instrText>
            </w:r>
            <w:r w:rsidRPr="00001032">
              <w:rPr>
                <w:noProof/>
                <w:webHidden/>
              </w:rPr>
            </w:r>
            <w:r w:rsidRPr="00001032">
              <w:rPr>
                <w:noProof/>
                <w:webHidden/>
              </w:rPr>
              <w:fldChar w:fldCharType="separate"/>
            </w:r>
            <w:r w:rsidRPr="00001032">
              <w:rPr>
                <w:noProof/>
                <w:webHidden/>
              </w:rPr>
              <w:t>42</w:t>
            </w:r>
            <w:r w:rsidRPr="00001032">
              <w:rPr>
                <w:noProof/>
                <w:webHidden/>
              </w:rPr>
              <w:fldChar w:fldCharType="end"/>
            </w:r>
          </w:hyperlink>
        </w:p>
        <w:p w14:paraId="175C8CF5" w14:textId="27485257" w:rsidR="00001032" w:rsidRPr="00001032" w:rsidRDefault="00001032">
          <w:pPr>
            <w:pStyle w:val="TOC2"/>
            <w:tabs>
              <w:tab w:val="right" w:leader="dot" w:pos="9350"/>
            </w:tabs>
            <w:rPr>
              <w:rFonts w:eastAsiaTheme="minorEastAsia"/>
              <w:noProof/>
              <w:sz w:val="24"/>
              <w:szCs w:val="24"/>
            </w:rPr>
          </w:pPr>
          <w:hyperlink w:anchor="_Toc198043938" w:history="1">
            <w:r w:rsidRPr="00001032">
              <w:rPr>
                <w:rStyle w:val="Hyperlink"/>
                <w:rFonts w:ascii="Baskerville Old Face" w:hAnsi="Baskerville Old Face"/>
                <w:noProof/>
              </w:rPr>
              <w:t>4.3 DTD PLANNED AND COMPLETED TAX AUDIT</w:t>
            </w:r>
            <w:r w:rsidRPr="00001032">
              <w:rPr>
                <w:noProof/>
                <w:webHidden/>
              </w:rPr>
              <w:tab/>
            </w:r>
            <w:r w:rsidRPr="00001032">
              <w:rPr>
                <w:noProof/>
                <w:webHidden/>
              </w:rPr>
              <w:fldChar w:fldCharType="begin"/>
            </w:r>
            <w:r w:rsidRPr="00001032">
              <w:rPr>
                <w:noProof/>
                <w:webHidden/>
              </w:rPr>
              <w:instrText xml:space="preserve"> PAGEREF _Toc198043938 \h </w:instrText>
            </w:r>
            <w:r w:rsidRPr="00001032">
              <w:rPr>
                <w:noProof/>
                <w:webHidden/>
              </w:rPr>
            </w:r>
            <w:r w:rsidRPr="00001032">
              <w:rPr>
                <w:noProof/>
                <w:webHidden/>
              </w:rPr>
              <w:fldChar w:fldCharType="separate"/>
            </w:r>
            <w:r w:rsidRPr="00001032">
              <w:rPr>
                <w:noProof/>
                <w:webHidden/>
              </w:rPr>
              <w:t>44</w:t>
            </w:r>
            <w:r w:rsidRPr="00001032">
              <w:rPr>
                <w:noProof/>
                <w:webHidden/>
              </w:rPr>
              <w:fldChar w:fldCharType="end"/>
            </w:r>
          </w:hyperlink>
        </w:p>
        <w:p w14:paraId="54984FD8" w14:textId="5A149FAD" w:rsidR="00001032" w:rsidRPr="00001032" w:rsidRDefault="00001032">
          <w:pPr>
            <w:pStyle w:val="TOC3"/>
            <w:tabs>
              <w:tab w:val="right" w:leader="dot" w:pos="9350"/>
            </w:tabs>
            <w:rPr>
              <w:rFonts w:eastAsiaTheme="minorEastAsia"/>
              <w:noProof/>
              <w:sz w:val="24"/>
              <w:szCs w:val="24"/>
            </w:rPr>
          </w:pPr>
          <w:hyperlink w:anchor="_Toc198043939" w:history="1">
            <w:r w:rsidRPr="00001032">
              <w:rPr>
                <w:rStyle w:val="Hyperlink"/>
                <w:rFonts w:ascii="Baskerville Old Face" w:hAnsi="Baskerville Old Face"/>
                <w:noProof/>
              </w:rPr>
              <w:t>4.3.1 LTO Completed Tax Audit and Liability, 2024 and 2023</w:t>
            </w:r>
            <w:r w:rsidRPr="00001032">
              <w:rPr>
                <w:noProof/>
                <w:webHidden/>
              </w:rPr>
              <w:tab/>
            </w:r>
            <w:r w:rsidRPr="00001032">
              <w:rPr>
                <w:noProof/>
                <w:webHidden/>
              </w:rPr>
              <w:fldChar w:fldCharType="begin"/>
            </w:r>
            <w:r w:rsidRPr="00001032">
              <w:rPr>
                <w:noProof/>
                <w:webHidden/>
              </w:rPr>
              <w:instrText xml:space="preserve"> PAGEREF _Toc198043939 \h </w:instrText>
            </w:r>
            <w:r w:rsidRPr="00001032">
              <w:rPr>
                <w:noProof/>
                <w:webHidden/>
              </w:rPr>
            </w:r>
            <w:r w:rsidRPr="00001032">
              <w:rPr>
                <w:noProof/>
                <w:webHidden/>
              </w:rPr>
              <w:fldChar w:fldCharType="separate"/>
            </w:r>
            <w:r w:rsidRPr="00001032">
              <w:rPr>
                <w:noProof/>
                <w:webHidden/>
              </w:rPr>
              <w:t>45</w:t>
            </w:r>
            <w:r w:rsidRPr="00001032">
              <w:rPr>
                <w:noProof/>
                <w:webHidden/>
              </w:rPr>
              <w:fldChar w:fldCharType="end"/>
            </w:r>
          </w:hyperlink>
        </w:p>
        <w:p w14:paraId="723BFE30" w14:textId="1BC70695" w:rsidR="00001032" w:rsidRPr="00001032" w:rsidRDefault="00001032">
          <w:pPr>
            <w:pStyle w:val="TOC3"/>
            <w:tabs>
              <w:tab w:val="right" w:leader="dot" w:pos="9350"/>
            </w:tabs>
            <w:rPr>
              <w:rFonts w:eastAsiaTheme="minorEastAsia"/>
              <w:noProof/>
              <w:sz w:val="24"/>
              <w:szCs w:val="24"/>
            </w:rPr>
          </w:pPr>
          <w:hyperlink w:anchor="_Toc198043940" w:history="1">
            <w:r w:rsidRPr="00001032">
              <w:rPr>
                <w:rStyle w:val="Hyperlink"/>
                <w:rFonts w:ascii="Baskerville Old Face" w:hAnsi="Baskerville Old Face"/>
                <w:noProof/>
              </w:rPr>
              <w:t>4.3.2 SMTO Completed Tax Audit and Liability, 2024 and 2023</w:t>
            </w:r>
            <w:r w:rsidRPr="00001032">
              <w:rPr>
                <w:noProof/>
                <w:webHidden/>
              </w:rPr>
              <w:tab/>
            </w:r>
            <w:r w:rsidRPr="00001032">
              <w:rPr>
                <w:noProof/>
                <w:webHidden/>
              </w:rPr>
              <w:fldChar w:fldCharType="begin"/>
            </w:r>
            <w:r w:rsidRPr="00001032">
              <w:rPr>
                <w:noProof/>
                <w:webHidden/>
              </w:rPr>
              <w:instrText xml:space="preserve"> PAGEREF _Toc198043940 \h </w:instrText>
            </w:r>
            <w:r w:rsidRPr="00001032">
              <w:rPr>
                <w:noProof/>
                <w:webHidden/>
              </w:rPr>
            </w:r>
            <w:r w:rsidRPr="00001032">
              <w:rPr>
                <w:noProof/>
                <w:webHidden/>
              </w:rPr>
              <w:fldChar w:fldCharType="separate"/>
            </w:r>
            <w:r w:rsidRPr="00001032">
              <w:rPr>
                <w:noProof/>
                <w:webHidden/>
              </w:rPr>
              <w:t>45</w:t>
            </w:r>
            <w:r w:rsidRPr="00001032">
              <w:rPr>
                <w:noProof/>
                <w:webHidden/>
              </w:rPr>
              <w:fldChar w:fldCharType="end"/>
            </w:r>
          </w:hyperlink>
        </w:p>
        <w:p w14:paraId="029366C9" w14:textId="0FF01E1F" w:rsidR="00001032" w:rsidRPr="00001032" w:rsidRDefault="00001032">
          <w:pPr>
            <w:pStyle w:val="TOC3"/>
            <w:tabs>
              <w:tab w:val="right" w:leader="dot" w:pos="9350"/>
            </w:tabs>
            <w:rPr>
              <w:rFonts w:eastAsiaTheme="minorEastAsia"/>
              <w:noProof/>
              <w:sz w:val="24"/>
              <w:szCs w:val="24"/>
            </w:rPr>
          </w:pPr>
          <w:hyperlink w:anchor="_Toc198043941" w:history="1">
            <w:r w:rsidRPr="00001032">
              <w:rPr>
                <w:rStyle w:val="Hyperlink"/>
                <w:rFonts w:ascii="Baskerville Old Face" w:hAnsi="Baskerville Old Face"/>
                <w:noProof/>
              </w:rPr>
              <w:t>4.3.3 EIRU Completed Tax Audit and Liability, 2024 and 2023</w:t>
            </w:r>
            <w:r w:rsidRPr="00001032">
              <w:rPr>
                <w:noProof/>
                <w:webHidden/>
              </w:rPr>
              <w:tab/>
            </w:r>
            <w:r w:rsidRPr="00001032">
              <w:rPr>
                <w:noProof/>
                <w:webHidden/>
              </w:rPr>
              <w:fldChar w:fldCharType="begin"/>
            </w:r>
            <w:r w:rsidRPr="00001032">
              <w:rPr>
                <w:noProof/>
                <w:webHidden/>
              </w:rPr>
              <w:instrText xml:space="preserve"> PAGEREF _Toc198043941 \h </w:instrText>
            </w:r>
            <w:r w:rsidRPr="00001032">
              <w:rPr>
                <w:noProof/>
                <w:webHidden/>
              </w:rPr>
            </w:r>
            <w:r w:rsidRPr="00001032">
              <w:rPr>
                <w:noProof/>
                <w:webHidden/>
              </w:rPr>
              <w:fldChar w:fldCharType="separate"/>
            </w:r>
            <w:r w:rsidRPr="00001032">
              <w:rPr>
                <w:noProof/>
                <w:webHidden/>
              </w:rPr>
              <w:t>46</w:t>
            </w:r>
            <w:r w:rsidRPr="00001032">
              <w:rPr>
                <w:noProof/>
                <w:webHidden/>
              </w:rPr>
              <w:fldChar w:fldCharType="end"/>
            </w:r>
          </w:hyperlink>
        </w:p>
        <w:p w14:paraId="6BDADD7F" w14:textId="69D61CE2" w:rsidR="00001032" w:rsidRPr="00001032" w:rsidRDefault="00001032">
          <w:pPr>
            <w:pStyle w:val="TOC2"/>
            <w:tabs>
              <w:tab w:val="right" w:leader="dot" w:pos="9350"/>
            </w:tabs>
            <w:rPr>
              <w:rFonts w:eastAsiaTheme="minorEastAsia"/>
              <w:noProof/>
              <w:sz w:val="24"/>
              <w:szCs w:val="24"/>
            </w:rPr>
          </w:pPr>
          <w:hyperlink w:anchor="_Toc198043942" w:history="1">
            <w:r w:rsidRPr="00001032">
              <w:rPr>
                <w:rStyle w:val="Hyperlink"/>
                <w:rFonts w:ascii="Baskerville Old Face" w:hAnsi="Baskerville Old Face"/>
                <w:noProof/>
              </w:rPr>
              <w:t>4.4 CSD POST CLEARANCE AUDIT ACTIVITIES IN 2024</w:t>
            </w:r>
            <w:r w:rsidRPr="00001032">
              <w:rPr>
                <w:noProof/>
                <w:webHidden/>
              </w:rPr>
              <w:tab/>
            </w:r>
            <w:r w:rsidRPr="00001032">
              <w:rPr>
                <w:noProof/>
                <w:webHidden/>
              </w:rPr>
              <w:fldChar w:fldCharType="begin"/>
            </w:r>
            <w:r w:rsidRPr="00001032">
              <w:rPr>
                <w:noProof/>
                <w:webHidden/>
              </w:rPr>
              <w:instrText xml:space="preserve"> PAGEREF _Toc198043942 \h </w:instrText>
            </w:r>
            <w:r w:rsidRPr="00001032">
              <w:rPr>
                <w:noProof/>
                <w:webHidden/>
              </w:rPr>
            </w:r>
            <w:r w:rsidRPr="00001032">
              <w:rPr>
                <w:noProof/>
                <w:webHidden/>
              </w:rPr>
              <w:fldChar w:fldCharType="separate"/>
            </w:r>
            <w:r w:rsidRPr="00001032">
              <w:rPr>
                <w:noProof/>
                <w:webHidden/>
              </w:rPr>
              <w:t>47</w:t>
            </w:r>
            <w:r w:rsidRPr="00001032">
              <w:rPr>
                <w:noProof/>
                <w:webHidden/>
              </w:rPr>
              <w:fldChar w:fldCharType="end"/>
            </w:r>
          </w:hyperlink>
        </w:p>
        <w:p w14:paraId="46703EFC" w14:textId="2B62641A" w:rsidR="00001032" w:rsidRPr="00001032" w:rsidRDefault="00001032">
          <w:pPr>
            <w:pStyle w:val="TOC2"/>
            <w:tabs>
              <w:tab w:val="right" w:leader="dot" w:pos="9350"/>
            </w:tabs>
            <w:rPr>
              <w:rFonts w:eastAsiaTheme="minorEastAsia"/>
              <w:noProof/>
              <w:sz w:val="24"/>
              <w:szCs w:val="24"/>
            </w:rPr>
          </w:pPr>
          <w:hyperlink w:anchor="_Toc198043943" w:history="1">
            <w:r w:rsidRPr="00001032">
              <w:rPr>
                <w:rStyle w:val="Hyperlink"/>
                <w:rFonts w:ascii="Baskerville Old Face" w:hAnsi="Baskerville Old Face"/>
                <w:noProof/>
              </w:rPr>
              <w:t>4.5 DTD ARREARS STATUS UPDATE AND RECOVERY</w:t>
            </w:r>
            <w:r w:rsidRPr="00001032">
              <w:rPr>
                <w:noProof/>
                <w:webHidden/>
              </w:rPr>
              <w:tab/>
            </w:r>
            <w:r w:rsidRPr="00001032">
              <w:rPr>
                <w:noProof/>
                <w:webHidden/>
              </w:rPr>
              <w:fldChar w:fldCharType="begin"/>
            </w:r>
            <w:r w:rsidRPr="00001032">
              <w:rPr>
                <w:noProof/>
                <w:webHidden/>
              </w:rPr>
              <w:instrText xml:space="preserve"> PAGEREF _Toc198043943 \h </w:instrText>
            </w:r>
            <w:r w:rsidRPr="00001032">
              <w:rPr>
                <w:noProof/>
                <w:webHidden/>
              </w:rPr>
            </w:r>
            <w:r w:rsidRPr="00001032">
              <w:rPr>
                <w:noProof/>
                <w:webHidden/>
              </w:rPr>
              <w:fldChar w:fldCharType="separate"/>
            </w:r>
            <w:r w:rsidRPr="00001032">
              <w:rPr>
                <w:noProof/>
                <w:webHidden/>
              </w:rPr>
              <w:t>47</w:t>
            </w:r>
            <w:r w:rsidRPr="00001032">
              <w:rPr>
                <w:noProof/>
                <w:webHidden/>
              </w:rPr>
              <w:fldChar w:fldCharType="end"/>
            </w:r>
          </w:hyperlink>
        </w:p>
        <w:p w14:paraId="5B2D1F0A" w14:textId="078FD509" w:rsidR="00001032" w:rsidRPr="00001032" w:rsidRDefault="00001032">
          <w:pPr>
            <w:pStyle w:val="TOC2"/>
            <w:tabs>
              <w:tab w:val="right" w:leader="dot" w:pos="9350"/>
            </w:tabs>
            <w:rPr>
              <w:rFonts w:eastAsiaTheme="minorEastAsia"/>
              <w:noProof/>
              <w:sz w:val="24"/>
              <w:szCs w:val="24"/>
            </w:rPr>
          </w:pPr>
          <w:hyperlink w:anchor="_Toc198043944" w:history="1">
            <w:r w:rsidRPr="00001032">
              <w:rPr>
                <w:rStyle w:val="Hyperlink"/>
                <w:rFonts w:ascii="Baskerville Old Face" w:hAnsi="Baskerville Old Face"/>
                <w:noProof/>
              </w:rPr>
              <w:t>4.6 CUSTOMS DEBT RECOVERY AND MANAGEMENT</w:t>
            </w:r>
            <w:r w:rsidRPr="00001032">
              <w:rPr>
                <w:noProof/>
                <w:webHidden/>
              </w:rPr>
              <w:tab/>
            </w:r>
            <w:r w:rsidRPr="00001032">
              <w:rPr>
                <w:noProof/>
                <w:webHidden/>
              </w:rPr>
              <w:fldChar w:fldCharType="begin"/>
            </w:r>
            <w:r w:rsidRPr="00001032">
              <w:rPr>
                <w:noProof/>
                <w:webHidden/>
              </w:rPr>
              <w:instrText xml:space="preserve"> PAGEREF _Toc198043944 \h </w:instrText>
            </w:r>
            <w:r w:rsidRPr="00001032">
              <w:rPr>
                <w:noProof/>
                <w:webHidden/>
              </w:rPr>
            </w:r>
            <w:r w:rsidRPr="00001032">
              <w:rPr>
                <w:noProof/>
                <w:webHidden/>
              </w:rPr>
              <w:fldChar w:fldCharType="separate"/>
            </w:r>
            <w:r w:rsidRPr="00001032">
              <w:rPr>
                <w:noProof/>
                <w:webHidden/>
              </w:rPr>
              <w:t>48</w:t>
            </w:r>
            <w:r w:rsidRPr="00001032">
              <w:rPr>
                <w:noProof/>
                <w:webHidden/>
              </w:rPr>
              <w:fldChar w:fldCharType="end"/>
            </w:r>
          </w:hyperlink>
        </w:p>
        <w:p w14:paraId="6D0CA623" w14:textId="0C6DA006" w:rsidR="00001032" w:rsidRPr="00001032" w:rsidRDefault="00001032">
          <w:pPr>
            <w:pStyle w:val="TOC2"/>
            <w:tabs>
              <w:tab w:val="right" w:leader="dot" w:pos="9350"/>
            </w:tabs>
            <w:rPr>
              <w:rFonts w:eastAsiaTheme="minorEastAsia"/>
              <w:noProof/>
              <w:sz w:val="24"/>
              <w:szCs w:val="24"/>
            </w:rPr>
          </w:pPr>
          <w:hyperlink w:anchor="_Toc198043945" w:history="1">
            <w:r w:rsidRPr="00001032">
              <w:rPr>
                <w:rStyle w:val="Hyperlink"/>
                <w:rFonts w:ascii="Baskerville Old Face" w:hAnsi="Baskerville Old Face"/>
                <w:noProof/>
              </w:rPr>
              <w:t>4.7 UPDATE ON CUSTOMS RISK MANAGEMENT ACTIVITIES</w:t>
            </w:r>
            <w:r w:rsidRPr="00001032">
              <w:rPr>
                <w:noProof/>
                <w:webHidden/>
              </w:rPr>
              <w:tab/>
            </w:r>
            <w:r w:rsidRPr="00001032">
              <w:rPr>
                <w:noProof/>
                <w:webHidden/>
              </w:rPr>
              <w:fldChar w:fldCharType="begin"/>
            </w:r>
            <w:r w:rsidRPr="00001032">
              <w:rPr>
                <w:noProof/>
                <w:webHidden/>
              </w:rPr>
              <w:instrText xml:space="preserve"> PAGEREF _Toc198043945 \h </w:instrText>
            </w:r>
            <w:r w:rsidRPr="00001032">
              <w:rPr>
                <w:noProof/>
                <w:webHidden/>
              </w:rPr>
            </w:r>
            <w:r w:rsidRPr="00001032">
              <w:rPr>
                <w:noProof/>
                <w:webHidden/>
              </w:rPr>
              <w:fldChar w:fldCharType="separate"/>
            </w:r>
            <w:r w:rsidRPr="00001032">
              <w:rPr>
                <w:noProof/>
                <w:webHidden/>
              </w:rPr>
              <w:t>48</w:t>
            </w:r>
            <w:r w:rsidRPr="00001032">
              <w:rPr>
                <w:noProof/>
                <w:webHidden/>
              </w:rPr>
              <w:fldChar w:fldCharType="end"/>
            </w:r>
          </w:hyperlink>
        </w:p>
        <w:p w14:paraId="194E6EF3" w14:textId="59552697" w:rsidR="00001032" w:rsidRPr="00001032" w:rsidRDefault="00001032">
          <w:pPr>
            <w:pStyle w:val="TOC3"/>
            <w:tabs>
              <w:tab w:val="right" w:leader="dot" w:pos="9350"/>
            </w:tabs>
            <w:rPr>
              <w:rFonts w:eastAsiaTheme="minorEastAsia"/>
              <w:noProof/>
              <w:sz w:val="24"/>
              <w:szCs w:val="24"/>
            </w:rPr>
          </w:pPr>
          <w:hyperlink w:anchor="_Toc198043946" w:history="1">
            <w:r w:rsidRPr="00001032">
              <w:rPr>
                <w:rStyle w:val="Hyperlink"/>
                <w:rFonts w:ascii="Baskerville Old Face" w:hAnsi="Baskerville Old Face"/>
                <w:noProof/>
              </w:rPr>
              <w:t>4.7.1 RMU Risk Profiling</w:t>
            </w:r>
            <w:r w:rsidRPr="00001032">
              <w:rPr>
                <w:noProof/>
                <w:webHidden/>
              </w:rPr>
              <w:tab/>
            </w:r>
            <w:r w:rsidRPr="00001032">
              <w:rPr>
                <w:noProof/>
                <w:webHidden/>
              </w:rPr>
              <w:fldChar w:fldCharType="begin"/>
            </w:r>
            <w:r w:rsidRPr="00001032">
              <w:rPr>
                <w:noProof/>
                <w:webHidden/>
              </w:rPr>
              <w:instrText xml:space="preserve"> PAGEREF _Toc198043946 \h </w:instrText>
            </w:r>
            <w:r w:rsidRPr="00001032">
              <w:rPr>
                <w:noProof/>
                <w:webHidden/>
              </w:rPr>
            </w:r>
            <w:r w:rsidRPr="00001032">
              <w:rPr>
                <w:noProof/>
                <w:webHidden/>
              </w:rPr>
              <w:fldChar w:fldCharType="separate"/>
            </w:r>
            <w:r w:rsidRPr="00001032">
              <w:rPr>
                <w:noProof/>
                <w:webHidden/>
              </w:rPr>
              <w:t>48</w:t>
            </w:r>
            <w:r w:rsidRPr="00001032">
              <w:rPr>
                <w:noProof/>
                <w:webHidden/>
              </w:rPr>
              <w:fldChar w:fldCharType="end"/>
            </w:r>
          </w:hyperlink>
        </w:p>
        <w:p w14:paraId="710318D8" w14:textId="751BB5A6" w:rsidR="00001032" w:rsidRPr="00001032" w:rsidRDefault="00001032">
          <w:pPr>
            <w:pStyle w:val="TOC3"/>
            <w:tabs>
              <w:tab w:val="right" w:leader="dot" w:pos="9350"/>
            </w:tabs>
            <w:rPr>
              <w:rFonts w:eastAsiaTheme="minorEastAsia"/>
              <w:noProof/>
              <w:sz w:val="24"/>
              <w:szCs w:val="24"/>
            </w:rPr>
          </w:pPr>
          <w:hyperlink w:anchor="_Toc198043947" w:history="1">
            <w:r w:rsidRPr="00001032">
              <w:rPr>
                <w:rStyle w:val="Hyperlink"/>
                <w:rFonts w:ascii="Baskerville Old Face" w:hAnsi="Baskerville Old Face"/>
                <w:noProof/>
              </w:rPr>
              <w:t>4.7.2 Additional Revenue Generated through RMU Interventions</w:t>
            </w:r>
            <w:r w:rsidRPr="00001032">
              <w:rPr>
                <w:noProof/>
                <w:webHidden/>
              </w:rPr>
              <w:tab/>
            </w:r>
            <w:r w:rsidRPr="00001032">
              <w:rPr>
                <w:noProof/>
                <w:webHidden/>
              </w:rPr>
              <w:fldChar w:fldCharType="begin"/>
            </w:r>
            <w:r w:rsidRPr="00001032">
              <w:rPr>
                <w:noProof/>
                <w:webHidden/>
              </w:rPr>
              <w:instrText xml:space="preserve"> PAGEREF _Toc198043947 \h </w:instrText>
            </w:r>
            <w:r w:rsidRPr="00001032">
              <w:rPr>
                <w:noProof/>
                <w:webHidden/>
              </w:rPr>
            </w:r>
            <w:r w:rsidRPr="00001032">
              <w:rPr>
                <w:noProof/>
                <w:webHidden/>
              </w:rPr>
              <w:fldChar w:fldCharType="separate"/>
            </w:r>
            <w:r w:rsidRPr="00001032">
              <w:rPr>
                <w:noProof/>
                <w:webHidden/>
              </w:rPr>
              <w:t>49</w:t>
            </w:r>
            <w:r w:rsidRPr="00001032">
              <w:rPr>
                <w:noProof/>
                <w:webHidden/>
              </w:rPr>
              <w:fldChar w:fldCharType="end"/>
            </w:r>
          </w:hyperlink>
        </w:p>
        <w:p w14:paraId="1EDD1BFE" w14:textId="0738A7DA" w:rsidR="00001032" w:rsidRPr="00001032" w:rsidRDefault="00001032">
          <w:pPr>
            <w:pStyle w:val="TOC2"/>
            <w:tabs>
              <w:tab w:val="right" w:leader="dot" w:pos="9350"/>
            </w:tabs>
            <w:rPr>
              <w:rFonts w:eastAsiaTheme="minorEastAsia"/>
              <w:noProof/>
              <w:sz w:val="24"/>
              <w:szCs w:val="24"/>
            </w:rPr>
          </w:pPr>
          <w:hyperlink w:anchor="_Toc198043948" w:history="1">
            <w:r w:rsidRPr="00001032">
              <w:rPr>
                <w:rStyle w:val="Hyperlink"/>
                <w:rFonts w:ascii="Baskerville Old Face" w:hAnsi="Baskerville Old Face"/>
                <w:noProof/>
                <w:lang w:val="en-GB"/>
              </w:rPr>
              <w:t>4.8 CUSTOMS VALUATION, GOODS CLASSIFICATION, AND TAX ASSESSMENT</w:t>
            </w:r>
            <w:r w:rsidRPr="00001032">
              <w:rPr>
                <w:noProof/>
                <w:webHidden/>
              </w:rPr>
              <w:tab/>
            </w:r>
            <w:r w:rsidRPr="00001032">
              <w:rPr>
                <w:noProof/>
                <w:webHidden/>
              </w:rPr>
              <w:fldChar w:fldCharType="begin"/>
            </w:r>
            <w:r w:rsidRPr="00001032">
              <w:rPr>
                <w:noProof/>
                <w:webHidden/>
              </w:rPr>
              <w:instrText xml:space="preserve"> PAGEREF _Toc198043948 \h </w:instrText>
            </w:r>
            <w:r w:rsidRPr="00001032">
              <w:rPr>
                <w:noProof/>
                <w:webHidden/>
              </w:rPr>
            </w:r>
            <w:r w:rsidRPr="00001032">
              <w:rPr>
                <w:noProof/>
                <w:webHidden/>
              </w:rPr>
              <w:fldChar w:fldCharType="separate"/>
            </w:r>
            <w:r w:rsidRPr="00001032">
              <w:rPr>
                <w:noProof/>
                <w:webHidden/>
              </w:rPr>
              <w:t>50</w:t>
            </w:r>
            <w:r w:rsidRPr="00001032">
              <w:rPr>
                <w:noProof/>
                <w:webHidden/>
              </w:rPr>
              <w:fldChar w:fldCharType="end"/>
            </w:r>
          </w:hyperlink>
        </w:p>
        <w:p w14:paraId="2387AD20" w14:textId="043E7E0C" w:rsidR="00001032" w:rsidRPr="00001032" w:rsidRDefault="00001032">
          <w:pPr>
            <w:pStyle w:val="TOC2"/>
            <w:tabs>
              <w:tab w:val="right" w:leader="dot" w:pos="9350"/>
            </w:tabs>
            <w:rPr>
              <w:rFonts w:eastAsiaTheme="minorEastAsia"/>
              <w:noProof/>
              <w:sz w:val="24"/>
              <w:szCs w:val="24"/>
            </w:rPr>
          </w:pPr>
          <w:hyperlink w:anchor="_Toc198043949" w:history="1">
            <w:r w:rsidRPr="00001032">
              <w:rPr>
                <w:rStyle w:val="Hyperlink"/>
                <w:rFonts w:ascii="Baskerville Old Face" w:hAnsi="Baskerville Old Face"/>
                <w:noProof/>
                <w:lang w:val="en-GB"/>
              </w:rPr>
              <w:t>4.9 CUSTOMS RECOVERIES FROM ADJUSTMENTS AND AMENDMENTS</w:t>
            </w:r>
            <w:r w:rsidRPr="00001032">
              <w:rPr>
                <w:noProof/>
                <w:webHidden/>
              </w:rPr>
              <w:tab/>
            </w:r>
            <w:r w:rsidRPr="00001032">
              <w:rPr>
                <w:noProof/>
                <w:webHidden/>
              </w:rPr>
              <w:fldChar w:fldCharType="begin"/>
            </w:r>
            <w:r w:rsidRPr="00001032">
              <w:rPr>
                <w:noProof/>
                <w:webHidden/>
              </w:rPr>
              <w:instrText xml:space="preserve"> PAGEREF _Toc198043949 \h </w:instrText>
            </w:r>
            <w:r w:rsidRPr="00001032">
              <w:rPr>
                <w:noProof/>
                <w:webHidden/>
              </w:rPr>
            </w:r>
            <w:r w:rsidRPr="00001032">
              <w:rPr>
                <w:noProof/>
                <w:webHidden/>
              </w:rPr>
              <w:fldChar w:fldCharType="separate"/>
            </w:r>
            <w:r w:rsidRPr="00001032">
              <w:rPr>
                <w:noProof/>
                <w:webHidden/>
              </w:rPr>
              <w:t>50</w:t>
            </w:r>
            <w:r w:rsidRPr="00001032">
              <w:rPr>
                <w:noProof/>
                <w:webHidden/>
              </w:rPr>
              <w:fldChar w:fldCharType="end"/>
            </w:r>
          </w:hyperlink>
        </w:p>
        <w:p w14:paraId="270973E7" w14:textId="6C13DC8A" w:rsidR="00001032" w:rsidRPr="00001032" w:rsidRDefault="00001032">
          <w:pPr>
            <w:pStyle w:val="TOC2"/>
            <w:tabs>
              <w:tab w:val="right" w:leader="dot" w:pos="9350"/>
            </w:tabs>
            <w:rPr>
              <w:rFonts w:eastAsiaTheme="minorEastAsia"/>
              <w:noProof/>
              <w:sz w:val="24"/>
              <w:szCs w:val="24"/>
            </w:rPr>
          </w:pPr>
          <w:hyperlink w:anchor="_Toc198043950" w:history="1">
            <w:r w:rsidRPr="00001032">
              <w:rPr>
                <w:rStyle w:val="Hyperlink"/>
                <w:rFonts w:ascii="Baskerville Old Face" w:hAnsi="Baskerville Old Face"/>
                <w:noProof/>
                <w:lang w:val="en-GB"/>
              </w:rPr>
              <w:t>4.10 IMPORT STATISTICS (2024 AND 2023)</w:t>
            </w:r>
            <w:r w:rsidRPr="00001032">
              <w:rPr>
                <w:noProof/>
                <w:webHidden/>
              </w:rPr>
              <w:tab/>
            </w:r>
            <w:r w:rsidRPr="00001032">
              <w:rPr>
                <w:noProof/>
                <w:webHidden/>
              </w:rPr>
              <w:fldChar w:fldCharType="begin"/>
            </w:r>
            <w:r w:rsidRPr="00001032">
              <w:rPr>
                <w:noProof/>
                <w:webHidden/>
              </w:rPr>
              <w:instrText xml:space="preserve"> PAGEREF _Toc198043950 \h </w:instrText>
            </w:r>
            <w:r w:rsidRPr="00001032">
              <w:rPr>
                <w:noProof/>
                <w:webHidden/>
              </w:rPr>
            </w:r>
            <w:r w:rsidRPr="00001032">
              <w:rPr>
                <w:noProof/>
                <w:webHidden/>
              </w:rPr>
              <w:fldChar w:fldCharType="separate"/>
            </w:r>
            <w:r w:rsidRPr="00001032">
              <w:rPr>
                <w:noProof/>
                <w:webHidden/>
              </w:rPr>
              <w:t>51</w:t>
            </w:r>
            <w:r w:rsidRPr="00001032">
              <w:rPr>
                <w:noProof/>
                <w:webHidden/>
              </w:rPr>
              <w:fldChar w:fldCharType="end"/>
            </w:r>
          </w:hyperlink>
        </w:p>
        <w:p w14:paraId="30B01F23" w14:textId="39D851CD" w:rsidR="00001032" w:rsidRPr="00001032" w:rsidRDefault="00001032">
          <w:pPr>
            <w:pStyle w:val="TOC2"/>
            <w:tabs>
              <w:tab w:val="right" w:leader="dot" w:pos="9350"/>
            </w:tabs>
            <w:rPr>
              <w:rFonts w:eastAsiaTheme="minorEastAsia"/>
              <w:noProof/>
              <w:sz w:val="24"/>
              <w:szCs w:val="24"/>
            </w:rPr>
          </w:pPr>
          <w:hyperlink w:anchor="_Toc198043951" w:history="1">
            <w:r w:rsidRPr="00001032">
              <w:rPr>
                <w:rStyle w:val="Hyperlink"/>
                <w:rFonts w:ascii="Baskerville Old Face" w:hAnsi="Baskerville Old Face"/>
                <w:noProof/>
              </w:rPr>
              <w:t>4.11 CONTAINER INSPECTION/EXAMINATION UNIT</w:t>
            </w:r>
            <w:r w:rsidRPr="00001032">
              <w:rPr>
                <w:noProof/>
                <w:webHidden/>
              </w:rPr>
              <w:tab/>
            </w:r>
            <w:r w:rsidRPr="00001032">
              <w:rPr>
                <w:noProof/>
                <w:webHidden/>
              </w:rPr>
              <w:fldChar w:fldCharType="begin"/>
            </w:r>
            <w:r w:rsidRPr="00001032">
              <w:rPr>
                <w:noProof/>
                <w:webHidden/>
              </w:rPr>
              <w:instrText xml:space="preserve"> PAGEREF _Toc198043951 \h </w:instrText>
            </w:r>
            <w:r w:rsidRPr="00001032">
              <w:rPr>
                <w:noProof/>
                <w:webHidden/>
              </w:rPr>
            </w:r>
            <w:r w:rsidRPr="00001032">
              <w:rPr>
                <w:noProof/>
                <w:webHidden/>
              </w:rPr>
              <w:fldChar w:fldCharType="separate"/>
            </w:r>
            <w:r w:rsidRPr="00001032">
              <w:rPr>
                <w:noProof/>
                <w:webHidden/>
              </w:rPr>
              <w:t>54</w:t>
            </w:r>
            <w:r w:rsidRPr="00001032">
              <w:rPr>
                <w:noProof/>
                <w:webHidden/>
              </w:rPr>
              <w:fldChar w:fldCharType="end"/>
            </w:r>
          </w:hyperlink>
        </w:p>
        <w:p w14:paraId="6FA760B9" w14:textId="08E78E09" w:rsidR="00001032" w:rsidRPr="00001032" w:rsidRDefault="00001032">
          <w:pPr>
            <w:pStyle w:val="TOC2"/>
            <w:tabs>
              <w:tab w:val="right" w:leader="dot" w:pos="9350"/>
            </w:tabs>
            <w:rPr>
              <w:rFonts w:eastAsiaTheme="minorEastAsia"/>
              <w:noProof/>
              <w:sz w:val="24"/>
              <w:szCs w:val="24"/>
            </w:rPr>
          </w:pPr>
          <w:hyperlink w:anchor="_Toc198043952" w:history="1">
            <w:r w:rsidRPr="00001032">
              <w:rPr>
                <w:rStyle w:val="Hyperlink"/>
                <w:rFonts w:ascii="Baskerville Old Face" w:hAnsi="Baskerville Old Face"/>
                <w:noProof/>
              </w:rPr>
              <w:t>4.12 PORT BAGGAGE UNIT</w:t>
            </w:r>
            <w:r w:rsidRPr="00001032">
              <w:rPr>
                <w:noProof/>
                <w:webHidden/>
              </w:rPr>
              <w:tab/>
            </w:r>
            <w:r w:rsidRPr="00001032">
              <w:rPr>
                <w:noProof/>
                <w:webHidden/>
              </w:rPr>
              <w:fldChar w:fldCharType="begin"/>
            </w:r>
            <w:r w:rsidRPr="00001032">
              <w:rPr>
                <w:noProof/>
                <w:webHidden/>
              </w:rPr>
              <w:instrText xml:space="preserve"> PAGEREF _Toc198043952 \h </w:instrText>
            </w:r>
            <w:r w:rsidRPr="00001032">
              <w:rPr>
                <w:noProof/>
                <w:webHidden/>
              </w:rPr>
            </w:r>
            <w:r w:rsidRPr="00001032">
              <w:rPr>
                <w:noProof/>
                <w:webHidden/>
              </w:rPr>
              <w:fldChar w:fldCharType="separate"/>
            </w:r>
            <w:r w:rsidRPr="00001032">
              <w:rPr>
                <w:noProof/>
                <w:webHidden/>
              </w:rPr>
              <w:t>55</w:t>
            </w:r>
            <w:r w:rsidRPr="00001032">
              <w:rPr>
                <w:noProof/>
                <w:webHidden/>
              </w:rPr>
              <w:fldChar w:fldCharType="end"/>
            </w:r>
          </w:hyperlink>
        </w:p>
        <w:p w14:paraId="03367F57" w14:textId="64210D65" w:rsidR="00001032" w:rsidRPr="00001032" w:rsidRDefault="00001032">
          <w:pPr>
            <w:pStyle w:val="TOC2"/>
            <w:tabs>
              <w:tab w:val="right" w:leader="dot" w:pos="9350"/>
            </w:tabs>
            <w:rPr>
              <w:rFonts w:eastAsiaTheme="minorEastAsia"/>
              <w:noProof/>
              <w:sz w:val="24"/>
              <w:szCs w:val="24"/>
            </w:rPr>
          </w:pPr>
          <w:hyperlink w:anchor="_Toc198043953" w:history="1">
            <w:r w:rsidRPr="00001032">
              <w:rPr>
                <w:rStyle w:val="Hyperlink"/>
                <w:rFonts w:ascii="Baskerville Old Face" w:hAnsi="Baskerville Old Face"/>
                <w:noProof/>
              </w:rPr>
              <w:t>4.13 VEHICLE CLEARANCE UNIT</w:t>
            </w:r>
            <w:r w:rsidRPr="00001032">
              <w:rPr>
                <w:noProof/>
                <w:webHidden/>
              </w:rPr>
              <w:tab/>
            </w:r>
            <w:r w:rsidRPr="00001032">
              <w:rPr>
                <w:noProof/>
                <w:webHidden/>
              </w:rPr>
              <w:fldChar w:fldCharType="begin"/>
            </w:r>
            <w:r w:rsidRPr="00001032">
              <w:rPr>
                <w:noProof/>
                <w:webHidden/>
              </w:rPr>
              <w:instrText xml:space="preserve"> PAGEREF _Toc198043953 \h </w:instrText>
            </w:r>
            <w:r w:rsidRPr="00001032">
              <w:rPr>
                <w:noProof/>
                <w:webHidden/>
              </w:rPr>
            </w:r>
            <w:r w:rsidRPr="00001032">
              <w:rPr>
                <w:noProof/>
                <w:webHidden/>
              </w:rPr>
              <w:fldChar w:fldCharType="separate"/>
            </w:r>
            <w:r w:rsidRPr="00001032">
              <w:rPr>
                <w:noProof/>
                <w:webHidden/>
              </w:rPr>
              <w:t>55</w:t>
            </w:r>
            <w:r w:rsidRPr="00001032">
              <w:rPr>
                <w:noProof/>
                <w:webHidden/>
              </w:rPr>
              <w:fldChar w:fldCharType="end"/>
            </w:r>
          </w:hyperlink>
        </w:p>
        <w:p w14:paraId="5CBFCFE5" w14:textId="1A007B6F" w:rsidR="00001032" w:rsidRPr="00001032" w:rsidRDefault="00001032">
          <w:pPr>
            <w:pStyle w:val="TOC2"/>
            <w:tabs>
              <w:tab w:val="right" w:leader="dot" w:pos="9350"/>
            </w:tabs>
            <w:rPr>
              <w:rFonts w:eastAsiaTheme="minorEastAsia"/>
              <w:noProof/>
              <w:sz w:val="24"/>
              <w:szCs w:val="24"/>
            </w:rPr>
          </w:pPr>
          <w:hyperlink w:anchor="_Toc198043954" w:history="1">
            <w:r w:rsidRPr="00001032">
              <w:rPr>
                <w:rStyle w:val="Hyperlink"/>
                <w:rFonts w:ascii="Baskerville Old Face" w:hAnsi="Baskerville Old Face"/>
                <w:noProof/>
              </w:rPr>
              <w:t>4.14 CUSTOMS BOARDING UNIT</w:t>
            </w:r>
            <w:r w:rsidRPr="00001032">
              <w:rPr>
                <w:noProof/>
                <w:webHidden/>
              </w:rPr>
              <w:tab/>
            </w:r>
            <w:r w:rsidRPr="00001032">
              <w:rPr>
                <w:noProof/>
                <w:webHidden/>
              </w:rPr>
              <w:fldChar w:fldCharType="begin"/>
            </w:r>
            <w:r w:rsidRPr="00001032">
              <w:rPr>
                <w:noProof/>
                <w:webHidden/>
              </w:rPr>
              <w:instrText xml:space="preserve"> PAGEREF _Toc198043954 \h </w:instrText>
            </w:r>
            <w:r w:rsidRPr="00001032">
              <w:rPr>
                <w:noProof/>
                <w:webHidden/>
              </w:rPr>
            </w:r>
            <w:r w:rsidRPr="00001032">
              <w:rPr>
                <w:noProof/>
                <w:webHidden/>
              </w:rPr>
              <w:fldChar w:fldCharType="separate"/>
            </w:r>
            <w:r w:rsidRPr="00001032">
              <w:rPr>
                <w:noProof/>
                <w:webHidden/>
              </w:rPr>
              <w:t>56</w:t>
            </w:r>
            <w:r w:rsidRPr="00001032">
              <w:rPr>
                <w:noProof/>
                <w:webHidden/>
              </w:rPr>
              <w:fldChar w:fldCharType="end"/>
            </w:r>
          </w:hyperlink>
        </w:p>
        <w:p w14:paraId="4597733D" w14:textId="7E69F79C" w:rsidR="00001032" w:rsidRPr="00001032" w:rsidRDefault="00001032">
          <w:pPr>
            <w:pStyle w:val="TOC2"/>
            <w:tabs>
              <w:tab w:val="right" w:leader="dot" w:pos="9350"/>
            </w:tabs>
            <w:rPr>
              <w:rFonts w:eastAsiaTheme="minorEastAsia"/>
              <w:noProof/>
              <w:sz w:val="24"/>
              <w:szCs w:val="24"/>
            </w:rPr>
          </w:pPr>
          <w:hyperlink w:anchor="_Toc198043955" w:history="1">
            <w:r w:rsidRPr="00001032">
              <w:rPr>
                <w:rStyle w:val="Hyperlink"/>
                <w:rFonts w:ascii="Baskerville Old Face" w:hAnsi="Baskerville Old Face"/>
                <w:noProof/>
              </w:rPr>
              <w:t>4.15 REVENUE PERFORMANCE OF CUSTOMS OUTSTATIONS / BORDER POSTS</w:t>
            </w:r>
            <w:r w:rsidRPr="00001032">
              <w:rPr>
                <w:noProof/>
                <w:webHidden/>
              </w:rPr>
              <w:tab/>
            </w:r>
            <w:r w:rsidRPr="00001032">
              <w:rPr>
                <w:noProof/>
                <w:webHidden/>
              </w:rPr>
              <w:fldChar w:fldCharType="begin"/>
            </w:r>
            <w:r w:rsidRPr="00001032">
              <w:rPr>
                <w:noProof/>
                <w:webHidden/>
              </w:rPr>
              <w:instrText xml:space="preserve"> PAGEREF _Toc198043955 \h </w:instrText>
            </w:r>
            <w:r w:rsidRPr="00001032">
              <w:rPr>
                <w:noProof/>
                <w:webHidden/>
              </w:rPr>
            </w:r>
            <w:r w:rsidRPr="00001032">
              <w:rPr>
                <w:noProof/>
                <w:webHidden/>
              </w:rPr>
              <w:fldChar w:fldCharType="separate"/>
            </w:r>
            <w:r w:rsidRPr="00001032">
              <w:rPr>
                <w:noProof/>
                <w:webHidden/>
              </w:rPr>
              <w:t>57</w:t>
            </w:r>
            <w:r w:rsidRPr="00001032">
              <w:rPr>
                <w:noProof/>
                <w:webHidden/>
              </w:rPr>
              <w:fldChar w:fldCharType="end"/>
            </w:r>
          </w:hyperlink>
        </w:p>
        <w:p w14:paraId="5E2CBCFB" w14:textId="603BF25B" w:rsidR="00001032" w:rsidRPr="00001032" w:rsidRDefault="00001032">
          <w:pPr>
            <w:pStyle w:val="TOC1"/>
            <w:tabs>
              <w:tab w:val="right" w:leader="dot" w:pos="9350"/>
            </w:tabs>
            <w:rPr>
              <w:rFonts w:eastAsiaTheme="minorEastAsia"/>
              <w:b/>
              <w:bCs/>
              <w:noProof/>
              <w:sz w:val="24"/>
              <w:szCs w:val="24"/>
            </w:rPr>
          </w:pPr>
          <w:hyperlink w:anchor="_Toc198043956" w:history="1">
            <w:r w:rsidRPr="00001032">
              <w:rPr>
                <w:rStyle w:val="Hyperlink"/>
                <w:rFonts w:ascii="Baskerville Old Face" w:hAnsi="Baskerville Old Face"/>
                <w:b/>
                <w:bCs/>
                <w:noProof/>
              </w:rPr>
              <w:t>CHAPTER FIVE</w:t>
            </w:r>
            <w:r w:rsidRPr="00001032">
              <w:rPr>
                <w:b/>
                <w:bCs/>
                <w:noProof/>
                <w:webHidden/>
              </w:rPr>
              <w:tab/>
            </w:r>
            <w:r w:rsidRPr="00001032">
              <w:rPr>
                <w:b/>
                <w:bCs/>
                <w:noProof/>
                <w:webHidden/>
              </w:rPr>
              <w:fldChar w:fldCharType="begin"/>
            </w:r>
            <w:r w:rsidRPr="00001032">
              <w:rPr>
                <w:b/>
                <w:bCs/>
                <w:noProof/>
                <w:webHidden/>
              </w:rPr>
              <w:instrText xml:space="preserve"> PAGEREF _Toc198043956 \h </w:instrText>
            </w:r>
            <w:r w:rsidRPr="00001032">
              <w:rPr>
                <w:b/>
                <w:bCs/>
                <w:noProof/>
                <w:webHidden/>
              </w:rPr>
            </w:r>
            <w:r w:rsidRPr="00001032">
              <w:rPr>
                <w:b/>
                <w:bCs/>
                <w:noProof/>
                <w:webHidden/>
              </w:rPr>
              <w:fldChar w:fldCharType="separate"/>
            </w:r>
            <w:r w:rsidRPr="00001032">
              <w:rPr>
                <w:b/>
                <w:bCs/>
                <w:noProof/>
                <w:webHidden/>
              </w:rPr>
              <w:t>58</w:t>
            </w:r>
            <w:r w:rsidRPr="00001032">
              <w:rPr>
                <w:b/>
                <w:bCs/>
                <w:noProof/>
                <w:webHidden/>
              </w:rPr>
              <w:fldChar w:fldCharType="end"/>
            </w:r>
          </w:hyperlink>
        </w:p>
        <w:p w14:paraId="755AD082" w14:textId="3CA0AEBF" w:rsidR="00001032" w:rsidRPr="00001032" w:rsidRDefault="00001032">
          <w:pPr>
            <w:pStyle w:val="TOC1"/>
            <w:tabs>
              <w:tab w:val="right" w:leader="dot" w:pos="9350"/>
            </w:tabs>
            <w:rPr>
              <w:rFonts w:eastAsiaTheme="minorEastAsia"/>
              <w:b/>
              <w:bCs/>
              <w:noProof/>
              <w:sz w:val="24"/>
              <w:szCs w:val="24"/>
            </w:rPr>
          </w:pPr>
          <w:hyperlink w:anchor="_Toc198043957" w:history="1">
            <w:r w:rsidRPr="00001032">
              <w:rPr>
                <w:rStyle w:val="Hyperlink"/>
                <w:rFonts w:ascii="Baskerville Old Face" w:hAnsi="Baskerville Old Face"/>
                <w:b/>
                <w:bCs/>
                <w:noProof/>
              </w:rPr>
              <w:t>5.0 PROSPECTS AND CHALLENGES/RISKS FOR 2025</w:t>
            </w:r>
            <w:r w:rsidRPr="00001032">
              <w:rPr>
                <w:b/>
                <w:bCs/>
                <w:noProof/>
                <w:webHidden/>
              </w:rPr>
              <w:tab/>
            </w:r>
            <w:r w:rsidRPr="00001032">
              <w:rPr>
                <w:b/>
                <w:bCs/>
                <w:noProof/>
                <w:webHidden/>
              </w:rPr>
              <w:fldChar w:fldCharType="begin"/>
            </w:r>
            <w:r w:rsidRPr="00001032">
              <w:rPr>
                <w:b/>
                <w:bCs/>
                <w:noProof/>
                <w:webHidden/>
              </w:rPr>
              <w:instrText xml:space="preserve"> PAGEREF _Toc198043957 \h </w:instrText>
            </w:r>
            <w:r w:rsidRPr="00001032">
              <w:rPr>
                <w:b/>
                <w:bCs/>
                <w:noProof/>
                <w:webHidden/>
              </w:rPr>
            </w:r>
            <w:r w:rsidRPr="00001032">
              <w:rPr>
                <w:b/>
                <w:bCs/>
                <w:noProof/>
                <w:webHidden/>
              </w:rPr>
              <w:fldChar w:fldCharType="separate"/>
            </w:r>
            <w:r w:rsidRPr="00001032">
              <w:rPr>
                <w:b/>
                <w:bCs/>
                <w:noProof/>
                <w:webHidden/>
              </w:rPr>
              <w:t>58</w:t>
            </w:r>
            <w:r w:rsidRPr="00001032">
              <w:rPr>
                <w:b/>
                <w:bCs/>
                <w:noProof/>
                <w:webHidden/>
              </w:rPr>
              <w:fldChar w:fldCharType="end"/>
            </w:r>
          </w:hyperlink>
        </w:p>
        <w:p w14:paraId="37FDF793" w14:textId="3E8EBCD7" w:rsidR="00001032" w:rsidRPr="00001032" w:rsidRDefault="00001032">
          <w:pPr>
            <w:pStyle w:val="TOC2"/>
            <w:tabs>
              <w:tab w:val="right" w:leader="dot" w:pos="9350"/>
            </w:tabs>
            <w:rPr>
              <w:rFonts w:eastAsiaTheme="minorEastAsia"/>
              <w:noProof/>
              <w:sz w:val="24"/>
              <w:szCs w:val="24"/>
            </w:rPr>
          </w:pPr>
          <w:hyperlink w:anchor="_Toc198043958" w:history="1">
            <w:r w:rsidRPr="00001032">
              <w:rPr>
                <w:rStyle w:val="Hyperlink"/>
                <w:rFonts w:ascii="Baskerville Old Face" w:hAnsi="Baskerville Old Face"/>
                <w:noProof/>
              </w:rPr>
              <w:t>5.1 2025 Domestic Revenue Target</w:t>
            </w:r>
            <w:r w:rsidRPr="00001032">
              <w:rPr>
                <w:noProof/>
                <w:webHidden/>
              </w:rPr>
              <w:tab/>
            </w:r>
            <w:r w:rsidRPr="00001032">
              <w:rPr>
                <w:noProof/>
                <w:webHidden/>
              </w:rPr>
              <w:fldChar w:fldCharType="begin"/>
            </w:r>
            <w:r w:rsidRPr="00001032">
              <w:rPr>
                <w:noProof/>
                <w:webHidden/>
              </w:rPr>
              <w:instrText xml:space="preserve"> PAGEREF _Toc198043958 \h </w:instrText>
            </w:r>
            <w:r w:rsidRPr="00001032">
              <w:rPr>
                <w:noProof/>
                <w:webHidden/>
              </w:rPr>
            </w:r>
            <w:r w:rsidRPr="00001032">
              <w:rPr>
                <w:noProof/>
                <w:webHidden/>
              </w:rPr>
              <w:fldChar w:fldCharType="separate"/>
            </w:r>
            <w:r w:rsidRPr="00001032">
              <w:rPr>
                <w:noProof/>
                <w:webHidden/>
              </w:rPr>
              <w:t>58</w:t>
            </w:r>
            <w:r w:rsidRPr="00001032">
              <w:rPr>
                <w:noProof/>
                <w:webHidden/>
              </w:rPr>
              <w:fldChar w:fldCharType="end"/>
            </w:r>
          </w:hyperlink>
        </w:p>
        <w:p w14:paraId="250F8F0E" w14:textId="6ADCD376" w:rsidR="00001032" w:rsidRPr="00001032" w:rsidRDefault="00001032">
          <w:pPr>
            <w:pStyle w:val="TOC2"/>
            <w:tabs>
              <w:tab w:val="right" w:leader="dot" w:pos="9350"/>
            </w:tabs>
            <w:rPr>
              <w:rFonts w:eastAsiaTheme="minorEastAsia"/>
              <w:noProof/>
              <w:sz w:val="24"/>
              <w:szCs w:val="24"/>
            </w:rPr>
          </w:pPr>
          <w:hyperlink w:anchor="_Toc198043959" w:history="1">
            <w:r w:rsidRPr="00001032">
              <w:rPr>
                <w:rStyle w:val="Hyperlink"/>
                <w:rFonts w:ascii="Baskerville Old Face" w:hAnsi="Baskerville Old Face"/>
                <w:noProof/>
              </w:rPr>
              <w:t>5.2 Measures to Improve Revenue in 2025</w:t>
            </w:r>
            <w:r w:rsidRPr="00001032">
              <w:rPr>
                <w:noProof/>
                <w:webHidden/>
              </w:rPr>
              <w:tab/>
            </w:r>
            <w:r w:rsidRPr="00001032">
              <w:rPr>
                <w:noProof/>
                <w:webHidden/>
              </w:rPr>
              <w:fldChar w:fldCharType="begin"/>
            </w:r>
            <w:r w:rsidRPr="00001032">
              <w:rPr>
                <w:noProof/>
                <w:webHidden/>
              </w:rPr>
              <w:instrText xml:space="preserve"> PAGEREF _Toc198043959 \h </w:instrText>
            </w:r>
            <w:r w:rsidRPr="00001032">
              <w:rPr>
                <w:noProof/>
                <w:webHidden/>
              </w:rPr>
            </w:r>
            <w:r w:rsidRPr="00001032">
              <w:rPr>
                <w:noProof/>
                <w:webHidden/>
              </w:rPr>
              <w:fldChar w:fldCharType="separate"/>
            </w:r>
            <w:r w:rsidRPr="00001032">
              <w:rPr>
                <w:noProof/>
                <w:webHidden/>
              </w:rPr>
              <w:t>59</w:t>
            </w:r>
            <w:r w:rsidRPr="00001032">
              <w:rPr>
                <w:noProof/>
                <w:webHidden/>
              </w:rPr>
              <w:fldChar w:fldCharType="end"/>
            </w:r>
          </w:hyperlink>
        </w:p>
        <w:p w14:paraId="60EFDEF4" w14:textId="27C1797E" w:rsidR="00001032" w:rsidRPr="00001032" w:rsidRDefault="00001032">
          <w:pPr>
            <w:pStyle w:val="TOC2"/>
            <w:tabs>
              <w:tab w:val="right" w:leader="dot" w:pos="9350"/>
            </w:tabs>
            <w:rPr>
              <w:rFonts w:eastAsiaTheme="minorEastAsia"/>
              <w:noProof/>
              <w:sz w:val="24"/>
              <w:szCs w:val="24"/>
            </w:rPr>
          </w:pPr>
          <w:hyperlink w:anchor="_Toc198043960" w:history="1">
            <w:r w:rsidRPr="00001032">
              <w:rPr>
                <w:rStyle w:val="Hyperlink"/>
                <w:rFonts w:ascii="Baskerville Old Face" w:hAnsi="Baskerville Old Face"/>
                <w:noProof/>
              </w:rPr>
              <w:t>5.3 Measures to Improve Compliance in 2025</w:t>
            </w:r>
            <w:r w:rsidRPr="00001032">
              <w:rPr>
                <w:noProof/>
                <w:webHidden/>
              </w:rPr>
              <w:tab/>
            </w:r>
            <w:r w:rsidRPr="00001032">
              <w:rPr>
                <w:noProof/>
                <w:webHidden/>
              </w:rPr>
              <w:fldChar w:fldCharType="begin"/>
            </w:r>
            <w:r w:rsidRPr="00001032">
              <w:rPr>
                <w:noProof/>
                <w:webHidden/>
              </w:rPr>
              <w:instrText xml:space="preserve"> PAGEREF _Toc198043960 \h </w:instrText>
            </w:r>
            <w:r w:rsidRPr="00001032">
              <w:rPr>
                <w:noProof/>
                <w:webHidden/>
              </w:rPr>
            </w:r>
            <w:r w:rsidRPr="00001032">
              <w:rPr>
                <w:noProof/>
                <w:webHidden/>
              </w:rPr>
              <w:fldChar w:fldCharType="separate"/>
            </w:r>
            <w:r w:rsidRPr="00001032">
              <w:rPr>
                <w:noProof/>
                <w:webHidden/>
              </w:rPr>
              <w:t>59</w:t>
            </w:r>
            <w:r w:rsidRPr="00001032">
              <w:rPr>
                <w:noProof/>
                <w:webHidden/>
              </w:rPr>
              <w:fldChar w:fldCharType="end"/>
            </w:r>
          </w:hyperlink>
        </w:p>
        <w:p w14:paraId="6D4932CB" w14:textId="6259853C" w:rsidR="00001032" w:rsidRDefault="00001032">
          <w:pPr>
            <w:pStyle w:val="TOC2"/>
            <w:tabs>
              <w:tab w:val="right" w:leader="dot" w:pos="9350"/>
            </w:tabs>
            <w:rPr>
              <w:rFonts w:eastAsiaTheme="minorEastAsia"/>
              <w:noProof/>
              <w:sz w:val="24"/>
              <w:szCs w:val="24"/>
            </w:rPr>
          </w:pPr>
          <w:hyperlink w:anchor="_Toc198043961" w:history="1">
            <w:r w:rsidRPr="00001032">
              <w:rPr>
                <w:rStyle w:val="Hyperlink"/>
                <w:rFonts w:ascii="Baskerville Old Face" w:hAnsi="Baskerville Old Face"/>
                <w:noProof/>
              </w:rPr>
              <w:t>5.4 Revenue Administration Reforms for 2025</w:t>
            </w:r>
            <w:r w:rsidRPr="00001032">
              <w:rPr>
                <w:noProof/>
                <w:webHidden/>
              </w:rPr>
              <w:tab/>
            </w:r>
            <w:r w:rsidRPr="00001032">
              <w:rPr>
                <w:noProof/>
                <w:webHidden/>
              </w:rPr>
              <w:fldChar w:fldCharType="begin"/>
            </w:r>
            <w:r w:rsidRPr="00001032">
              <w:rPr>
                <w:noProof/>
                <w:webHidden/>
              </w:rPr>
              <w:instrText xml:space="preserve"> PAGEREF _Toc198043961 \h </w:instrText>
            </w:r>
            <w:r w:rsidRPr="00001032">
              <w:rPr>
                <w:noProof/>
                <w:webHidden/>
              </w:rPr>
            </w:r>
            <w:r w:rsidRPr="00001032">
              <w:rPr>
                <w:noProof/>
                <w:webHidden/>
              </w:rPr>
              <w:fldChar w:fldCharType="separate"/>
            </w:r>
            <w:r w:rsidRPr="00001032">
              <w:rPr>
                <w:noProof/>
                <w:webHidden/>
              </w:rPr>
              <w:t>60</w:t>
            </w:r>
            <w:r w:rsidRPr="00001032">
              <w:rPr>
                <w:noProof/>
                <w:webHidden/>
              </w:rPr>
              <w:fldChar w:fldCharType="end"/>
            </w:r>
          </w:hyperlink>
        </w:p>
        <w:p w14:paraId="0B7E69B3" w14:textId="2C2E9520" w:rsidR="00395E0D" w:rsidRPr="00414ACD" w:rsidRDefault="00395E0D">
          <w:pPr>
            <w:rPr>
              <w:rFonts w:ascii="Baskerville Old Face" w:hAnsi="Baskerville Old Face"/>
            </w:rPr>
          </w:pPr>
          <w:r w:rsidRPr="00414ACD">
            <w:rPr>
              <w:rFonts w:ascii="Baskerville Old Face" w:hAnsi="Baskerville Old Face"/>
              <w:noProof/>
            </w:rPr>
            <w:fldChar w:fldCharType="end"/>
          </w:r>
        </w:p>
      </w:sdtContent>
    </w:sdt>
    <w:p w14:paraId="33B227BD" w14:textId="77777777" w:rsidR="00C03BAC" w:rsidRPr="00414ACD" w:rsidRDefault="00C03BAC" w:rsidP="00C03BAC">
      <w:pPr>
        <w:rPr>
          <w:rFonts w:ascii="Baskerville Old Face" w:hAnsi="Baskerville Old Face" w:cs="Times New Roman"/>
          <w:b/>
          <w:bCs/>
          <w:kern w:val="0"/>
          <w:sz w:val="28"/>
          <w:szCs w:val="28"/>
          <w:lang w:val="en-GB"/>
          <w14:ligatures w14:val="none"/>
        </w:rPr>
      </w:pPr>
    </w:p>
    <w:p w14:paraId="31DFE5A7" w14:textId="64A7B79C" w:rsidR="00396047" w:rsidRPr="00414ACD" w:rsidRDefault="00766021" w:rsidP="00414ACD">
      <w:pPr>
        <w:pStyle w:val="Heading1"/>
        <w:jc w:val="center"/>
        <w:rPr>
          <w:rFonts w:ascii="Baskerville Old Face" w:hAnsi="Baskerville Old Face"/>
          <w:lang w:val="en-GB"/>
        </w:rPr>
      </w:pPr>
      <w:bookmarkStart w:id="0" w:name="_Toc198043899"/>
      <w:r w:rsidRPr="00414ACD">
        <w:rPr>
          <w:rFonts w:ascii="Baskerville Old Face" w:hAnsi="Baskerville Old Face"/>
          <w:lang w:val="en-GB"/>
        </w:rPr>
        <w:t>List of Tables</w:t>
      </w:r>
      <w:bookmarkEnd w:id="0"/>
    </w:p>
    <w:p w14:paraId="7B35C1EE" w14:textId="5CBF5611" w:rsidR="00B05E76" w:rsidRPr="00B05E76" w:rsidRDefault="00766021">
      <w:pPr>
        <w:pStyle w:val="TableofFigures"/>
        <w:tabs>
          <w:tab w:val="right" w:leader="dot" w:pos="9350"/>
        </w:tabs>
        <w:rPr>
          <w:rFonts w:eastAsiaTheme="minorEastAsia"/>
          <w:noProof/>
          <w:sz w:val="24"/>
          <w:szCs w:val="24"/>
        </w:rPr>
      </w:pPr>
      <w:r w:rsidRPr="00414ACD">
        <w:rPr>
          <w:rFonts w:ascii="Baskerville Old Face" w:hAnsi="Baskerville Old Face" w:cs="Times New Roman"/>
          <w:kern w:val="0"/>
          <w:sz w:val="28"/>
          <w:szCs w:val="28"/>
          <w:lang w:val="en-GB"/>
          <w14:ligatures w14:val="none"/>
        </w:rPr>
        <w:fldChar w:fldCharType="begin"/>
      </w:r>
      <w:r w:rsidRPr="00414ACD">
        <w:rPr>
          <w:rFonts w:ascii="Baskerville Old Face" w:hAnsi="Baskerville Old Face" w:cs="Times New Roman"/>
          <w:kern w:val="0"/>
          <w:sz w:val="28"/>
          <w:szCs w:val="28"/>
          <w:lang w:val="en-GB"/>
          <w14:ligatures w14:val="none"/>
        </w:rPr>
        <w:instrText xml:space="preserve"> TOC \h \z \c "Table" </w:instrText>
      </w:r>
      <w:r w:rsidRPr="00414ACD">
        <w:rPr>
          <w:rFonts w:ascii="Baskerville Old Face" w:hAnsi="Baskerville Old Face" w:cs="Times New Roman"/>
          <w:kern w:val="0"/>
          <w:sz w:val="28"/>
          <w:szCs w:val="28"/>
          <w:lang w:val="en-GB"/>
          <w14:ligatures w14:val="none"/>
        </w:rPr>
        <w:fldChar w:fldCharType="separate"/>
      </w:r>
      <w:hyperlink w:anchor="_Toc198044019" w:history="1">
        <w:r w:rsidR="00B05E76" w:rsidRPr="00B05E76">
          <w:rPr>
            <w:rStyle w:val="Hyperlink"/>
            <w:rFonts w:ascii="Baskerville Old Face" w:hAnsi="Baskerville Old Face"/>
            <w:noProof/>
          </w:rPr>
          <w:t>Table 1: 2024 NRA Operational Plan Activities Analysis</w:t>
        </w:r>
        <w:r w:rsidR="00B05E76" w:rsidRPr="00B05E76">
          <w:rPr>
            <w:noProof/>
            <w:webHidden/>
          </w:rPr>
          <w:tab/>
        </w:r>
        <w:r w:rsidR="00B05E76" w:rsidRPr="00B05E76">
          <w:rPr>
            <w:noProof/>
            <w:webHidden/>
          </w:rPr>
          <w:fldChar w:fldCharType="begin"/>
        </w:r>
        <w:r w:rsidR="00B05E76" w:rsidRPr="00B05E76">
          <w:rPr>
            <w:noProof/>
            <w:webHidden/>
          </w:rPr>
          <w:instrText xml:space="preserve"> PAGEREF _Toc198044019 \h </w:instrText>
        </w:r>
        <w:r w:rsidR="00B05E76" w:rsidRPr="00B05E76">
          <w:rPr>
            <w:noProof/>
            <w:webHidden/>
          </w:rPr>
        </w:r>
        <w:r w:rsidR="00B05E76" w:rsidRPr="00B05E76">
          <w:rPr>
            <w:noProof/>
            <w:webHidden/>
          </w:rPr>
          <w:fldChar w:fldCharType="separate"/>
        </w:r>
        <w:r w:rsidR="00B05E76" w:rsidRPr="00B05E76">
          <w:rPr>
            <w:noProof/>
            <w:webHidden/>
          </w:rPr>
          <w:t>18</w:t>
        </w:r>
        <w:r w:rsidR="00B05E76" w:rsidRPr="00B05E76">
          <w:rPr>
            <w:noProof/>
            <w:webHidden/>
          </w:rPr>
          <w:fldChar w:fldCharType="end"/>
        </w:r>
      </w:hyperlink>
    </w:p>
    <w:p w14:paraId="585DB6E1" w14:textId="4377B43F" w:rsidR="00B05E76" w:rsidRPr="00B05E76" w:rsidRDefault="00B05E76">
      <w:pPr>
        <w:pStyle w:val="TableofFigures"/>
        <w:tabs>
          <w:tab w:val="right" w:leader="dot" w:pos="9350"/>
        </w:tabs>
        <w:rPr>
          <w:rFonts w:eastAsiaTheme="minorEastAsia"/>
          <w:noProof/>
          <w:sz w:val="24"/>
          <w:szCs w:val="24"/>
        </w:rPr>
      </w:pPr>
      <w:hyperlink w:anchor="_Toc198044020" w:history="1">
        <w:r w:rsidRPr="00B05E76">
          <w:rPr>
            <w:rStyle w:val="Hyperlink"/>
            <w:rFonts w:ascii="Baskerville Old Face" w:hAnsi="Baskerville Old Face"/>
            <w:noProof/>
          </w:rPr>
          <w:t>Table 2: Departmental Analysis of the 2024 Operational Plan</w:t>
        </w:r>
        <w:r w:rsidRPr="00B05E76">
          <w:rPr>
            <w:noProof/>
            <w:webHidden/>
          </w:rPr>
          <w:tab/>
        </w:r>
        <w:r w:rsidRPr="00B05E76">
          <w:rPr>
            <w:noProof/>
            <w:webHidden/>
          </w:rPr>
          <w:fldChar w:fldCharType="begin"/>
        </w:r>
        <w:r w:rsidRPr="00B05E76">
          <w:rPr>
            <w:noProof/>
            <w:webHidden/>
          </w:rPr>
          <w:instrText xml:space="preserve"> PAGEREF _Toc198044020 \h </w:instrText>
        </w:r>
        <w:r w:rsidRPr="00B05E76">
          <w:rPr>
            <w:noProof/>
            <w:webHidden/>
          </w:rPr>
        </w:r>
        <w:r w:rsidRPr="00B05E76">
          <w:rPr>
            <w:noProof/>
            <w:webHidden/>
          </w:rPr>
          <w:fldChar w:fldCharType="separate"/>
        </w:r>
        <w:r w:rsidRPr="00B05E76">
          <w:rPr>
            <w:noProof/>
            <w:webHidden/>
          </w:rPr>
          <w:t>19</w:t>
        </w:r>
        <w:r w:rsidRPr="00B05E76">
          <w:rPr>
            <w:noProof/>
            <w:webHidden/>
          </w:rPr>
          <w:fldChar w:fldCharType="end"/>
        </w:r>
      </w:hyperlink>
    </w:p>
    <w:p w14:paraId="1E3DB37A" w14:textId="280AD70B" w:rsidR="00B05E76" w:rsidRPr="00B05E76" w:rsidRDefault="00B05E76">
      <w:pPr>
        <w:pStyle w:val="TableofFigures"/>
        <w:tabs>
          <w:tab w:val="right" w:leader="dot" w:pos="9350"/>
        </w:tabs>
        <w:rPr>
          <w:rFonts w:eastAsiaTheme="minorEastAsia"/>
          <w:noProof/>
          <w:sz w:val="24"/>
          <w:szCs w:val="24"/>
        </w:rPr>
      </w:pPr>
      <w:hyperlink w:anchor="_Toc198044021" w:history="1">
        <w:r w:rsidRPr="00B05E76">
          <w:rPr>
            <w:rStyle w:val="Hyperlink"/>
            <w:rFonts w:ascii="Baskerville Old Face" w:hAnsi="Baskerville Old Face"/>
            <w:noProof/>
          </w:rPr>
          <w:t>Table 3: Domestic Revenue Collection: 2024 versus 2023 (NLe Thousand)</w:t>
        </w:r>
        <w:r w:rsidRPr="00B05E76">
          <w:rPr>
            <w:noProof/>
            <w:webHidden/>
          </w:rPr>
          <w:tab/>
        </w:r>
        <w:r w:rsidRPr="00B05E76">
          <w:rPr>
            <w:noProof/>
            <w:webHidden/>
          </w:rPr>
          <w:fldChar w:fldCharType="begin"/>
        </w:r>
        <w:r w:rsidRPr="00B05E76">
          <w:rPr>
            <w:noProof/>
            <w:webHidden/>
          </w:rPr>
          <w:instrText xml:space="preserve"> PAGEREF _Toc198044021 \h </w:instrText>
        </w:r>
        <w:r w:rsidRPr="00B05E76">
          <w:rPr>
            <w:noProof/>
            <w:webHidden/>
          </w:rPr>
        </w:r>
        <w:r w:rsidRPr="00B05E76">
          <w:rPr>
            <w:noProof/>
            <w:webHidden/>
          </w:rPr>
          <w:fldChar w:fldCharType="separate"/>
        </w:r>
        <w:r w:rsidRPr="00B05E76">
          <w:rPr>
            <w:noProof/>
            <w:webHidden/>
          </w:rPr>
          <w:t>23</w:t>
        </w:r>
        <w:r w:rsidRPr="00B05E76">
          <w:rPr>
            <w:noProof/>
            <w:webHidden/>
          </w:rPr>
          <w:fldChar w:fldCharType="end"/>
        </w:r>
      </w:hyperlink>
    </w:p>
    <w:p w14:paraId="401B0BB6" w14:textId="0DFF2078" w:rsidR="00B05E76" w:rsidRPr="00B05E76" w:rsidRDefault="00B05E76">
      <w:pPr>
        <w:pStyle w:val="TableofFigures"/>
        <w:tabs>
          <w:tab w:val="right" w:leader="dot" w:pos="9350"/>
        </w:tabs>
        <w:rPr>
          <w:rFonts w:eastAsiaTheme="minorEastAsia"/>
          <w:noProof/>
          <w:sz w:val="24"/>
          <w:szCs w:val="24"/>
        </w:rPr>
      </w:pPr>
      <w:hyperlink w:anchor="_Toc198044022" w:history="1">
        <w:r w:rsidRPr="00B05E76">
          <w:rPr>
            <w:rStyle w:val="Hyperlink"/>
            <w:rFonts w:ascii="Baskerville Old Face" w:hAnsi="Baskerville Old Face"/>
            <w:noProof/>
          </w:rPr>
          <w:t>Table 4: 2024 Domestic Revenue Collection Relative to Budget Target (NLe Thousand)</w:t>
        </w:r>
        <w:r w:rsidRPr="00B05E76">
          <w:rPr>
            <w:noProof/>
            <w:webHidden/>
          </w:rPr>
          <w:tab/>
        </w:r>
        <w:r w:rsidRPr="00B05E76">
          <w:rPr>
            <w:noProof/>
            <w:webHidden/>
          </w:rPr>
          <w:fldChar w:fldCharType="begin"/>
        </w:r>
        <w:r w:rsidRPr="00B05E76">
          <w:rPr>
            <w:noProof/>
            <w:webHidden/>
          </w:rPr>
          <w:instrText xml:space="preserve"> PAGEREF _Toc198044022 \h </w:instrText>
        </w:r>
        <w:r w:rsidRPr="00B05E76">
          <w:rPr>
            <w:noProof/>
            <w:webHidden/>
          </w:rPr>
        </w:r>
        <w:r w:rsidRPr="00B05E76">
          <w:rPr>
            <w:noProof/>
            <w:webHidden/>
          </w:rPr>
          <w:fldChar w:fldCharType="separate"/>
        </w:r>
        <w:r w:rsidRPr="00B05E76">
          <w:rPr>
            <w:noProof/>
            <w:webHidden/>
          </w:rPr>
          <w:t>25</w:t>
        </w:r>
        <w:r w:rsidRPr="00B05E76">
          <w:rPr>
            <w:noProof/>
            <w:webHidden/>
          </w:rPr>
          <w:fldChar w:fldCharType="end"/>
        </w:r>
      </w:hyperlink>
    </w:p>
    <w:p w14:paraId="689D2E64" w14:textId="3DC70CA0" w:rsidR="00B05E76" w:rsidRPr="00B05E76" w:rsidRDefault="00B05E76">
      <w:pPr>
        <w:pStyle w:val="TableofFigures"/>
        <w:tabs>
          <w:tab w:val="right" w:leader="dot" w:pos="9350"/>
        </w:tabs>
        <w:rPr>
          <w:rFonts w:eastAsiaTheme="minorEastAsia"/>
          <w:noProof/>
          <w:sz w:val="24"/>
          <w:szCs w:val="24"/>
        </w:rPr>
      </w:pPr>
      <w:hyperlink w:anchor="_Toc198044023" w:history="1">
        <w:r w:rsidRPr="00B05E76">
          <w:rPr>
            <w:rStyle w:val="Hyperlink"/>
            <w:rFonts w:ascii="Baskerville Old Face" w:hAnsi="Baskerville Old Face"/>
            <w:noProof/>
          </w:rPr>
          <w:t>Table 5: Duty Waiver by Category of Exemption, 2023 and 2022 (NLe Million)</w:t>
        </w:r>
        <w:r w:rsidRPr="00B05E76">
          <w:rPr>
            <w:noProof/>
            <w:webHidden/>
          </w:rPr>
          <w:tab/>
        </w:r>
        <w:r w:rsidRPr="00B05E76">
          <w:rPr>
            <w:noProof/>
            <w:webHidden/>
          </w:rPr>
          <w:fldChar w:fldCharType="begin"/>
        </w:r>
        <w:r w:rsidRPr="00B05E76">
          <w:rPr>
            <w:noProof/>
            <w:webHidden/>
          </w:rPr>
          <w:instrText xml:space="preserve"> PAGEREF _Toc198044023 \h </w:instrText>
        </w:r>
        <w:r w:rsidRPr="00B05E76">
          <w:rPr>
            <w:noProof/>
            <w:webHidden/>
          </w:rPr>
        </w:r>
        <w:r w:rsidRPr="00B05E76">
          <w:rPr>
            <w:noProof/>
            <w:webHidden/>
          </w:rPr>
          <w:fldChar w:fldCharType="separate"/>
        </w:r>
        <w:r w:rsidRPr="00B05E76">
          <w:rPr>
            <w:noProof/>
            <w:webHidden/>
          </w:rPr>
          <w:t>29</w:t>
        </w:r>
        <w:r w:rsidRPr="00B05E76">
          <w:rPr>
            <w:noProof/>
            <w:webHidden/>
          </w:rPr>
          <w:fldChar w:fldCharType="end"/>
        </w:r>
      </w:hyperlink>
    </w:p>
    <w:p w14:paraId="71099408" w14:textId="5CC3A6E3" w:rsidR="00B05E76" w:rsidRPr="00B05E76" w:rsidRDefault="00B05E76">
      <w:pPr>
        <w:pStyle w:val="TableofFigures"/>
        <w:tabs>
          <w:tab w:val="right" w:leader="dot" w:pos="9350"/>
        </w:tabs>
        <w:rPr>
          <w:rFonts w:eastAsiaTheme="minorEastAsia"/>
          <w:noProof/>
          <w:sz w:val="24"/>
          <w:szCs w:val="24"/>
        </w:rPr>
      </w:pPr>
      <w:hyperlink w:anchor="_Toc198044024" w:history="1">
        <w:r w:rsidRPr="00B05E76">
          <w:rPr>
            <w:rStyle w:val="Hyperlink"/>
            <w:rFonts w:ascii="Baskerville Old Face" w:hAnsi="Baskerville Old Face"/>
            <w:noProof/>
          </w:rPr>
          <w:t>Table 6: Duty Waiver for 2024 and 2023 by Sector Analysis in (NLe Million)</w:t>
        </w:r>
        <w:r w:rsidRPr="00B05E76">
          <w:rPr>
            <w:noProof/>
            <w:webHidden/>
          </w:rPr>
          <w:tab/>
        </w:r>
        <w:r w:rsidRPr="00B05E76">
          <w:rPr>
            <w:noProof/>
            <w:webHidden/>
          </w:rPr>
          <w:fldChar w:fldCharType="begin"/>
        </w:r>
        <w:r w:rsidRPr="00B05E76">
          <w:rPr>
            <w:noProof/>
            <w:webHidden/>
          </w:rPr>
          <w:instrText xml:space="preserve"> PAGEREF _Toc198044024 \h </w:instrText>
        </w:r>
        <w:r w:rsidRPr="00B05E76">
          <w:rPr>
            <w:noProof/>
            <w:webHidden/>
          </w:rPr>
        </w:r>
        <w:r w:rsidRPr="00B05E76">
          <w:rPr>
            <w:noProof/>
            <w:webHidden/>
          </w:rPr>
          <w:fldChar w:fldCharType="separate"/>
        </w:r>
        <w:r w:rsidRPr="00B05E76">
          <w:rPr>
            <w:noProof/>
            <w:webHidden/>
          </w:rPr>
          <w:t>30</w:t>
        </w:r>
        <w:r w:rsidRPr="00B05E76">
          <w:rPr>
            <w:noProof/>
            <w:webHidden/>
          </w:rPr>
          <w:fldChar w:fldCharType="end"/>
        </w:r>
      </w:hyperlink>
    </w:p>
    <w:p w14:paraId="1780F1B7" w14:textId="24BA3D7A" w:rsidR="00B05E76" w:rsidRPr="00B05E76" w:rsidRDefault="00B05E76">
      <w:pPr>
        <w:pStyle w:val="TableofFigures"/>
        <w:tabs>
          <w:tab w:val="right" w:leader="dot" w:pos="9350"/>
        </w:tabs>
        <w:rPr>
          <w:rFonts w:eastAsiaTheme="minorEastAsia"/>
          <w:noProof/>
          <w:sz w:val="24"/>
          <w:szCs w:val="24"/>
        </w:rPr>
      </w:pPr>
      <w:hyperlink w:anchor="_Toc198044025" w:history="1">
        <w:r w:rsidRPr="00B05E76">
          <w:rPr>
            <w:rStyle w:val="Hyperlink"/>
            <w:rFonts w:ascii="Baskerville Old Face" w:hAnsi="Baskerville Old Face"/>
            <w:noProof/>
          </w:rPr>
          <w:t>Table 7: Staff Strength by Gender 2024 and 2023</w:t>
        </w:r>
        <w:r w:rsidRPr="00B05E76">
          <w:rPr>
            <w:noProof/>
            <w:webHidden/>
          </w:rPr>
          <w:tab/>
        </w:r>
        <w:r w:rsidRPr="00B05E76">
          <w:rPr>
            <w:noProof/>
            <w:webHidden/>
          </w:rPr>
          <w:fldChar w:fldCharType="begin"/>
        </w:r>
        <w:r w:rsidRPr="00B05E76">
          <w:rPr>
            <w:noProof/>
            <w:webHidden/>
          </w:rPr>
          <w:instrText xml:space="preserve"> PAGEREF _Toc198044025 \h </w:instrText>
        </w:r>
        <w:r w:rsidRPr="00B05E76">
          <w:rPr>
            <w:noProof/>
            <w:webHidden/>
          </w:rPr>
        </w:r>
        <w:r w:rsidRPr="00B05E76">
          <w:rPr>
            <w:noProof/>
            <w:webHidden/>
          </w:rPr>
          <w:fldChar w:fldCharType="separate"/>
        </w:r>
        <w:r w:rsidRPr="00B05E76">
          <w:rPr>
            <w:noProof/>
            <w:webHidden/>
          </w:rPr>
          <w:t>32</w:t>
        </w:r>
        <w:r w:rsidRPr="00B05E76">
          <w:rPr>
            <w:noProof/>
            <w:webHidden/>
          </w:rPr>
          <w:fldChar w:fldCharType="end"/>
        </w:r>
      </w:hyperlink>
    </w:p>
    <w:p w14:paraId="48C5C83B" w14:textId="69CA2EBA" w:rsidR="00B05E76" w:rsidRPr="00B05E76" w:rsidRDefault="00B05E76">
      <w:pPr>
        <w:pStyle w:val="TableofFigures"/>
        <w:tabs>
          <w:tab w:val="right" w:leader="dot" w:pos="9350"/>
        </w:tabs>
        <w:rPr>
          <w:rFonts w:eastAsiaTheme="minorEastAsia"/>
          <w:noProof/>
          <w:sz w:val="24"/>
          <w:szCs w:val="24"/>
        </w:rPr>
      </w:pPr>
      <w:hyperlink w:anchor="_Toc198044026" w:history="1">
        <w:r w:rsidRPr="00B05E76">
          <w:rPr>
            <w:rStyle w:val="Hyperlink"/>
            <w:rFonts w:ascii="Baskerville Old Face" w:hAnsi="Baskerville Old Face"/>
            <w:noProof/>
          </w:rPr>
          <w:t>Table 8: Staff Separation by Department, 2024 and 2023</w:t>
        </w:r>
        <w:r w:rsidRPr="00B05E76">
          <w:rPr>
            <w:noProof/>
            <w:webHidden/>
          </w:rPr>
          <w:tab/>
        </w:r>
        <w:r w:rsidRPr="00B05E76">
          <w:rPr>
            <w:noProof/>
            <w:webHidden/>
          </w:rPr>
          <w:fldChar w:fldCharType="begin"/>
        </w:r>
        <w:r w:rsidRPr="00B05E76">
          <w:rPr>
            <w:noProof/>
            <w:webHidden/>
          </w:rPr>
          <w:instrText xml:space="preserve"> PAGEREF _Toc198044026 \h </w:instrText>
        </w:r>
        <w:r w:rsidRPr="00B05E76">
          <w:rPr>
            <w:noProof/>
            <w:webHidden/>
          </w:rPr>
        </w:r>
        <w:r w:rsidRPr="00B05E76">
          <w:rPr>
            <w:noProof/>
            <w:webHidden/>
          </w:rPr>
          <w:fldChar w:fldCharType="separate"/>
        </w:r>
        <w:r w:rsidRPr="00B05E76">
          <w:rPr>
            <w:noProof/>
            <w:webHidden/>
          </w:rPr>
          <w:t>33</w:t>
        </w:r>
        <w:r w:rsidRPr="00B05E76">
          <w:rPr>
            <w:noProof/>
            <w:webHidden/>
          </w:rPr>
          <w:fldChar w:fldCharType="end"/>
        </w:r>
      </w:hyperlink>
    </w:p>
    <w:p w14:paraId="669F5599" w14:textId="02D286A3" w:rsidR="00B05E76" w:rsidRPr="00B05E76" w:rsidRDefault="00B05E76">
      <w:pPr>
        <w:pStyle w:val="TableofFigures"/>
        <w:tabs>
          <w:tab w:val="right" w:leader="dot" w:pos="9350"/>
        </w:tabs>
        <w:rPr>
          <w:rFonts w:eastAsiaTheme="minorEastAsia"/>
          <w:noProof/>
          <w:sz w:val="24"/>
          <w:szCs w:val="24"/>
        </w:rPr>
      </w:pPr>
      <w:hyperlink w:anchor="_Toc198044027" w:history="1">
        <w:r w:rsidRPr="00B05E76">
          <w:rPr>
            <w:rStyle w:val="Hyperlink"/>
            <w:rFonts w:ascii="Baskerville Old Face" w:hAnsi="Baskerville Old Face"/>
            <w:noProof/>
          </w:rPr>
          <w:t>Table 9: Staff Recruitment, Confirmation and Promotion, 2024</w:t>
        </w:r>
        <w:r w:rsidRPr="00B05E76">
          <w:rPr>
            <w:noProof/>
            <w:webHidden/>
          </w:rPr>
          <w:tab/>
        </w:r>
        <w:r w:rsidRPr="00B05E76">
          <w:rPr>
            <w:noProof/>
            <w:webHidden/>
          </w:rPr>
          <w:fldChar w:fldCharType="begin"/>
        </w:r>
        <w:r w:rsidRPr="00B05E76">
          <w:rPr>
            <w:noProof/>
            <w:webHidden/>
          </w:rPr>
          <w:instrText xml:space="preserve"> PAGEREF _Toc198044027 \h </w:instrText>
        </w:r>
        <w:r w:rsidRPr="00B05E76">
          <w:rPr>
            <w:noProof/>
            <w:webHidden/>
          </w:rPr>
        </w:r>
        <w:r w:rsidRPr="00B05E76">
          <w:rPr>
            <w:noProof/>
            <w:webHidden/>
          </w:rPr>
          <w:fldChar w:fldCharType="separate"/>
        </w:r>
        <w:r w:rsidRPr="00B05E76">
          <w:rPr>
            <w:noProof/>
            <w:webHidden/>
          </w:rPr>
          <w:t>34</w:t>
        </w:r>
        <w:r w:rsidRPr="00B05E76">
          <w:rPr>
            <w:noProof/>
            <w:webHidden/>
          </w:rPr>
          <w:fldChar w:fldCharType="end"/>
        </w:r>
      </w:hyperlink>
    </w:p>
    <w:p w14:paraId="09A3CA71" w14:textId="670B9D5C" w:rsidR="00B05E76" w:rsidRPr="00B05E76" w:rsidRDefault="00B05E76">
      <w:pPr>
        <w:pStyle w:val="TableofFigures"/>
        <w:tabs>
          <w:tab w:val="right" w:leader="dot" w:pos="9350"/>
        </w:tabs>
        <w:rPr>
          <w:rFonts w:eastAsiaTheme="minorEastAsia"/>
          <w:noProof/>
          <w:sz w:val="24"/>
          <w:szCs w:val="24"/>
        </w:rPr>
      </w:pPr>
      <w:hyperlink w:anchor="_Toc198044028" w:history="1">
        <w:r w:rsidRPr="00B05E76">
          <w:rPr>
            <w:rStyle w:val="Hyperlink"/>
            <w:rFonts w:ascii="Baskerville Old Face" w:hAnsi="Baskerville Old Face"/>
            <w:noProof/>
          </w:rPr>
          <w:t>Table 10: Number of Training Participants by Department 2024</w:t>
        </w:r>
        <w:r w:rsidRPr="00B05E76">
          <w:rPr>
            <w:noProof/>
            <w:webHidden/>
          </w:rPr>
          <w:tab/>
        </w:r>
        <w:r w:rsidRPr="00B05E76">
          <w:rPr>
            <w:noProof/>
            <w:webHidden/>
          </w:rPr>
          <w:fldChar w:fldCharType="begin"/>
        </w:r>
        <w:r w:rsidRPr="00B05E76">
          <w:rPr>
            <w:noProof/>
            <w:webHidden/>
          </w:rPr>
          <w:instrText xml:space="preserve"> PAGEREF _Toc198044028 \h </w:instrText>
        </w:r>
        <w:r w:rsidRPr="00B05E76">
          <w:rPr>
            <w:noProof/>
            <w:webHidden/>
          </w:rPr>
        </w:r>
        <w:r w:rsidRPr="00B05E76">
          <w:rPr>
            <w:noProof/>
            <w:webHidden/>
          </w:rPr>
          <w:fldChar w:fldCharType="separate"/>
        </w:r>
        <w:r w:rsidRPr="00B05E76">
          <w:rPr>
            <w:noProof/>
            <w:webHidden/>
          </w:rPr>
          <w:t>35</w:t>
        </w:r>
        <w:r w:rsidRPr="00B05E76">
          <w:rPr>
            <w:noProof/>
            <w:webHidden/>
          </w:rPr>
          <w:fldChar w:fldCharType="end"/>
        </w:r>
      </w:hyperlink>
    </w:p>
    <w:p w14:paraId="6B9A0E31" w14:textId="373DBC42" w:rsidR="00B05E76" w:rsidRPr="00B05E76" w:rsidRDefault="00B05E76">
      <w:pPr>
        <w:pStyle w:val="TableofFigures"/>
        <w:tabs>
          <w:tab w:val="right" w:leader="dot" w:pos="9350"/>
        </w:tabs>
        <w:rPr>
          <w:rFonts w:eastAsiaTheme="minorEastAsia"/>
          <w:noProof/>
          <w:sz w:val="24"/>
          <w:szCs w:val="24"/>
        </w:rPr>
      </w:pPr>
      <w:hyperlink w:anchor="_Toc198044029" w:history="1">
        <w:r w:rsidRPr="00B05E76">
          <w:rPr>
            <w:rStyle w:val="Hyperlink"/>
            <w:rFonts w:ascii="Baskerville Old Face" w:hAnsi="Baskerville Old Face"/>
            <w:noProof/>
          </w:rPr>
          <w:t>Table 11: Number of TIN Issued by Tax Office in 2024 and 2023</w:t>
        </w:r>
        <w:r w:rsidRPr="00B05E76">
          <w:rPr>
            <w:noProof/>
            <w:webHidden/>
          </w:rPr>
          <w:tab/>
        </w:r>
        <w:r w:rsidRPr="00B05E76">
          <w:rPr>
            <w:noProof/>
            <w:webHidden/>
          </w:rPr>
          <w:fldChar w:fldCharType="begin"/>
        </w:r>
        <w:r w:rsidRPr="00B05E76">
          <w:rPr>
            <w:noProof/>
            <w:webHidden/>
          </w:rPr>
          <w:instrText xml:space="preserve"> PAGEREF _Toc198044029 \h </w:instrText>
        </w:r>
        <w:r w:rsidRPr="00B05E76">
          <w:rPr>
            <w:noProof/>
            <w:webHidden/>
          </w:rPr>
        </w:r>
        <w:r w:rsidRPr="00B05E76">
          <w:rPr>
            <w:noProof/>
            <w:webHidden/>
          </w:rPr>
          <w:fldChar w:fldCharType="separate"/>
        </w:r>
        <w:r w:rsidRPr="00B05E76">
          <w:rPr>
            <w:noProof/>
            <w:webHidden/>
          </w:rPr>
          <w:t>40</w:t>
        </w:r>
        <w:r w:rsidRPr="00B05E76">
          <w:rPr>
            <w:noProof/>
            <w:webHidden/>
          </w:rPr>
          <w:fldChar w:fldCharType="end"/>
        </w:r>
      </w:hyperlink>
    </w:p>
    <w:p w14:paraId="101F5009" w14:textId="152E70C0" w:rsidR="00B05E76" w:rsidRPr="00B05E76" w:rsidRDefault="00B05E76">
      <w:pPr>
        <w:pStyle w:val="TableofFigures"/>
        <w:tabs>
          <w:tab w:val="right" w:leader="dot" w:pos="9350"/>
        </w:tabs>
        <w:rPr>
          <w:rFonts w:eastAsiaTheme="minorEastAsia"/>
          <w:noProof/>
          <w:sz w:val="24"/>
          <w:szCs w:val="24"/>
        </w:rPr>
      </w:pPr>
      <w:hyperlink w:anchor="_Toc198044030" w:history="1">
        <w:r w:rsidRPr="00B05E76">
          <w:rPr>
            <w:rStyle w:val="Hyperlink"/>
            <w:rFonts w:ascii="Baskerville Old Face" w:hAnsi="Baskerville Old Face"/>
            <w:noProof/>
          </w:rPr>
          <w:t>Table 12: Average Filing Rate by Tax Office, 2024 and 2023</w:t>
        </w:r>
        <w:r w:rsidRPr="00B05E76">
          <w:rPr>
            <w:noProof/>
            <w:webHidden/>
          </w:rPr>
          <w:tab/>
        </w:r>
        <w:r w:rsidRPr="00B05E76">
          <w:rPr>
            <w:noProof/>
            <w:webHidden/>
          </w:rPr>
          <w:fldChar w:fldCharType="begin"/>
        </w:r>
        <w:r w:rsidRPr="00B05E76">
          <w:rPr>
            <w:noProof/>
            <w:webHidden/>
          </w:rPr>
          <w:instrText xml:space="preserve"> PAGEREF _Toc198044030 \h </w:instrText>
        </w:r>
        <w:r w:rsidRPr="00B05E76">
          <w:rPr>
            <w:noProof/>
            <w:webHidden/>
          </w:rPr>
        </w:r>
        <w:r w:rsidRPr="00B05E76">
          <w:rPr>
            <w:noProof/>
            <w:webHidden/>
          </w:rPr>
          <w:fldChar w:fldCharType="separate"/>
        </w:r>
        <w:r w:rsidRPr="00B05E76">
          <w:rPr>
            <w:noProof/>
            <w:webHidden/>
          </w:rPr>
          <w:t>42</w:t>
        </w:r>
        <w:r w:rsidRPr="00B05E76">
          <w:rPr>
            <w:noProof/>
            <w:webHidden/>
          </w:rPr>
          <w:fldChar w:fldCharType="end"/>
        </w:r>
      </w:hyperlink>
    </w:p>
    <w:p w14:paraId="1C4E21D8" w14:textId="514F9948" w:rsidR="00B05E76" w:rsidRPr="00B05E76" w:rsidRDefault="00B05E76">
      <w:pPr>
        <w:pStyle w:val="TableofFigures"/>
        <w:tabs>
          <w:tab w:val="right" w:leader="dot" w:pos="9350"/>
        </w:tabs>
        <w:rPr>
          <w:rFonts w:eastAsiaTheme="minorEastAsia"/>
          <w:noProof/>
          <w:sz w:val="24"/>
          <w:szCs w:val="24"/>
        </w:rPr>
      </w:pPr>
      <w:hyperlink w:anchor="_Toc198044031" w:history="1">
        <w:r w:rsidRPr="00B05E76">
          <w:rPr>
            <w:rStyle w:val="Hyperlink"/>
            <w:rFonts w:ascii="Baskerville Old Face" w:hAnsi="Baskerville Old Face"/>
            <w:noProof/>
          </w:rPr>
          <w:t>Table 13: Annual Filing Rate by Tax Office and Tax Type, 2024</w:t>
        </w:r>
        <w:r w:rsidRPr="00B05E76">
          <w:rPr>
            <w:noProof/>
            <w:webHidden/>
          </w:rPr>
          <w:tab/>
        </w:r>
        <w:r w:rsidRPr="00B05E76">
          <w:rPr>
            <w:noProof/>
            <w:webHidden/>
          </w:rPr>
          <w:fldChar w:fldCharType="begin"/>
        </w:r>
        <w:r w:rsidRPr="00B05E76">
          <w:rPr>
            <w:noProof/>
            <w:webHidden/>
          </w:rPr>
          <w:instrText xml:space="preserve"> PAGEREF _Toc198044031 \h </w:instrText>
        </w:r>
        <w:r w:rsidRPr="00B05E76">
          <w:rPr>
            <w:noProof/>
            <w:webHidden/>
          </w:rPr>
        </w:r>
        <w:r w:rsidRPr="00B05E76">
          <w:rPr>
            <w:noProof/>
            <w:webHidden/>
          </w:rPr>
          <w:fldChar w:fldCharType="separate"/>
        </w:r>
        <w:r w:rsidRPr="00B05E76">
          <w:rPr>
            <w:noProof/>
            <w:webHidden/>
          </w:rPr>
          <w:t>43</w:t>
        </w:r>
        <w:r w:rsidRPr="00B05E76">
          <w:rPr>
            <w:noProof/>
            <w:webHidden/>
          </w:rPr>
          <w:fldChar w:fldCharType="end"/>
        </w:r>
      </w:hyperlink>
    </w:p>
    <w:p w14:paraId="7C751443" w14:textId="2B352E7E" w:rsidR="00B05E76" w:rsidRPr="00B05E76" w:rsidRDefault="00B05E76">
      <w:pPr>
        <w:pStyle w:val="TableofFigures"/>
        <w:tabs>
          <w:tab w:val="right" w:leader="dot" w:pos="9350"/>
        </w:tabs>
        <w:rPr>
          <w:rFonts w:eastAsiaTheme="minorEastAsia"/>
          <w:noProof/>
          <w:sz w:val="24"/>
          <w:szCs w:val="24"/>
        </w:rPr>
      </w:pPr>
      <w:hyperlink w:anchor="_Toc198044032" w:history="1">
        <w:r w:rsidRPr="00B05E76">
          <w:rPr>
            <w:rStyle w:val="Hyperlink"/>
            <w:rFonts w:ascii="Baskerville Old Face" w:hAnsi="Baskerville Old Face"/>
            <w:noProof/>
          </w:rPr>
          <w:t>Table 14: DTD Planned Tax Audit 2024</w:t>
        </w:r>
        <w:r w:rsidRPr="00B05E76">
          <w:rPr>
            <w:noProof/>
            <w:webHidden/>
          </w:rPr>
          <w:tab/>
        </w:r>
        <w:r w:rsidRPr="00B05E76">
          <w:rPr>
            <w:noProof/>
            <w:webHidden/>
          </w:rPr>
          <w:fldChar w:fldCharType="begin"/>
        </w:r>
        <w:r w:rsidRPr="00B05E76">
          <w:rPr>
            <w:noProof/>
            <w:webHidden/>
          </w:rPr>
          <w:instrText xml:space="preserve"> PAGEREF _Toc198044032 \h </w:instrText>
        </w:r>
        <w:r w:rsidRPr="00B05E76">
          <w:rPr>
            <w:noProof/>
            <w:webHidden/>
          </w:rPr>
        </w:r>
        <w:r w:rsidRPr="00B05E76">
          <w:rPr>
            <w:noProof/>
            <w:webHidden/>
          </w:rPr>
          <w:fldChar w:fldCharType="separate"/>
        </w:r>
        <w:r w:rsidRPr="00B05E76">
          <w:rPr>
            <w:noProof/>
            <w:webHidden/>
          </w:rPr>
          <w:t>44</w:t>
        </w:r>
        <w:r w:rsidRPr="00B05E76">
          <w:rPr>
            <w:noProof/>
            <w:webHidden/>
          </w:rPr>
          <w:fldChar w:fldCharType="end"/>
        </w:r>
      </w:hyperlink>
    </w:p>
    <w:p w14:paraId="32974268" w14:textId="2C12CBFD" w:rsidR="00B05E76" w:rsidRPr="00B05E76" w:rsidRDefault="00B05E76">
      <w:pPr>
        <w:pStyle w:val="TableofFigures"/>
        <w:tabs>
          <w:tab w:val="right" w:leader="dot" w:pos="9350"/>
        </w:tabs>
        <w:rPr>
          <w:rFonts w:eastAsiaTheme="minorEastAsia"/>
          <w:noProof/>
          <w:sz w:val="24"/>
          <w:szCs w:val="24"/>
        </w:rPr>
      </w:pPr>
      <w:hyperlink w:anchor="_Toc198044033" w:history="1">
        <w:r w:rsidRPr="00B05E76">
          <w:rPr>
            <w:rStyle w:val="Hyperlink"/>
            <w:rFonts w:ascii="Baskerville Old Face" w:hAnsi="Baskerville Old Face"/>
            <w:noProof/>
          </w:rPr>
          <w:t>Table 15: LTO Tax Audit Liability 2024 and 2023 in NLe</w:t>
        </w:r>
        <w:r w:rsidRPr="00B05E76">
          <w:rPr>
            <w:noProof/>
            <w:webHidden/>
          </w:rPr>
          <w:tab/>
        </w:r>
        <w:r w:rsidRPr="00B05E76">
          <w:rPr>
            <w:noProof/>
            <w:webHidden/>
          </w:rPr>
          <w:fldChar w:fldCharType="begin"/>
        </w:r>
        <w:r w:rsidRPr="00B05E76">
          <w:rPr>
            <w:noProof/>
            <w:webHidden/>
          </w:rPr>
          <w:instrText xml:space="preserve"> PAGEREF _Toc198044033 \h </w:instrText>
        </w:r>
        <w:r w:rsidRPr="00B05E76">
          <w:rPr>
            <w:noProof/>
            <w:webHidden/>
          </w:rPr>
        </w:r>
        <w:r w:rsidRPr="00B05E76">
          <w:rPr>
            <w:noProof/>
            <w:webHidden/>
          </w:rPr>
          <w:fldChar w:fldCharType="separate"/>
        </w:r>
        <w:r w:rsidRPr="00B05E76">
          <w:rPr>
            <w:noProof/>
            <w:webHidden/>
          </w:rPr>
          <w:t>45</w:t>
        </w:r>
        <w:r w:rsidRPr="00B05E76">
          <w:rPr>
            <w:noProof/>
            <w:webHidden/>
          </w:rPr>
          <w:fldChar w:fldCharType="end"/>
        </w:r>
      </w:hyperlink>
    </w:p>
    <w:p w14:paraId="6FDB5131" w14:textId="149CA1DF" w:rsidR="00B05E76" w:rsidRPr="00B05E76" w:rsidRDefault="00B05E76">
      <w:pPr>
        <w:pStyle w:val="TableofFigures"/>
        <w:tabs>
          <w:tab w:val="right" w:leader="dot" w:pos="9350"/>
        </w:tabs>
        <w:rPr>
          <w:rFonts w:eastAsiaTheme="minorEastAsia"/>
          <w:noProof/>
          <w:sz w:val="24"/>
          <w:szCs w:val="24"/>
        </w:rPr>
      </w:pPr>
      <w:hyperlink w:anchor="_Toc198044034" w:history="1">
        <w:r w:rsidRPr="00B05E76">
          <w:rPr>
            <w:rStyle w:val="Hyperlink"/>
            <w:rFonts w:ascii="Baskerville Old Face" w:hAnsi="Baskerville Old Face"/>
            <w:noProof/>
          </w:rPr>
          <w:t>Table 16: SMTO Tax Audit Liability 2024 and 2023 in NLe</w:t>
        </w:r>
        <w:r w:rsidRPr="00B05E76">
          <w:rPr>
            <w:noProof/>
            <w:webHidden/>
          </w:rPr>
          <w:tab/>
        </w:r>
        <w:r w:rsidRPr="00B05E76">
          <w:rPr>
            <w:noProof/>
            <w:webHidden/>
          </w:rPr>
          <w:fldChar w:fldCharType="begin"/>
        </w:r>
        <w:r w:rsidRPr="00B05E76">
          <w:rPr>
            <w:noProof/>
            <w:webHidden/>
          </w:rPr>
          <w:instrText xml:space="preserve"> PAGEREF _Toc198044034 \h </w:instrText>
        </w:r>
        <w:r w:rsidRPr="00B05E76">
          <w:rPr>
            <w:noProof/>
            <w:webHidden/>
          </w:rPr>
        </w:r>
        <w:r w:rsidRPr="00B05E76">
          <w:rPr>
            <w:noProof/>
            <w:webHidden/>
          </w:rPr>
          <w:fldChar w:fldCharType="separate"/>
        </w:r>
        <w:r w:rsidRPr="00B05E76">
          <w:rPr>
            <w:noProof/>
            <w:webHidden/>
          </w:rPr>
          <w:t>46</w:t>
        </w:r>
        <w:r w:rsidRPr="00B05E76">
          <w:rPr>
            <w:noProof/>
            <w:webHidden/>
          </w:rPr>
          <w:fldChar w:fldCharType="end"/>
        </w:r>
      </w:hyperlink>
    </w:p>
    <w:p w14:paraId="4BC6B498" w14:textId="6AEB251F" w:rsidR="00B05E76" w:rsidRPr="00B05E76" w:rsidRDefault="00B05E76">
      <w:pPr>
        <w:pStyle w:val="TableofFigures"/>
        <w:tabs>
          <w:tab w:val="right" w:leader="dot" w:pos="9350"/>
        </w:tabs>
        <w:rPr>
          <w:rFonts w:eastAsiaTheme="minorEastAsia"/>
          <w:noProof/>
          <w:sz w:val="24"/>
          <w:szCs w:val="24"/>
        </w:rPr>
      </w:pPr>
      <w:hyperlink w:anchor="_Toc198044035" w:history="1">
        <w:r w:rsidRPr="00B05E76">
          <w:rPr>
            <w:rStyle w:val="Hyperlink"/>
            <w:rFonts w:ascii="Baskerville Old Face" w:hAnsi="Baskerville Old Face"/>
            <w:noProof/>
          </w:rPr>
          <w:t>Table 17: EIRU Tax Audit Liability (2024 and 2023) in NLe and USD</w:t>
        </w:r>
        <w:r w:rsidRPr="00B05E76">
          <w:rPr>
            <w:noProof/>
            <w:webHidden/>
          </w:rPr>
          <w:tab/>
        </w:r>
        <w:r w:rsidRPr="00B05E76">
          <w:rPr>
            <w:noProof/>
            <w:webHidden/>
          </w:rPr>
          <w:fldChar w:fldCharType="begin"/>
        </w:r>
        <w:r w:rsidRPr="00B05E76">
          <w:rPr>
            <w:noProof/>
            <w:webHidden/>
          </w:rPr>
          <w:instrText xml:space="preserve"> PAGEREF _Toc198044035 \h </w:instrText>
        </w:r>
        <w:r w:rsidRPr="00B05E76">
          <w:rPr>
            <w:noProof/>
            <w:webHidden/>
          </w:rPr>
        </w:r>
        <w:r w:rsidRPr="00B05E76">
          <w:rPr>
            <w:noProof/>
            <w:webHidden/>
          </w:rPr>
          <w:fldChar w:fldCharType="separate"/>
        </w:r>
        <w:r w:rsidRPr="00B05E76">
          <w:rPr>
            <w:noProof/>
            <w:webHidden/>
          </w:rPr>
          <w:t>46</w:t>
        </w:r>
        <w:r w:rsidRPr="00B05E76">
          <w:rPr>
            <w:noProof/>
            <w:webHidden/>
          </w:rPr>
          <w:fldChar w:fldCharType="end"/>
        </w:r>
      </w:hyperlink>
    </w:p>
    <w:p w14:paraId="210B055C" w14:textId="725E7876" w:rsidR="00B05E76" w:rsidRPr="00B05E76" w:rsidRDefault="00B05E76">
      <w:pPr>
        <w:pStyle w:val="TableofFigures"/>
        <w:tabs>
          <w:tab w:val="right" w:leader="dot" w:pos="9350"/>
        </w:tabs>
        <w:rPr>
          <w:rFonts w:eastAsiaTheme="minorEastAsia"/>
          <w:noProof/>
          <w:sz w:val="24"/>
          <w:szCs w:val="24"/>
        </w:rPr>
      </w:pPr>
      <w:hyperlink w:anchor="_Toc198044036" w:history="1">
        <w:r w:rsidRPr="00B05E76">
          <w:rPr>
            <w:rStyle w:val="Hyperlink"/>
            <w:rFonts w:ascii="Baskerville Old Face" w:hAnsi="Baskerville Old Face"/>
            <w:noProof/>
          </w:rPr>
          <w:t>Table 18: DTD Arrears by Tax Type and Office, 2024</w:t>
        </w:r>
        <w:r w:rsidRPr="00B05E76">
          <w:rPr>
            <w:noProof/>
            <w:webHidden/>
          </w:rPr>
          <w:tab/>
        </w:r>
        <w:r w:rsidRPr="00B05E76">
          <w:rPr>
            <w:noProof/>
            <w:webHidden/>
          </w:rPr>
          <w:fldChar w:fldCharType="begin"/>
        </w:r>
        <w:r w:rsidRPr="00B05E76">
          <w:rPr>
            <w:noProof/>
            <w:webHidden/>
          </w:rPr>
          <w:instrText xml:space="preserve"> PAGEREF _Toc198044036 \h </w:instrText>
        </w:r>
        <w:r w:rsidRPr="00B05E76">
          <w:rPr>
            <w:noProof/>
            <w:webHidden/>
          </w:rPr>
        </w:r>
        <w:r w:rsidRPr="00B05E76">
          <w:rPr>
            <w:noProof/>
            <w:webHidden/>
          </w:rPr>
          <w:fldChar w:fldCharType="separate"/>
        </w:r>
        <w:r w:rsidRPr="00B05E76">
          <w:rPr>
            <w:noProof/>
            <w:webHidden/>
          </w:rPr>
          <w:t>47</w:t>
        </w:r>
        <w:r w:rsidRPr="00B05E76">
          <w:rPr>
            <w:noProof/>
            <w:webHidden/>
          </w:rPr>
          <w:fldChar w:fldCharType="end"/>
        </w:r>
      </w:hyperlink>
    </w:p>
    <w:p w14:paraId="3ED9619B" w14:textId="750FD9F8" w:rsidR="00B05E76" w:rsidRPr="00B05E76" w:rsidRDefault="00B05E76">
      <w:pPr>
        <w:pStyle w:val="TableofFigures"/>
        <w:tabs>
          <w:tab w:val="right" w:leader="dot" w:pos="9350"/>
        </w:tabs>
        <w:rPr>
          <w:rFonts w:eastAsiaTheme="minorEastAsia"/>
          <w:noProof/>
          <w:sz w:val="24"/>
          <w:szCs w:val="24"/>
        </w:rPr>
      </w:pPr>
      <w:hyperlink w:anchor="_Toc198044037" w:history="1">
        <w:r w:rsidRPr="00B05E76">
          <w:rPr>
            <w:rStyle w:val="Hyperlink"/>
            <w:rFonts w:ascii="Baskerville Old Face" w:hAnsi="Baskerville Old Face"/>
            <w:noProof/>
          </w:rPr>
          <w:t>Table 19: Number of profiled Importers by Selectivity Lane in 2024</w:t>
        </w:r>
        <w:r w:rsidRPr="00B05E76">
          <w:rPr>
            <w:noProof/>
            <w:webHidden/>
          </w:rPr>
          <w:tab/>
        </w:r>
        <w:r w:rsidRPr="00B05E76">
          <w:rPr>
            <w:noProof/>
            <w:webHidden/>
          </w:rPr>
          <w:fldChar w:fldCharType="begin"/>
        </w:r>
        <w:r w:rsidRPr="00B05E76">
          <w:rPr>
            <w:noProof/>
            <w:webHidden/>
          </w:rPr>
          <w:instrText xml:space="preserve"> PAGEREF _Toc198044037 \h </w:instrText>
        </w:r>
        <w:r w:rsidRPr="00B05E76">
          <w:rPr>
            <w:noProof/>
            <w:webHidden/>
          </w:rPr>
        </w:r>
        <w:r w:rsidRPr="00B05E76">
          <w:rPr>
            <w:noProof/>
            <w:webHidden/>
          </w:rPr>
          <w:fldChar w:fldCharType="separate"/>
        </w:r>
        <w:r w:rsidRPr="00B05E76">
          <w:rPr>
            <w:noProof/>
            <w:webHidden/>
          </w:rPr>
          <w:t>49</w:t>
        </w:r>
        <w:r w:rsidRPr="00B05E76">
          <w:rPr>
            <w:noProof/>
            <w:webHidden/>
          </w:rPr>
          <w:fldChar w:fldCharType="end"/>
        </w:r>
      </w:hyperlink>
    </w:p>
    <w:p w14:paraId="34824037" w14:textId="2280CCEF" w:rsidR="00B05E76" w:rsidRPr="00B05E76" w:rsidRDefault="00B05E76">
      <w:pPr>
        <w:pStyle w:val="TableofFigures"/>
        <w:tabs>
          <w:tab w:val="right" w:leader="dot" w:pos="9350"/>
        </w:tabs>
        <w:rPr>
          <w:rFonts w:eastAsiaTheme="minorEastAsia"/>
          <w:noProof/>
          <w:sz w:val="24"/>
          <w:szCs w:val="24"/>
        </w:rPr>
      </w:pPr>
      <w:hyperlink w:anchor="_Toc198044038" w:history="1">
        <w:r w:rsidRPr="00B05E76">
          <w:rPr>
            <w:rStyle w:val="Hyperlink"/>
            <w:rFonts w:ascii="Baskerville Old Face" w:hAnsi="Baskerville Old Face"/>
            <w:noProof/>
          </w:rPr>
          <w:t>Table 20: Revenue Raised by the Risk Management Unit, 2024</w:t>
        </w:r>
        <w:r w:rsidRPr="00B05E76">
          <w:rPr>
            <w:noProof/>
            <w:webHidden/>
          </w:rPr>
          <w:tab/>
        </w:r>
        <w:r w:rsidRPr="00B05E76">
          <w:rPr>
            <w:noProof/>
            <w:webHidden/>
          </w:rPr>
          <w:fldChar w:fldCharType="begin"/>
        </w:r>
        <w:r w:rsidRPr="00B05E76">
          <w:rPr>
            <w:noProof/>
            <w:webHidden/>
          </w:rPr>
          <w:instrText xml:space="preserve"> PAGEREF _Toc198044038 \h </w:instrText>
        </w:r>
        <w:r w:rsidRPr="00B05E76">
          <w:rPr>
            <w:noProof/>
            <w:webHidden/>
          </w:rPr>
        </w:r>
        <w:r w:rsidRPr="00B05E76">
          <w:rPr>
            <w:noProof/>
            <w:webHidden/>
          </w:rPr>
          <w:fldChar w:fldCharType="separate"/>
        </w:r>
        <w:r w:rsidRPr="00B05E76">
          <w:rPr>
            <w:noProof/>
            <w:webHidden/>
          </w:rPr>
          <w:t>49</w:t>
        </w:r>
        <w:r w:rsidRPr="00B05E76">
          <w:rPr>
            <w:noProof/>
            <w:webHidden/>
          </w:rPr>
          <w:fldChar w:fldCharType="end"/>
        </w:r>
      </w:hyperlink>
    </w:p>
    <w:p w14:paraId="03E64DB5" w14:textId="698C5E36" w:rsidR="00B05E76" w:rsidRPr="00B05E76" w:rsidRDefault="00B05E76">
      <w:pPr>
        <w:pStyle w:val="TableofFigures"/>
        <w:tabs>
          <w:tab w:val="right" w:leader="dot" w:pos="9350"/>
        </w:tabs>
        <w:rPr>
          <w:rFonts w:eastAsiaTheme="minorEastAsia"/>
          <w:noProof/>
          <w:sz w:val="24"/>
          <w:szCs w:val="24"/>
        </w:rPr>
      </w:pPr>
      <w:hyperlink w:anchor="_Toc198044039" w:history="1">
        <w:r w:rsidRPr="00B05E76">
          <w:rPr>
            <w:rStyle w:val="Hyperlink"/>
            <w:rFonts w:ascii="Baskerville Old Face" w:hAnsi="Baskerville Old Face"/>
            <w:noProof/>
          </w:rPr>
          <w:t>Table 21: Dutiable Imports CIF Value 2024 and 2023 (NLe)</w:t>
        </w:r>
        <w:r w:rsidRPr="00B05E76">
          <w:rPr>
            <w:noProof/>
            <w:webHidden/>
          </w:rPr>
          <w:tab/>
        </w:r>
        <w:r w:rsidRPr="00B05E76">
          <w:rPr>
            <w:noProof/>
            <w:webHidden/>
          </w:rPr>
          <w:fldChar w:fldCharType="begin"/>
        </w:r>
        <w:r w:rsidRPr="00B05E76">
          <w:rPr>
            <w:noProof/>
            <w:webHidden/>
          </w:rPr>
          <w:instrText xml:space="preserve"> PAGEREF _Toc198044039 \h </w:instrText>
        </w:r>
        <w:r w:rsidRPr="00B05E76">
          <w:rPr>
            <w:noProof/>
            <w:webHidden/>
          </w:rPr>
        </w:r>
        <w:r w:rsidRPr="00B05E76">
          <w:rPr>
            <w:noProof/>
            <w:webHidden/>
          </w:rPr>
          <w:fldChar w:fldCharType="separate"/>
        </w:r>
        <w:r w:rsidRPr="00B05E76">
          <w:rPr>
            <w:noProof/>
            <w:webHidden/>
          </w:rPr>
          <w:t>52</w:t>
        </w:r>
        <w:r w:rsidRPr="00B05E76">
          <w:rPr>
            <w:noProof/>
            <w:webHidden/>
          </w:rPr>
          <w:fldChar w:fldCharType="end"/>
        </w:r>
      </w:hyperlink>
    </w:p>
    <w:p w14:paraId="353FD66C" w14:textId="2D98FF14" w:rsidR="00B05E76" w:rsidRPr="00B05E76" w:rsidRDefault="00B05E76">
      <w:pPr>
        <w:pStyle w:val="TableofFigures"/>
        <w:tabs>
          <w:tab w:val="right" w:leader="dot" w:pos="9350"/>
        </w:tabs>
        <w:rPr>
          <w:rFonts w:eastAsiaTheme="minorEastAsia"/>
          <w:noProof/>
          <w:sz w:val="24"/>
          <w:szCs w:val="24"/>
        </w:rPr>
      </w:pPr>
      <w:hyperlink w:anchor="_Toc198044040" w:history="1">
        <w:r w:rsidRPr="00B05E76">
          <w:rPr>
            <w:rStyle w:val="Hyperlink"/>
            <w:rFonts w:ascii="Baskerville Old Face" w:hAnsi="Baskerville Old Face"/>
            <w:noProof/>
          </w:rPr>
          <w:t>Table 22: Non-Dutiable Imports CIF Value 2024 and 2023 (NLe)</w:t>
        </w:r>
        <w:r w:rsidRPr="00B05E76">
          <w:rPr>
            <w:noProof/>
            <w:webHidden/>
          </w:rPr>
          <w:tab/>
        </w:r>
        <w:r w:rsidRPr="00B05E76">
          <w:rPr>
            <w:noProof/>
            <w:webHidden/>
          </w:rPr>
          <w:fldChar w:fldCharType="begin"/>
        </w:r>
        <w:r w:rsidRPr="00B05E76">
          <w:rPr>
            <w:noProof/>
            <w:webHidden/>
          </w:rPr>
          <w:instrText xml:space="preserve"> PAGEREF _Toc198044040 \h </w:instrText>
        </w:r>
        <w:r w:rsidRPr="00B05E76">
          <w:rPr>
            <w:noProof/>
            <w:webHidden/>
          </w:rPr>
        </w:r>
        <w:r w:rsidRPr="00B05E76">
          <w:rPr>
            <w:noProof/>
            <w:webHidden/>
          </w:rPr>
          <w:fldChar w:fldCharType="separate"/>
        </w:r>
        <w:r w:rsidRPr="00B05E76">
          <w:rPr>
            <w:noProof/>
            <w:webHidden/>
          </w:rPr>
          <w:t>53</w:t>
        </w:r>
        <w:r w:rsidRPr="00B05E76">
          <w:rPr>
            <w:noProof/>
            <w:webHidden/>
          </w:rPr>
          <w:fldChar w:fldCharType="end"/>
        </w:r>
      </w:hyperlink>
    </w:p>
    <w:p w14:paraId="6D11B384" w14:textId="61BCB7A6" w:rsidR="00B05E76" w:rsidRPr="00B05E76" w:rsidRDefault="00B05E76">
      <w:pPr>
        <w:pStyle w:val="TableofFigures"/>
        <w:tabs>
          <w:tab w:val="right" w:leader="dot" w:pos="9350"/>
        </w:tabs>
        <w:rPr>
          <w:rFonts w:eastAsiaTheme="minorEastAsia"/>
          <w:noProof/>
          <w:sz w:val="24"/>
          <w:szCs w:val="24"/>
        </w:rPr>
      </w:pPr>
      <w:hyperlink w:anchor="_Toc198044041" w:history="1">
        <w:r w:rsidRPr="00B05E76">
          <w:rPr>
            <w:rStyle w:val="Hyperlink"/>
            <w:rFonts w:ascii="Baskerville Old Face" w:hAnsi="Baskerville Old Face"/>
            <w:noProof/>
          </w:rPr>
          <w:t>Table 23: Major Imports Origin* 2024 and 2023 (NLe)</w:t>
        </w:r>
        <w:r w:rsidRPr="00B05E76">
          <w:rPr>
            <w:noProof/>
            <w:webHidden/>
          </w:rPr>
          <w:tab/>
        </w:r>
        <w:r w:rsidRPr="00B05E76">
          <w:rPr>
            <w:noProof/>
            <w:webHidden/>
          </w:rPr>
          <w:fldChar w:fldCharType="begin"/>
        </w:r>
        <w:r w:rsidRPr="00B05E76">
          <w:rPr>
            <w:noProof/>
            <w:webHidden/>
          </w:rPr>
          <w:instrText xml:space="preserve"> PAGEREF _Toc198044041 \h </w:instrText>
        </w:r>
        <w:r w:rsidRPr="00B05E76">
          <w:rPr>
            <w:noProof/>
            <w:webHidden/>
          </w:rPr>
        </w:r>
        <w:r w:rsidRPr="00B05E76">
          <w:rPr>
            <w:noProof/>
            <w:webHidden/>
          </w:rPr>
          <w:fldChar w:fldCharType="separate"/>
        </w:r>
        <w:r w:rsidRPr="00B05E76">
          <w:rPr>
            <w:noProof/>
            <w:webHidden/>
          </w:rPr>
          <w:t>54</w:t>
        </w:r>
        <w:r w:rsidRPr="00B05E76">
          <w:rPr>
            <w:noProof/>
            <w:webHidden/>
          </w:rPr>
          <w:fldChar w:fldCharType="end"/>
        </w:r>
      </w:hyperlink>
    </w:p>
    <w:p w14:paraId="5B20B754" w14:textId="3DC757DC" w:rsidR="00B05E76" w:rsidRPr="00B05E76" w:rsidRDefault="00B05E76">
      <w:pPr>
        <w:pStyle w:val="TableofFigures"/>
        <w:tabs>
          <w:tab w:val="right" w:leader="dot" w:pos="9350"/>
        </w:tabs>
        <w:rPr>
          <w:rFonts w:eastAsiaTheme="minorEastAsia"/>
          <w:noProof/>
          <w:sz w:val="24"/>
          <w:szCs w:val="24"/>
        </w:rPr>
      </w:pPr>
      <w:hyperlink w:anchor="_Toc198044042" w:history="1">
        <w:r w:rsidRPr="00B05E76">
          <w:rPr>
            <w:rStyle w:val="Hyperlink"/>
            <w:rFonts w:ascii="Baskerville Old Face" w:hAnsi="Baskerville Old Face"/>
            <w:noProof/>
          </w:rPr>
          <w:t>Table 24: Containers Examined and Released 2024 and 2023 by the Container Unit</w:t>
        </w:r>
        <w:r w:rsidRPr="00B05E76">
          <w:rPr>
            <w:noProof/>
            <w:webHidden/>
          </w:rPr>
          <w:tab/>
        </w:r>
        <w:r w:rsidRPr="00B05E76">
          <w:rPr>
            <w:noProof/>
            <w:webHidden/>
          </w:rPr>
          <w:fldChar w:fldCharType="begin"/>
        </w:r>
        <w:r w:rsidRPr="00B05E76">
          <w:rPr>
            <w:noProof/>
            <w:webHidden/>
          </w:rPr>
          <w:instrText xml:space="preserve"> PAGEREF _Toc198044042 \h </w:instrText>
        </w:r>
        <w:r w:rsidRPr="00B05E76">
          <w:rPr>
            <w:noProof/>
            <w:webHidden/>
          </w:rPr>
        </w:r>
        <w:r w:rsidRPr="00B05E76">
          <w:rPr>
            <w:noProof/>
            <w:webHidden/>
          </w:rPr>
          <w:fldChar w:fldCharType="separate"/>
        </w:r>
        <w:r w:rsidRPr="00B05E76">
          <w:rPr>
            <w:noProof/>
            <w:webHidden/>
          </w:rPr>
          <w:t>54</w:t>
        </w:r>
        <w:r w:rsidRPr="00B05E76">
          <w:rPr>
            <w:noProof/>
            <w:webHidden/>
          </w:rPr>
          <w:fldChar w:fldCharType="end"/>
        </w:r>
      </w:hyperlink>
    </w:p>
    <w:p w14:paraId="1125EC68" w14:textId="571A3387" w:rsidR="00B05E76" w:rsidRPr="00B05E76" w:rsidRDefault="00B05E76">
      <w:pPr>
        <w:pStyle w:val="TableofFigures"/>
        <w:tabs>
          <w:tab w:val="right" w:leader="dot" w:pos="9350"/>
        </w:tabs>
        <w:rPr>
          <w:rFonts w:eastAsiaTheme="minorEastAsia"/>
          <w:noProof/>
          <w:sz w:val="24"/>
          <w:szCs w:val="24"/>
        </w:rPr>
      </w:pPr>
      <w:hyperlink w:anchor="_Toc198044043" w:history="1">
        <w:r w:rsidRPr="00B05E76">
          <w:rPr>
            <w:rStyle w:val="Hyperlink"/>
            <w:rFonts w:ascii="Baskerville Old Face" w:hAnsi="Baskerville Old Face"/>
            <w:noProof/>
          </w:rPr>
          <w:t>Table 25: Number of Containers Examined and Released in 2024 and 2023 by the Baggage Unit</w:t>
        </w:r>
        <w:r w:rsidRPr="00B05E76">
          <w:rPr>
            <w:noProof/>
            <w:webHidden/>
          </w:rPr>
          <w:tab/>
        </w:r>
        <w:r w:rsidRPr="00B05E76">
          <w:rPr>
            <w:noProof/>
            <w:webHidden/>
          </w:rPr>
          <w:fldChar w:fldCharType="begin"/>
        </w:r>
        <w:r w:rsidRPr="00B05E76">
          <w:rPr>
            <w:noProof/>
            <w:webHidden/>
          </w:rPr>
          <w:instrText xml:space="preserve"> PAGEREF _Toc198044043 \h </w:instrText>
        </w:r>
        <w:r w:rsidRPr="00B05E76">
          <w:rPr>
            <w:noProof/>
            <w:webHidden/>
          </w:rPr>
        </w:r>
        <w:r w:rsidRPr="00B05E76">
          <w:rPr>
            <w:noProof/>
            <w:webHidden/>
          </w:rPr>
          <w:fldChar w:fldCharType="separate"/>
        </w:r>
        <w:r w:rsidRPr="00B05E76">
          <w:rPr>
            <w:noProof/>
            <w:webHidden/>
          </w:rPr>
          <w:t>55</w:t>
        </w:r>
        <w:r w:rsidRPr="00B05E76">
          <w:rPr>
            <w:noProof/>
            <w:webHidden/>
          </w:rPr>
          <w:fldChar w:fldCharType="end"/>
        </w:r>
      </w:hyperlink>
    </w:p>
    <w:p w14:paraId="76EB11EB" w14:textId="16494319" w:rsidR="00B05E76" w:rsidRPr="00B05E76" w:rsidRDefault="00B05E76">
      <w:pPr>
        <w:pStyle w:val="TableofFigures"/>
        <w:tabs>
          <w:tab w:val="right" w:leader="dot" w:pos="9350"/>
        </w:tabs>
        <w:rPr>
          <w:rFonts w:eastAsiaTheme="minorEastAsia"/>
          <w:noProof/>
          <w:sz w:val="24"/>
          <w:szCs w:val="24"/>
        </w:rPr>
      </w:pPr>
      <w:hyperlink w:anchor="_Toc198044044" w:history="1">
        <w:r w:rsidRPr="00B05E76">
          <w:rPr>
            <w:rStyle w:val="Hyperlink"/>
            <w:rFonts w:ascii="Baskerville Old Face" w:hAnsi="Baskerville Old Face"/>
            <w:noProof/>
          </w:rPr>
          <w:t>Table 26: Number of Declarations and Revenue Collection by the Vehicle Unit in 2024 and 2023 (NLe)</w:t>
        </w:r>
        <w:r w:rsidRPr="00B05E76">
          <w:rPr>
            <w:noProof/>
            <w:webHidden/>
          </w:rPr>
          <w:tab/>
        </w:r>
        <w:r w:rsidRPr="00B05E76">
          <w:rPr>
            <w:noProof/>
            <w:webHidden/>
          </w:rPr>
          <w:fldChar w:fldCharType="begin"/>
        </w:r>
        <w:r w:rsidRPr="00B05E76">
          <w:rPr>
            <w:noProof/>
            <w:webHidden/>
          </w:rPr>
          <w:instrText xml:space="preserve"> PAGEREF _Toc198044044 \h </w:instrText>
        </w:r>
        <w:r w:rsidRPr="00B05E76">
          <w:rPr>
            <w:noProof/>
            <w:webHidden/>
          </w:rPr>
        </w:r>
        <w:r w:rsidRPr="00B05E76">
          <w:rPr>
            <w:noProof/>
            <w:webHidden/>
          </w:rPr>
          <w:fldChar w:fldCharType="separate"/>
        </w:r>
        <w:r w:rsidRPr="00B05E76">
          <w:rPr>
            <w:noProof/>
            <w:webHidden/>
          </w:rPr>
          <w:t>56</w:t>
        </w:r>
        <w:r w:rsidRPr="00B05E76">
          <w:rPr>
            <w:noProof/>
            <w:webHidden/>
          </w:rPr>
          <w:fldChar w:fldCharType="end"/>
        </w:r>
      </w:hyperlink>
    </w:p>
    <w:p w14:paraId="331B50CB" w14:textId="28F50AF3" w:rsidR="00B05E76" w:rsidRPr="00B05E76" w:rsidRDefault="00B05E76">
      <w:pPr>
        <w:pStyle w:val="TableofFigures"/>
        <w:tabs>
          <w:tab w:val="right" w:leader="dot" w:pos="9350"/>
        </w:tabs>
        <w:rPr>
          <w:rFonts w:eastAsiaTheme="minorEastAsia"/>
          <w:noProof/>
          <w:sz w:val="24"/>
          <w:szCs w:val="24"/>
        </w:rPr>
      </w:pPr>
      <w:hyperlink w:anchor="_Toc198044045" w:history="1">
        <w:r w:rsidRPr="00B05E76">
          <w:rPr>
            <w:rStyle w:val="Hyperlink"/>
            <w:rFonts w:ascii="Baskerville Old Face" w:hAnsi="Baskerville Old Face"/>
            <w:noProof/>
          </w:rPr>
          <w:t>Table 27: Domestic Revenue Target for 2025 (NLe Thousand)</w:t>
        </w:r>
        <w:r w:rsidRPr="00B05E76">
          <w:rPr>
            <w:noProof/>
            <w:webHidden/>
          </w:rPr>
          <w:tab/>
        </w:r>
        <w:r w:rsidRPr="00B05E76">
          <w:rPr>
            <w:noProof/>
            <w:webHidden/>
          </w:rPr>
          <w:fldChar w:fldCharType="begin"/>
        </w:r>
        <w:r w:rsidRPr="00B05E76">
          <w:rPr>
            <w:noProof/>
            <w:webHidden/>
          </w:rPr>
          <w:instrText xml:space="preserve"> PAGEREF _Toc198044045 \h </w:instrText>
        </w:r>
        <w:r w:rsidRPr="00B05E76">
          <w:rPr>
            <w:noProof/>
            <w:webHidden/>
          </w:rPr>
        </w:r>
        <w:r w:rsidRPr="00B05E76">
          <w:rPr>
            <w:noProof/>
            <w:webHidden/>
          </w:rPr>
          <w:fldChar w:fldCharType="separate"/>
        </w:r>
        <w:r w:rsidRPr="00B05E76">
          <w:rPr>
            <w:noProof/>
            <w:webHidden/>
          </w:rPr>
          <w:t>58</w:t>
        </w:r>
        <w:r w:rsidRPr="00B05E76">
          <w:rPr>
            <w:noProof/>
            <w:webHidden/>
          </w:rPr>
          <w:fldChar w:fldCharType="end"/>
        </w:r>
      </w:hyperlink>
    </w:p>
    <w:p w14:paraId="658E8A73" w14:textId="39F74F4B" w:rsidR="00396047" w:rsidRPr="00414ACD" w:rsidRDefault="00766021" w:rsidP="00625BF5">
      <w:pPr>
        <w:jc w:val="center"/>
        <w:rPr>
          <w:rFonts w:ascii="Baskerville Old Face" w:hAnsi="Baskerville Old Face" w:cs="Times New Roman"/>
          <w:b/>
          <w:bCs/>
          <w:kern w:val="0"/>
          <w:sz w:val="28"/>
          <w:szCs w:val="28"/>
          <w:lang w:val="en-GB"/>
          <w14:ligatures w14:val="none"/>
        </w:rPr>
      </w:pPr>
      <w:r w:rsidRPr="00414ACD">
        <w:rPr>
          <w:rFonts w:ascii="Baskerville Old Face" w:hAnsi="Baskerville Old Face" w:cs="Times New Roman"/>
          <w:kern w:val="0"/>
          <w:sz w:val="28"/>
          <w:szCs w:val="28"/>
          <w:lang w:val="en-GB"/>
          <w14:ligatures w14:val="none"/>
        </w:rPr>
        <w:fldChar w:fldCharType="end"/>
      </w:r>
    </w:p>
    <w:p w14:paraId="5F40C8ED"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000CCEBE"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4450CABA"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03790E90"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17294FF7"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7E38579A"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6D2CFB85"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07511F97" w14:textId="77777777" w:rsidR="00396047" w:rsidRPr="00414ACD" w:rsidRDefault="00396047" w:rsidP="00625BF5">
      <w:pPr>
        <w:jc w:val="center"/>
        <w:rPr>
          <w:rFonts w:ascii="Baskerville Old Face" w:hAnsi="Baskerville Old Face" w:cs="Times New Roman"/>
          <w:b/>
          <w:bCs/>
          <w:kern w:val="0"/>
          <w:sz w:val="28"/>
          <w:szCs w:val="28"/>
          <w:lang w:val="en-GB"/>
          <w14:ligatures w14:val="none"/>
        </w:rPr>
      </w:pPr>
    </w:p>
    <w:p w14:paraId="768E857B" w14:textId="21BCD8FC" w:rsidR="00396047" w:rsidRPr="00414ACD" w:rsidRDefault="00766021" w:rsidP="00414ACD">
      <w:pPr>
        <w:pStyle w:val="Heading1"/>
        <w:jc w:val="center"/>
        <w:rPr>
          <w:rFonts w:ascii="Baskerville Old Face" w:hAnsi="Baskerville Old Face"/>
          <w:lang w:val="en-GB"/>
        </w:rPr>
      </w:pPr>
      <w:bookmarkStart w:id="1" w:name="_Toc198043900"/>
      <w:r w:rsidRPr="00414ACD">
        <w:rPr>
          <w:rFonts w:ascii="Baskerville Old Face" w:hAnsi="Baskerville Old Face"/>
          <w:lang w:val="en-GB"/>
        </w:rPr>
        <w:t>List of Figures</w:t>
      </w:r>
      <w:bookmarkEnd w:id="1"/>
    </w:p>
    <w:p w14:paraId="50345411" w14:textId="683DF97E" w:rsidR="00B05E76" w:rsidRPr="00B05E76" w:rsidRDefault="0068040E">
      <w:pPr>
        <w:pStyle w:val="TableofFigures"/>
        <w:tabs>
          <w:tab w:val="right" w:leader="dot" w:pos="9350"/>
        </w:tabs>
        <w:rPr>
          <w:rFonts w:eastAsiaTheme="minorEastAsia"/>
          <w:noProof/>
          <w:sz w:val="24"/>
          <w:szCs w:val="24"/>
        </w:rPr>
      </w:pPr>
      <w:r w:rsidRPr="00414ACD">
        <w:rPr>
          <w:rFonts w:ascii="Baskerville Old Face" w:hAnsi="Baskerville Old Face" w:cs="Times New Roman"/>
          <w:kern w:val="0"/>
          <w:sz w:val="28"/>
          <w:szCs w:val="28"/>
          <w:lang w:val="en-GB"/>
          <w14:ligatures w14:val="none"/>
        </w:rPr>
        <w:fldChar w:fldCharType="begin"/>
      </w:r>
      <w:r w:rsidRPr="00414ACD">
        <w:rPr>
          <w:rFonts w:ascii="Baskerville Old Face" w:hAnsi="Baskerville Old Face" w:cs="Times New Roman"/>
          <w:kern w:val="0"/>
          <w:sz w:val="28"/>
          <w:szCs w:val="28"/>
          <w:lang w:val="en-GB"/>
          <w14:ligatures w14:val="none"/>
        </w:rPr>
        <w:instrText xml:space="preserve"> TOC \h \z \c "Figure" </w:instrText>
      </w:r>
      <w:r w:rsidRPr="00414ACD">
        <w:rPr>
          <w:rFonts w:ascii="Baskerville Old Face" w:hAnsi="Baskerville Old Face" w:cs="Times New Roman"/>
          <w:kern w:val="0"/>
          <w:sz w:val="28"/>
          <w:szCs w:val="28"/>
          <w:lang w:val="en-GB"/>
          <w14:ligatures w14:val="none"/>
        </w:rPr>
        <w:fldChar w:fldCharType="separate"/>
      </w:r>
      <w:hyperlink w:anchor="_Toc198044047" w:history="1">
        <w:r w:rsidR="00B05E76" w:rsidRPr="00B05E76">
          <w:rPr>
            <w:rStyle w:val="Hyperlink"/>
            <w:rFonts w:ascii="Baskerville Old Face" w:hAnsi="Baskerville Old Face"/>
            <w:noProof/>
          </w:rPr>
          <w:t>Figure 1: The Vision, Mission, and Mandate of the NRA</w:t>
        </w:r>
        <w:r w:rsidR="00B05E76" w:rsidRPr="00B05E76">
          <w:rPr>
            <w:noProof/>
            <w:webHidden/>
          </w:rPr>
          <w:tab/>
        </w:r>
        <w:r w:rsidR="00B05E76" w:rsidRPr="00B05E76">
          <w:rPr>
            <w:noProof/>
            <w:webHidden/>
          </w:rPr>
          <w:fldChar w:fldCharType="begin"/>
        </w:r>
        <w:r w:rsidR="00B05E76" w:rsidRPr="00B05E76">
          <w:rPr>
            <w:noProof/>
            <w:webHidden/>
          </w:rPr>
          <w:instrText xml:space="preserve"> PAGEREF _Toc198044047 \h </w:instrText>
        </w:r>
        <w:r w:rsidR="00B05E76" w:rsidRPr="00B05E76">
          <w:rPr>
            <w:noProof/>
            <w:webHidden/>
          </w:rPr>
        </w:r>
        <w:r w:rsidR="00B05E76" w:rsidRPr="00B05E76">
          <w:rPr>
            <w:noProof/>
            <w:webHidden/>
          </w:rPr>
          <w:fldChar w:fldCharType="separate"/>
        </w:r>
        <w:r w:rsidR="00B05E76" w:rsidRPr="00B05E76">
          <w:rPr>
            <w:noProof/>
            <w:webHidden/>
          </w:rPr>
          <w:t>13</w:t>
        </w:r>
        <w:r w:rsidR="00B05E76" w:rsidRPr="00B05E76">
          <w:rPr>
            <w:noProof/>
            <w:webHidden/>
          </w:rPr>
          <w:fldChar w:fldCharType="end"/>
        </w:r>
      </w:hyperlink>
    </w:p>
    <w:p w14:paraId="0289F57C" w14:textId="093C476E" w:rsidR="00B05E76" w:rsidRPr="00B05E76" w:rsidRDefault="00B05E76">
      <w:pPr>
        <w:pStyle w:val="TableofFigures"/>
        <w:tabs>
          <w:tab w:val="right" w:leader="dot" w:pos="9350"/>
        </w:tabs>
        <w:rPr>
          <w:rFonts w:eastAsiaTheme="minorEastAsia"/>
          <w:noProof/>
          <w:sz w:val="24"/>
          <w:szCs w:val="24"/>
        </w:rPr>
      </w:pPr>
      <w:hyperlink w:anchor="_Toc198044048" w:history="1">
        <w:r w:rsidRPr="00B05E76">
          <w:rPr>
            <w:rStyle w:val="Hyperlink"/>
            <w:rFonts w:ascii="Baskerville Old Face" w:hAnsi="Baskerville Old Face"/>
            <w:noProof/>
          </w:rPr>
          <w:t>Figure 2: NRA’s Core Values</w:t>
        </w:r>
        <w:r w:rsidRPr="00B05E76">
          <w:rPr>
            <w:noProof/>
            <w:webHidden/>
          </w:rPr>
          <w:tab/>
        </w:r>
        <w:r w:rsidRPr="00B05E76">
          <w:rPr>
            <w:noProof/>
            <w:webHidden/>
          </w:rPr>
          <w:fldChar w:fldCharType="begin"/>
        </w:r>
        <w:r w:rsidRPr="00B05E76">
          <w:rPr>
            <w:noProof/>
            <w:webHidden/>
          </w:rPr>
          <w:instrText xml:space="preserve"> PAGEREF _Toc198044048 \h </w:instrText>
        </w:r>
        <w:r w:rsidRPr="00B05E76">
          <w:rPr>
            <w:noProof/>
            <w:webHidden/>
          </w:rPr>
        </w:r>
        <w:r w:rsidRPr="00B05E76">
          <w:rPr>
            <w:noProof/>
            <w:webHidden/>
          </w:rPr>
          <w:fldChar w:fldCharType="separate"/>
        </w:r>
        <w:r w:rsidRPr="00B05E76">
          <w:rPr>
            <w:noProof/>
            <w:webHidden/>
          </w:rPr>
          <w:t>13</w:t>
        </w:r>
        <w:r w:rsidRPr="00B05E76">
          <w:rPr>
            <w:noProof/>
            <w:webHidden/>
          </w:rPr>
          <w:fldChar w:fldCharType="end"/>
        </w:r>
      </w:hyperlink>
    </w:p>
    <w:p w14:paraId="019B3958" w14:textId="5388E119" w:rsidR="00B05E76" w:rsidRPr="00B05E76" w:rsidRDefault="00B05E76">
      <w:pPr>
        <w:pStyle w:val="TableofFigures"/>
        <w:tabs>
          <w:tab w:val="right" w:leader="dot" w:pos="9350"/>
        </w:tabs>
        <w:rPr>
          <w:rFonts w:eastAsiaTheme="minorEastAsia"/>
          <w:noProof/>
          <w:sz w:val="24"/>
          <w:szCs w:val="24"/>
        </w:rPr>
      </w:pPr>
      <w:hyperlink w:anchor="_Toc198044049" w:history="1">
        <w:r w:rsidRPr="00B05E76">
          <w:rPr>
            <w:rStyle w:val="Hyperlink"/>
            <w:rFonts w:ascii="Baskerville Old Face" w:hAnsi="Baskerville Old Face"/>
            <w:noProof/>
          </w:rPr>
          <w:t>Figure 3: NRA Organogram</w:t>
        </w:r>
        <w:r w:rsidRPr="00B05E76">
          <w:rPr>
            <w:noProof/>
            <w:webHidden/>
          </w:rPr>
          <w:tab/>
        </w:r>
        <w:r w:rsidRPr="00B05E76">
          <w:rPr>
            <w:noProof/>
            <w:webHidden/>
          </w:rPr>
          <w:fldChar w:fldCharType="begin"/>
        </w:r>
        <w:r w:rsidRPr="00B05E76">
          <w:rPr>
            <w:noProof/>
            <w:webHidden/>
          </w:rPr>
          <w:instrText xml:space="preserve"> PAGEREF _Toc198044049 \h </w:instrText>
        </w:r>
        <w:r w:rsidRPr="00B05E76">
          <w:rPr>
            <w:noProof/>
            <w:webHidden/>
          </w:rPr>
        </w:r>
        <w:r w:rsidRPr="00B05E76">
          <w:rPr>
            <w:noProof/>
            <w:webHidden/>
          </w:rPr>
          <w:fldChar w:fldCharType="separate"/>
        </w:r>
        <w:r w:rsidRPr="00B05E76">
          <w:rPr>
            <w:noProof/>
            <w:webHidden/>
          </w:rPr>
          <w:t>15</w:t>
        </w:r>
        <w:r w:rsidRPr="00B05E76">
          <w:rPr>
            <w:noProof/>
            <w:webHidden/>
          </w:rPr>
          <w:fldChar w:fldCharType="end"/>
        </w:r>
      </w:hyperlink>
    </w:p>
    <w:p w14:paraId="3AF3874A" w14:textId="28A0658A" w:rsidR="00B05E76" w:rsidRPr="00B05E76" w:rsidRDefault="00B05E76">
      <w:pPr>
        <w:pStyle w:val="TableofFigures"/>
        <w:tabs>
          <w:tab w:val="right" w:leader="dot" w:pos="9350"/>
        </w:tabs>
        <w:rPr>
          <w:rFonts w:eastAsiaTheme="minorEastAsia"/>
          <w:noProof/>
          <w:sz w:val="24"/>
          <w:szCs w:val="24"/>
        </w:rPr>
      </w:pPr>
      <w:hyperlink w:anchor="_Toc198044050" w:history="1">
        <w:r w:rsidRPr="00B05E76">
          <w:rPr>
            <w:rStyle w:val="Hyperlink"/>
            <w:rFonts w:ascii="Baskerville Old Face" w:hAnsi="Baskerville Old Face"/>
            <w:noProof/>
          </w:rPr>
          <w:t>Figure 4: Quarterly Trend of 2024 Domestic Revenue (NLe Million)</w:t>
        </w:r>
        <w:r w:rsidRPr="00B05E76">
          <w:rPr>
            <w:noProof/>
            <w:webHidden/>
          </w:rPr>
          <w:tab/>
        </w:r>
        <w:r w:rsidRPr="00B05E76">
          <w:rPr>
            <w:noProof/>
            <w:webHidden/>
          </w:rPr>
          <w:fldChar w:fldCharType="begin"/>
        </w:r>
        <w:r w:rsidRPr="00B05E76">
          <w:rPr>
            <w:noProof/>
            <w:webHidden/>
          </w:rPr>
          <w:instrText xml:space="preserve"> PAGEREF _Toc198044050 \h </w:instrText>
        </w:r>
        <w:r w:rsidRPr="00B05E76">
          <w:rPr>
            <w:noProof/>
            <w:webHidden/>
          </w:rPr>
        </w:r>
        <w:r w:rsidRPr="00B05E76">
          <w:rPr>
            <w:noProof/>
            <w:webHidden/>
          </w:rPr>
          <w:fldChar w:fldCharType="separate"/>
        </w:r>
        <w:r w:rsidRPr="00B05E76">
          <w:rPr>
            <w:noProof/>
            <w:webHidden/>
          </w:rPr>
          <w:t>24</w:t>
        </w:r>
        <w:r w:rsidRPr="00B05E76">
          <w:rPr>
            <w:noProof/>
            <w:webHidden/>
          </w:rPr>
          <w:fldChar w:fldCharType="end"/>
        </w:r>
      </w:hyperlink>
    </w:p>
    <w:p w14:paraId="2B99F3B3" w14:textId="2DBC301D" w:rsidR="00B05E76" w:rsidRPr="00B05E76" w:rsidRDefault="00B05E76">
      <w:pPr>
        <w:pStyle w:val="TableofFigures"/>
        <w:tabs>
          <w:tab w:val="right" w:leader="dot" w:pos="9350"/>
        </w:tabs>
        <w:rPr>
          <w:rFonts w:eastAsiaTheme="minorEastAsia"/>
          <w:noProof/>
          <w:sz w:val="24"/>
          <w:szCs w:val="24"/>
        </w:rPr>
      </w:pPr>
      <w:hyperlink w:anchor="_Toc198044051" w:history="1">
        <w:r w:rsidRPr="00B05E76">
          <w:rPr>
            <w:rStyle w:val="Hyperlink"/>
            <w:rFonts w:ascii="Baskerville Old Face" w:hAnsi="Baskerville Old Face"/>
            <w:noProof/>
          </w:rPr>
          <w:t>Figure 5: Revenue Performance in the Past Five Years</w:t>
        </w:r>
        <w:r w:rsidRPr="00B05E76">
          <w:rPr>
            <w:noProof/>
            <w:webHidden/>
          </w:rPr>
          <w:tab/>
        </w:r>
        <w:r w:rsidRPr="00B05E76">
          <w:rPr>
            <w:noProof/>
            <w:webHidden/>
          </w:rPr>
          <w:fldChar w:fldCharType="begin"/>
        </w:r>
        <w:r w:rsidRPr="00B05E76">
          <w:rPr>
            <w:noProof/>
            <w:webHidden/>
          </w:rPr>
          <w:instrText xml:space="preserve"> PAGEREF _Toc198044051 \h </w:instrText>
        </w:r>
        <w:r w:rsidRPr="00B05E76">
          <w:rPr>
            <w:noProof/>
            <w:webHidden/>
          </w:rPr>
        </w:r>
        <w:r w:rsidRPr="00B05E76">
          <w:rPr>
            <w:noProof/>
            <w:webHidden/>
          </w:rPr>
          <w:fldChar w:fldCharType="separate"/>
        </w:r>
        <w:r w:rsidRPr="00B05E76">
          <w:rPr>
            <w:noProof/>
            <w:webHidden/>
          </w:rPr>
          <w:t>28</w:t>
        </w:r>
        <w:r w:rsidRPr="00B05E76">
          <w:rPr>
            <w:noProof/>
            <w:webHidden/>
          </w:rPr>
          <w:fldChar w:fldCharType="end"/>
        </w:r>
      </w:hyperlink>
    </w:p>
    <w:p w14:paraId="4C26EE3F" w14:textId="48E04AEF" w:rsidR="00B05E76" w:rsidRPr="00B05E76" w:rsidRDefault="00B05E76">
      <w:pPr>
        <w:pStyle w:val="TableofFigures"/>
        <w:tabs>
          <w:tab w:val="right" w:leader="dot" w:pos="9350"/>
        </w:tabs>
        <w:rPr>
          <w:rFonts w:eastAsiaTheme="minorEastAsia"/>
          <w:noProof/>
          <w:sz w:val="24"/>
          <w:szCs w:val="24"/>
        </w:rPr>
      </w:pPr>
      <w:hyperlink w:anchor="_Toc198044052" w:history="1">
        <w:r w:rsidRPr="00B05E76">
          <w:rPr>
            <w:rStyle w:val="Hyperlink"/>
            <w:rFonts w:ascii="Baskerville Old Face" w:hAnsi="Baskerville Old Face"/>
            <w:noProof/>
          </w:rPr>
          <w:t>Figure 6: Staff Separations by Category, 2024 and 2023</w:t>
        </w:r>
        <w:r w:rsidRPr="00B05E76">
          <w:rPr>
            <w:noProof/>
            <w:webHidden/>
          </w:rPr>
          <w:tab/>
        </w:r>
        <w:r w:rsidRPr="00B05E76">
          <w:rPr>
            <w:noProof/>
            <w:webHidden/>
          </w:rPr>
          <w:fldChar w:fldCharType="begin"/>
        </w:r>
        <w:r w:rsidRPr="00B05E76">
          <w:rPr>
            <w:noProof/>
            <w:webHidden/>
          </w:rPr>
          <w:instrText xml:space="preserve"> PAGEREF _Toc198044052 \h </w:instrText>
        </w:r>
        <w:r w:rsidRPr="00B05E76">
          <w:rPr>
            <w:noProof/>
            <w:webHidden/>
          </w:rPr>
        </w:r>
        <w:r w:rsidRPr="00B05E76">
          <w:rPr>
            <w:noProof/>
            <w:webHidden/>
          </w:rPr>
          <w:fldChar w:fldCharType="separate"/>
        </w:r>
        <w:r w:rsidRPr="00B05E76">
          <w:rPr>
            <w:noProof/>
            <w:webHidden/>
          </w:rPr>
          <w:t>33</w:t>
        </w:r>
        <w:r w:rsidRPr="00B05E76">
          <w:rPr>
            <w:noProof/>
            <w:webHidden/>
          </w:rPr>
          <w:fldChar w:fldCharType="end"/>
        </w:r>
      </w:hyperlink>
    </w:p>
    <w:p w14:paraId="0C8EC706" w14:textId="36552ED5" w:rsidR="00B05E76" w:rsidRPr="00B05E76" w:rsidRDefault="00B05E76">
      <w:pPr>
        <w:pStyle w:val="TableofFigures"/>
        <w:tabs>
          <w:tab w:val="right" w:leader="dot" w:pos="9350"/>
        </w:tabs>
        <w:rPr>
          <w:rFonts w:eastAsiaTheme="minorEastAsia"/>
          <w:noProof/>
          <w:sz w:val="24"/>
          <w:szCs w:val="24"/>
        </w:rPr>
      </w:pPr>
      <w:hyperlink w:anchor="_Toc198044053" w:history="1">
        <w:r w:rsidRPr="00B05E76">
          <w:rPr>
            <w:rStyle w:val="Hyperlink"/>
            <w:rFonts w:ascii="Baskerville Old Face" w:hAnsi="Baskerville Old Face"/>
            <w:noProof/>
          </w:rPr>
          <w:t>Figure 7: TIN Issuance by Tax Type in 2024 and 2023</w:t>
        </w:r>
        <w:r w:rsidRPr="00B05E76">
          <w:rPr>
            <w:noProof/>
            <w:webHidden/>
          </w:rPr>
          <w:tab/>
        </w:r>
        <w:r w:rsidRPr="00B05E76">
          <w:rPr>
            <w:noProof/>
            <w:webHidden/>
          </w:rPr>
          <w:fldChar w:fldCharType="begin"/>
        </w:r>
        <w:r w:rsidRPr="00B05E76">
          <w:rPr>
            <w:noProof/>
            <w:webHidden/>
          </w:rPr>
          <w:instrText xml:space="preserve"> PAGEREF _Toc198044053 \h </w:instrText>
        </w:r>
        <w:r w:rsidRPr="00B05E76">
          <w:rPr>
            <w:noProof/>
            <w:webHidden/>
          </w:rPr>
        </w:r>
        <w:r w:rsidRPr="00B05E76">
          <w:rPr>
            <w:noProof/>
            <w:webHidden/>
          </w:rPr>
          <w:fldChar w:fldCharType="separate"/>
        </w:r>
        <w:r w:rsidRPr="00B05E76">
          <w:rPr>
            <w:noProof/>
            <w:webHidden/>
          </w:rPr>
          <w:t>41</w:t>
        </w:r>
        <w:r w:rsidRPr="00B05E76">
          <w:rPr>
            <w:noProof/>
            <w:webHidden/>
          </w:rPr>
          <w:fldChar w:fldCharType="end"/>
        </w:r>
      </w:hyperlink>
    </w:p>
    <w:p w14:paraId="5C75E661" w14:textId="182C9734" w:rsidR="00B05E76" w:rsidRPr="00B05E76" w:rsidRDefault="00B05E76">
      <w:pPr>
        <w:pStyle w:val="TableofFigures"/>
        <w:tabs>
          <w:tab w:val="right" w:leader="dot" w:pos="9350"/>
        </w:tabs>
        <w:rPr>
          <w:rFonts w:eastAsiaTheme="minorEastAsia"/>
          <w:noProof/>
          <w:sz w:val="24"/>
          <w:szCs w:val="24"/>
        </w:rPr>
      </w:pPr>
      <w:hyperlink w:anchor="_Toc198044054" w:history="1">
        <w:r w:rsidRPr="00B05E76">
          <w:rPr>
            <w:rStyle w:val="Hyperlink"/>
            <w:rFonts w:ascii="Baskerville Old Face" w:hAnsi="Baskerville Old Face"/>
            <w:noProof/>
          </w:rPr>
          <w:t>Figure 8: Purpose for TIN Issuance in 2024</w:t>
        </w:r>
        <w:r w:rsidRPr="00B05E76">
          <w:rPr>
            <w:noProof/>
            <w:webHidden/>
          </w:rPr>
          <w:tab/>
        </w:r>
        <w:r w:rsidRPr="00B05E76">
          <w:rPr>
            <w:noProof/>
            <w:webHidden/>
          </w:rPr>
          <w:fldChar w:fldCharType="begin"/>
        </w:r>
        <w:r w:rsidRPr="00B05E76">
          <w:rPr>
            <w:noProof/>
            <w:webHidden/>
          </w:rPr>
          <w:instrText xml:space="preserve"> PAGEREF _Toc198044054 \h </w:instrText>
        </w:r>
        <w:r w:rsidRPr="00B05E76">
          <w:rPr>
            <w:noProof/>
            <w:webHidden/>
          </w:rPr>
        </w:r>
        <w:r w:rsidRPr="00B05E76">
          <w:rPr>
            <w:noProof/>
            <w:webHidden/>
          </w:rPr>
          <w:fldChar w:fldCharType="separate"/>
        </w:r>
        <w:r w:rsidRPr="00B05E76">
          <w:rPr>
            <w:noProof/>
            <w:webHidden/>
          </w:rPr>
          <w:t>41</w:t>
        </w:r>
        <w:r w:rsidRPr="00B05E76">
          <w:rPr>
            <w:noProof/>
            <w:webHidden/>
          </w:rPr>
          <w:fldChar w:fldCharType="end"/>
        </w:r>
      </w:hyperlink>
    </w:p>
    <w:p w14:paraId="3213EFBB" w14:textId="15C0C2DA" w:rsidR="00B05E76" w:rsidRPr="00B05E76" w:rsidRDefault="00B05E76">
      <w:pPr>
        <w:pStyle w:val="TableofFigures"/>
        <w:tabs>
          <w:tab w:val="right" w:leader="dot" w:pos="9350"/>
        </w:tabs>
        <w:rPr>
          <w:rFonts w:eastAsiaTheme="minorEastAsia"/>
          <w:noProof/>
          <w:sz w:val="24"/>
          <w:szCs w:val="24"/>
        </w:rPr>
      </w:pPr>
      <w:hyperlink w:anchor="_Toc198044055" w:history="1">
        <w:r w:rsidRPr="00B05E76">
          <w:rPr>
            <w:rStyle w:val="Hyperlink"/>
            <w:rFonts w:ascii="Baskerville Old Face" w:hAnsi="Baskerville Old Face"/>
            <w:noProof/>
          </w:rPr>
          <w:t>Figure 9: Annual Compliance Rate by Tax Type in 2024 and 2023</w:t>
        </w:r>
        <w:r w:rsidRPr="00B05E76">
          <w:rPr>
            <w:noProof/>
            <w:webHidden/>
          </w:rPr>
          <w:tab/>
        </w:r>
        <w:r w:rsidRPr="00B05E76">
          <w:rPr>
            <w:noProof/>
            <w:webHidden/>
          </w:rPr>
          <w:fldChar w:fldCharType="begin"/>
        </w:r>
        <w:r w:rsidRPr="00B05E76">
          <w:rPr>
            <w:noProof/>
            <w:webHidden/>
          </w:rPr>
          <w:instrText xml:space="preserve"> PAGEREF _Toc198044055 \h </w:instrText>
        </w:r>
        <w:r w:rsidRPr="00B05E76">
          <w:rPr>
            <w:noProof/>
            <w:webHidden/>
          </w:rPr>
        </w:r>
        <w:r w:rsidRPr="00B05E76">
          <w:rPr>
            <w:noProof/>
            <w:webHidden/>
          </w:rPr>
          <w:fldChar w:fldCharType="separate"/>
        </w:r>
        <w:r w:rsidRPr="00B05E76">
          <w:rPr>
            <w:noProof/>
            <w:webHidden/>
          </w:rPr>
          <w:t>44</w:t>
        </w:r>
        <w:r w:rsidRPr="00B05E76">
          <w:rPr>
            <w:noProof/>
            <w:webHidden/>
          </w:rPr>
          <w:fldChar w:fldCharType="end"/>
        </w:r>
      </w:hyperlink>
    </w:p>
    <w:p w14:paraId="41E0A044" w14:textId="47276914" w:rsidR="00B05E76" w:rsidRPr="00B05E76" w:rsidRDefault="00B05E76">
      <w:pPr>
        <w:pStyle w:val="TableofFigures"/>
        <w:tabs>
          <w:tab w:val="right" w:leader="dot" w:pos="9350"/>
        </w:tabs>
        <w:rPr>
          <w:rFonts w:eastAsiaTheme="minorEastAsia"/>
          <w:noProof/>
          <w:sz w:val="24"/>
          <w:szCs w:val="24"/>
        </w:rPr>
      </w:pPr>
      <w:hyperlink w:anchor="_Toc198044056" w:history="1">
        <w:r w:rsidRPr="00B05E76">
          <w:rPr>
            <w:rStyle w:val="Hyperlink"/>
            <w:rFonts w:ascii="Baskerville Old Face" w:hAnsi="Baskerville Old Face"/>
            <w:noProof/>
          </w:rPr>
          <w:t>Figure 10: Monthly Uplift revenue (NLe Thousand) by the Trade and Tariff Unit, 2024</w:t>
        </w:r>
        <w:r w:rsidRPr="00B05E76">
          <w:rPr>
            <w:noProof/>
            <w:webHidden/>
          </w:rPr>
          <w:tab/>
        </w:r>
        <w:r w:rsidRPr="00B05E76">
          <w:rPr>
            <w:noProof/>
            <w:webHidden/>
          </w:rPr>
          <w:fldChar w:fldCharType="begin"/>
        </w:r>
        <w:r w:rsidRPr="00B05E76">
          <w:rPr>
            <w:noProof/>
            <w:webHidden/>
          </w:rPr>
          <w:instrText xml:space="preserve"> PAGEREF _Toc198044056 \h </w:instrText>
        </w:r>
        <w:r w:rsidRPr="00B05E76">
          <w:rPr>
            <w:noProof/>
            <w:webHidden/>
          </w:rPr>
        </w:r>
        <w:r w:rsidRPr="00B05E76">
          <w:rPr>
            <w:noProof/>
            <w:webHidden/>
          </w:rPr>
          <w:fldChar w:fldCharType="separate"/>
        </w:r>
        <w:r w:rsidRPr="00B05E76">
          <w:rPr>
            <w:noProof/>
            <w:webHidden/>
          </w:rPr>
          <w:t>50</w:t>
        </w:r>
        <w:r w:rsidRPr="00B05E76">
          <w:rPr>
            <w:noProof/>
            <w:webHidden/>
          </w:rPr>
          <w:fldChar w:fldCharType="end"/>
        </w:r>
      </w:hyperlink>
    </w:p>
    <w:p w14:paraId="6171278B" w14:textId="3EA0A7CF" w:rsidR="00B05E76" w:rsidRPr="00B05E76" w:rsidRDefault="00B05E76">
      <w:pPr>
        <w:pStyle w:val="TableofFigures"/>
        <w:tabs>
          <w:tab w:val="right" w:leader="dot" w:pos="9350"/>
        </w:tabs>
        <w:rPr>
          <w:rFonts w:eastAsiaTheme="minorEastAsia"/>
          <w:noProof/>
          <w:sz w:val="24"/>
          <w:szCs w:val="24"/>
        </w:rPr>
      </w:pPr>
      <w:hyperlink w:anchor="_Toc198044057" w:history="1">
        <w:r w:rsidRPr="00B05E76">
          <w:rPr>
            <w:rStyle w:val="Hyperlink"/>
            <w:rFonts w:ascii="Baskerville Old Face" w:hAnsi="Baskerville Old Face"/>
            <w:noProof/>
          </w:rPr>
          <w:t>Figure 11: Monthly Number of Vessels 2024 and 2023</w:t>
        </w:r>
        <w:r w:rsidRPr="00B05E76">
          <w:rPr>
            <w:noProof/>
            <w:webHidden/>
          </w:rPr>
          <w:tab/>
        </w:r>
        <w:r w:rsidRPr="00B05E76">
          <w:rPr>
            <w:noProof/>
            <w:webHidden/>
          </w:rPr>
          <w:fldChar w:fldCharType="begin"/>
        </w:r>
        <w:r w:rsidRPr="00B05E76">
          <w:rPr>
            <w:noProof/>
            <w:webHidden/>
          </w:rPr>
          <w:instrText xml:space="preserve"> PAGEREF _Toc198044057 \h </w:instrText>
        </w:r>
        <w:r w:rsidRPr="00B05E76">
          <w:rPr>
            <w:noProof/>
            <w:webHidden/>
          </w:rPr>
        </w:r>
        <w:r w:rsidRPr="00B05E76">
          <w:rPr>
            <w:noProof/>
            <w:webHidden/>
          </w:rPr>
          <w:fldChar w:fldCharType="separate"/>
        </w:r>
        <w:r w:rsidRPr="00B05E76">
          <w:rPr>
            <w:noProof/>
            <w:webHidden/>
          </w:rPr>
          <w:t>56</w:t>
        </w:r>
        <w:r w:rsidRPr="00B05E76">
          <w:rPr>
            <w:noProof/>
            <w:webHidden/>
          </w:rPr>
          <w:fldChar w:fldCharType="end"/>
        </w:r>
      </w:hyperlink>
    </w:p>
    <w:p w14:paraId="4D06ED57" w14:textId="6CFE7F56" w:rsidR="00B05E76" w:rsidRPr="00B05E76" w:rsidRDefault="00B05E76">
      <w:pPr>
        <w:pStyle w:val="TableofFigures"/>
        <w:tabs>
          <w:tab w:val="right" w:leader="dot" w:pos="9350"/>
        </w:tabs>
        <w:rPr>
          <w:rFonts w:eastAsiaTheme="minorEastAsia"/>
          <w:noProof/>
          <w:sz w:val="24"/>
          <w:szCs w:val="24"/>
        </w:rPr>
      </w:pPr>
      <w:hyperlink w:anchor="_Toc198044058" w:history="1">
        <w:r w:rsidRPr="00B05E76">
          <w:rPr>
            <w:rStyle w:val="Hyperlink"/>
            <w:rFonts w:ascii="Baskerville Old Face" w:hAnsi="Baskerville Old Face"/>
            <w:noProof/>
          </w:rPr>
          <w:t>Figure 12: Collection from Three Key Customs Outstations, 2024</w:t>
        </w:r>
        <w:r w:rsidRPr="00B05E76">
          <w:rPr>
            <w:noProof/>
            <w:webHidden/>
          </w:rPr>
          <w:tab/>
        </w:r>
        <w:r w:rsidRPr="00B05E76">
          <w:rPr>
            <w:noProof/>
            <w:webHidden/>
          </w:rPr>
          <w:fldChar w:fldCharType="begin"/>
        </w:r>
        <w:r w:rsidRPr="00B05E76">
          <w:rPr>
            <w:noProof/>
            <w:webHidden/>
          </w:rPr>
          <w:instrText xml:space="preserve"> PAGEREF _Toc198044058 \h </w:instrText>
        </w:r>
        <w:r w:rsidRPr="00B05E76">
          <w:rPr>
            <w:noProof/>
            <w:webHidden/>
          </w:rPr>
        </w:r>
        <w:r w:rsidRPr="00B05E76">
          <w:rPr>
            <w:noProof/>
            <w:webHidden/>
          </w:rPr>
          <w:fldChar w:fldCharType="separate"/>
        </w:r>
        <w:r w:rsidRPr="00B05E76">
          <w:rPr>
            <w:noProof/>
            <w:webHidden/>
          </w:rPr>
          <w:t>57</w:t>
        </w:r>
        <w:r w:rsidRPr="00B05E76">
          <w:rPr>
            <w:noProof/>
            <w:webHidden/>
          </w:rPr>
          <w:fldChar w:fldCharType="end"/>
        </w:r>
      </w:hyperlink>
    </w:p>
    <w:p w14:paraId="2A1EEC8A" w14:textId="1DCC0763" w:rsidR="00396047" w:rsidRDefault="0068040E" w:rsidP="00625BF5">
      <w:pPr>
        <w:jc w:val="center"/>
        <w:rPr>
          <w:rFonts w:ascii="Baskerville Old Face" w:hAnsi="Baskerville Old Face" w:cs="Times New Roman"/>
          <w:b/>
          <w:bCs/>
          <w:kern w:val="0"/>
          <w:sz w:val="28"/>
          <w:szCs w:val="28"/>
          <w:lang w:val="en-GB"/>
          <w14:ligatures w14:val="none"/>
        </w:rPr>
      </w:pPr>
      <w:r w:rsidRPr="00414ACD">
        <w:rPr>
          <w:rFonts w:ascii="Baskerville Old Face" w:hAnsi="Baskerville Old Face" w:cs="Times New Roman"/>
          <w:kern w:val="0"/>
          <w:sz w:val="28"/>
          <w:szCs w:val="28"/>
          <w:lang w:val="en-GB"/>
          <w14:ligatures w14:val="none"/>
        </w:rPr>
        <w:fldChar w:fldCharType="end"/>
      </w:r>
    </w:p>
    <w:p w14:paraId="68DF70CB"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46F2A23A"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5A773AD9"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0AEA3DD0"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034FDF2F"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53847CC1"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172401AA"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22088CF2"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3DF1C5DF"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72032446" w14:textId="77777777" w:rsidR="00396047" w:rsidRDefault="00396047" w:rsidP="00625BF5">
      <w:pPr>
        <w:jc w:val="center"/>
        <w:rPr>
          <w:rFonts w:ascii="Baskerville Old Face" w:hAnsi="Baskerville Old Face" w:cs="Times New Roman"/>
          <w:b/>
          <w:bCs/>
          <w:kern w:val="0"/>
          <w:sz w:val="28"/>
          <w:szCs w:val="28"/>
          <w:lang w:val="en-GB"/>
          <w14:ligatures w14:val="none"/>
        </w:rPr>
      </w:pPr>
    </w:p>
    <w:p w14:paraId="7AC5AC5B" w14:textId="77777777" w:rsidR="00766021" w:rsidRDefault="00766021" w:rsidP="00625BF5">
      <w:pPr>
        <w:jc w:val="center"/>
        <w:rPr>
          <w:rFonts w:ascii="Baskerville Old Face" w:hAnsi="Baskerville Old Face" w:cs="Times New Roman"/>
          <w:b/>
          <w:bCs/>
          <w:kern w:val="0"/>
          <w:sz w:val="28"/>
          <w:szCs w:val="28"/>
          <w:lang w:val="en-GB"/>
          <w14:ligatures w14:val="none"/>
        </w:rPr>
      </w:pPr>
    </w:p>
    <w:p w14:paraId="2357A2EE" w14:textId="77777777" w:rsidR="00766021" w:rsidRDefault="00766021" w:rsidP="00625BF5">
      <w:pPr>
        <w:jc w:val="center"/>
        <w:rPr>
          <w:rFonts w:ascii="Baskerville Old Face" w:hAnsi="Baskerville Old Face" w:cs="Times New Roman"/>
          <w:b/>
          <w:bCs/>
          <w:kern w:val="0"/>
          <w:sz w:val="28"/>
          <w:szCs w:val="28"/>
          <w:lang w:val="en-GB"/>
          <w14:ligatures w14:val="none"/>
        </w:rPr>
      </w:pPr>
    </w:p>
    <w:p w14:paraId="7A96DCBE" w14:textId="77777777" w:rsidR="00766021" w:rsidRDefault="00766021" w:rsidP="00625BF5">
      <w:pPr>
        <w:jc w:val="center"/>
        <w:rPr>
          <w:rFonts w:ascii="Baskerville Old Face" w:hAnsi="Baskerville Old Face" w:cs="Times New Roman"/>
          <w:b/>
          <w:bCs/>
          <w:kern w:val="0"/>
          <w:sz w:val="28"/>
          <w:szCs w:val="28"/>
          <w:lang w:val="en-GB"/>
          <w14:ligatures w14:val="none"/>
        </w:rPr>
      </w:pPr>
    </w:p>
    <w:p w14:paraId="6673EE62" w14:textId="77777777" w:rsidR="00766021" w:rsidRDefault="00766021" w:rsidP="00625BF5">
      <w:pPr>
        <w:jc w:val="center"/>
        <w:rPr>
          <w:rFonts w:ascii="Baskerville Old Face" w:hAnsi="Baskerville Old Face" w:cs="Times New Roman"/>
          <w:b/>
          <w:bCs/>
          <w:kern w:val="0"/>
          <w:sz w:val="28"/>
          <w:szCs w:val="28"/>
          <w:lang w:val="en-GB"/>
          <w14:ligatures w14:val="none"/>
        </w:rPr>
      </w:pPr>
    </w:p>
    <w:p w14:paraId="4C7EC85E" w14:textId="77777777" w:rsidR="00414ACD" w:rsidRDefault="00414ACD" w:rsidP="00625BF5">
      <w:pPr>
        <w:jc w:val="center"/>
        <w:rPr>
          <w:rFonts w:ascii="Baskerville Old Face" w:hAnsi="Baskerville Old Face" w:cs="Times New Roman"/>
          <w:b/>
          <w:bCs/>
          <w:kern w:val="0"/>
          <w:sz w:val="28"/>
          <w:szCs w:val="28"/>
          <w:lang w:val="en-GB"/>
          <w14:ligatures w14:val="none"/>
        </w:rPr>
      </w:pPr>
    </w:p>
    <w:p w14:paraId="26F08FB5" w14:textId="77777777" w:rsidR="005A7A9B" w:rsidRDefault="005A7A9B" w:rsidP="00292695">
      <w:pPr>
        <w:rPr>
          <w:rFonts w:ascii="Baskerville Old Face" w:hAnsi="Baskerville Old Face" w:cs="Times New Roman"/>
          <w:b/>
          <w:bCs/>
          <w:kern w:val="0"/>
          <w:sz w:val="28"/>
          <w:szCs w:val="28"/>
          <w:lang w:val="en-GB"/>
          <w14:ligatures w14:val="none"/>
        </w:rPr>
      </w:pPr>
    </w:p>
    <w:p w14:paraId="74AD853B" w14:textId="4230F6C6" w:rsidR="005A7A9B" w:rsidRPr="00292695" w:rsidRDefault="00304E14" w:rsidP="00292695">
      <w:pPr>
        <w:pStyle w:val="Heading1"/>
        <w:jc w:val="center"/>
        <w:rPr>
          <w:rFonts w:ascii="Baskerville Old Face" w:hAnsi="Baskerville Old Face"/>
          <w:b/>
          <w:bCs/>
          <w:lang w:val="en-GB"/>
        </w:rPr>
      </w:pPr>
      <w:bookmarkStart w:id="2" w:name="_Toc198043901"/>
      <w:r w:rsidRPr="00292695">
        <w:rPr>
          <w:rFonts w:ascii="Baskerville Old Face" w:hAnsi="Baskerville Old Face"/>
          <w:b/>
          <w:bCs/>
          <w:lang w:val="en-GB"/>
        </w:rPr>
        <w:lastRenderedPageBreak/>
        <w:t>List of Acronyms</w:t>
      </w:r>
      <w:bookmarkEnd w:id="2"/>
    </w:p>
    <w:tbl>
      <w:tblPr>
        <w:tblW w:w="9360" w:type="dxa"/>
        <w:tblLook w:val="04A0" w:firstRow="1" w:lastRow="0" w:firstColumn="1" w:lastColumn="0" w:noHBand="0" w:noVBand="1"/>
      </w:tblPr>
      <w:tblGrid>
        <w:gridCol w:w="2250"/>
        <w:gridCol w:w="4297"/>
        <w:gridCol w:w="2813"/>
      </w:tblGrid>
      <w:tr w:rsidR="005314DE" w:rsidRPr="002E2E4E" w14:paraId="4DA2FF73" w14:textId="77777777" w:rsidTr="002E2E4E">
        <w:trPr>
          <w:trHeight w:val="258"/>
        </w:trPr>
        <w:tc>
          <w:tcPr>
            <w:tcW w:w="2250" w:type="dxa"/>
            <w:tcBorders>
              <w:top w:val="nil"/>
              <w:left w:val="nil"/>
              <w:bottom w:val="nil"/>
              <w:right w:val="nil"/>
            </w:tcBorders>
            <w:shd w:val="clear" w:color="auto" w:fill="auto"/>
            <w:noWrap/>
            <w:vAlign w:val="bottom"/>
            <w:hideMark/>
          </w:tcPr>
          <w:p w14:paraId="36C6A301"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ASU</w:t>
            </w:r>
          </w:p>
        </w:tc>
        <w:tc>
          <w:tcPr>
            <w:tcW w:w="4297" w:type="dxa"/>
            <w:tcBorders>
              <w:top w:val="nil"/>
              <w:left w:val="nil"/>
              <w:bottom w:val="nil"/>
              <w:right w:val="nil"/>
            </w:tcBorders>
            <w:shd w:val="clear" w:color="auto" w:fill="auto"/>
            <w:noWrap/>
            <w:vAlign w:val="bottom"/>
            <w:hideMark/>
          </w:tcPr>
          <w:p w14:paraId="7D683C38"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Anti-Smuggling Unit </w:t>
            </w:r>
          </w:p>
        </w:tc>
        <w:tc>
          <w:tcPr>
            <w:tcW w:w="2813" w:type="dxa"/>
            <w:tcBorders>
              <w:top w:val="nil"/>
              <w:left w:val="nil"/>
              <w:bottom w:val="nil"/>
              <w:right w:val="nil"/>
            </w:tcBorders>
            <w:shd w:val="clear" w:color="auto" w:fill="auto"/>
            <w:noWrap/>
            <w:vAlign w:val="bottom"/>
            <w:hideMark/>
          </w:tcPr>
          <w:p w14:paraId="22DB2EE6"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EC91315" w14:textId="77777777" w:rsidTr="002E2E4E">
        <w:trPr>
          <w:trHeight w:val="258"/>
        </w:trPr>
        <w:tc>
          <w:tcPr>
            <w:tcW w:w="2250" w:type="dxa"/>
            <w:tcBorders>
              <w:top w:val="nil"/>
              <w:left w:val="nil"/>
              <w:bottom w:val="nil"/>
              <w:right w:val="nil"/>
            </w:tcBorders>
            <w:shd w:val="clear" w:color="auto" w:fill="auto"/>
            <w:noWrap/>
            <w:vAlign w:val="bottom"/>
            <w:hideMark/>
          </w:tcPr>
          <w:p w14:paraId="012ECD13"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ASYCUDA</w:t>
            </w:r>
          </w:p>
        </w:tc>
        <w:tc>
          <w:tcPr>
            <w:tcW w:w="7110" w:type="dxa"/>
            <w:gridSpan w:val="2"/>
            <w:tcBorders>
              <w:top w:val="nil"/>
              <w:left w:val="nil"/>
              <w:bottom w:val="nil"/>
              <w:right w:val="nil"/>
            </w:tcBorders>
            <w:shd w:val="clear" w:color="auto" w:fill="auto"/>
            <w:noWrap/>
            <w:vAlign w:val="bottom"/>
            <w:hideMark/>
          </w:tcPr>
          <w:p w14:paraId="7B7E13C3"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Automated System for Customs Data</w:t>
            </w:r>
          </w:p>
        </w:tc>
      </w:tr>
      <w:tr w:rsidR="005314DE" w:rsidRPr="002E2E4E" w14:paraId="69FDF40C" w14:textId="77777777" w:rsidTr="002E2E4E">
        <w:trPr>
          <w:trHeight w:val="258"/>
        </w:trPr>
        <w:tc>
          <w:tcPr>
            <w:tcW w:w="2250" w:type="dxa"/>
            <w:tcBorders>
              <w:top w:val="nil"/>
              <w:left w:val="nil"/>
              <w:bottom w:val="nil"/>
              <w:right w:val="nil"/>
            </w:tcBorders>
            <w:shd w:val="clear" w:color="auto" w:fill="auto"/>
            <w:noWrap/>
            <w:vAlign w:val="bottom"/>
            <w:hideMark/>
          </w:tcPr>
          <w:p w14:paraId="72EDD994" w14:textId="1FB9A9AF"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BCM</w:t>
            </w:r>
          </w:p>
        </w:tc>
        <w:tc>
          <w:tcPr>
            <w:tcW w:w="7110" w:type="dxa"/>
            <w:gridSpan w:val="2"/>
            <w:tcBorders>
              <w:top w:val="nil"/>
              <w:left w:val="nil"/>
              <w:bottom w:val="nil"/>
              <w:right w:val="nil"/>
            </w:tcBorders>
            <w:shd w:val="clear" w:color="auto" w:fill="auto"/>
            <w:noWrap/>
            <w:vAlign w:val="bottom"/>
            <w:hideMark/>
          </w:tcPr>
          <w:p w14:paraId="29C0F183" w14:textId="55FD64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Border Controls and Management</w:t>
            </w:r>
          </w:p>
        </w:tc>
      </w:tr>
      <w:tr w:rsidR="005314DE" w:rsidRPr="002E2E4E" w14:paraId="784E1E98" w14:textId="77777777" w:rsidTr="002E2E4E">
        <w:trPr>
          <w:trHeight w:val="258"/>
        </w:trPr>
        <w:tc>
          <w:tcPr>
            <w:tcW w:w="2250" w:type="dxa"/>
            <w:tcBorders>
              <w:top w:val="nil"/>
              <w:left w:val="nil"/>
              <w:bottom w:val="nil"/>
              <w:right w:val="nil"/>
            </w:tcBorders>
            <w:shd w:val="clear" w:color="auto" w:fill="auto"/>
            <w:noWrap/>
            <w:vAlign w:val="bottom"/>
            <w:hideMark/>
          </w:tcPr>
          <w:p w14:paraId="4E8858CF" w14:textId="7D5F597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BSL</w:t>
            </w:r>
          </w:p>
        </w:tc>
        <w:tc>
          <w:tcPr>
            <w:tcW w:w="7110" w:type="dxa"/>
            <w:gridSpan w:val="2"/>
            <w:tcBorders>
              <w:top w:val="nil"/>
              <w:left w:val="nil"/>
              <w:bottom w:val="nil"/>
              <w:right w:val="nil"/>
            </w:tcBorders>
            <w:shd w:val="clear" w:color="auto" w:fill="auto"/>
            <w:noWrap/>
            <w:vAlign w:val="bottom"/>
            <w:hideMark/>
          </w:tcPr>
          <w:p w14:paraId="5FC3DEFB" w14:textId="33B197BF"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Bank of Sierra Leone</w:t>
            </w:r>
          </w:p>
        </w:tc>
      </w:tr>
      <w:tr w:rsidR="005314DE" w:rsidRPr="002E2E4E" w14:paraId="2F97F0D9" w14:textId="77777777" w:rsidTr="002E2E4E">
        <w:trPr>
          <w:trHeight w:val="258"/>
        </w:trPr>
        <w:tc>
          <w:tcPr>
            <w:tcW w:w="2250" w:type="dxa"/>
            <w:tcBorders>
              <w:top w:val="nil"/>
              <w:left w:val="nil"/>
              <w:bottom w:val="nil"/>
              <w:right w:val="nil"/>
            </w:tcBorders>
            <w:shd w:val="clear" w:color="auto" w:fill="auto"/>
            <w:noWrap/>
            <w:vAlign w:val="bottom"/>
            <w:hideMark/>
          </w:tcPr>
          <w:p w14:paraId="67F89E22" w14:textId="7DF59C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C&amp;FA</w:t>
            </w:r>
          </w:p>
        </w:tc>
        <w:tc>
          <w:tcPr>
            <w:tcW w:w="7110" w:type="dxa"/>
            <w:gridSpan w:val="2"/>
            <w:tcBorders>
              <w:top w:val="nil"/>
              <w:left w:val="nil"/>
              <w:bottom w:val="nil"/>
              <w:right w:val="nil"/>
            </w:tcBorders>
            <w:shd w:val="clear" w:color="auto" w:fill="auto"/>
            <w:noWrap/>
            <w:vAlign w:val="bottom"/>
            <w:hideMark/>
          </w:tcPr>
          <w:p w14:paraId="47D7745D" w14:textId="00FB319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Clearing and Forwarding Agencies </w:t>
            </w:r>
          </w:p>
        </w:tc>
      </w:tr>
      <w:tr w:rsidR="005314DE" w:rsidRPr="002E2E4E" w14:paraId="5E7B5871" w14:textId="77777777" w:rsidTr="002E2E4E">
        <w:trPr>
          <w:trHeight w:val="258"/>
        </w:trPr>
        <w:tc>
          <w:tcPr>
            <w:tcW w:w="2250" w:type="dxa"/>
            <w:tcBorders>
              <w:top w:val="nil"/>
              <w:left w:val="nil"/>
              <w:bottom w:val="nil"/>
              <w:right w:val="nil"/>
            </w:tcBorders>
            <w:shd w:val="clear" w:color="auto" w:fill="auto"/>
            <w:noWrap/>
            <w:vAlign w:val="bottom"/>
            <w:hideMark/>
          </w:tcPr>
          <w:p w14:paraId="72FF7F3C" w14:textId="0D8D1A7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CG</w:t>
            </w:r>
          </w:p>
        </w:tc>
        <w:tc>
          <w:tcPr>
            <w:tcW w:w="7110" w:type="dxa"/>
            <w:gridSpan w:val="2"/>
            <w:tcBorders>
              <w:top w:val="nil"/>
              <w:left w:val="nil"/>
              <w:bottom w:val="nil"/>
              <w:right w:val="nil"/>
            </w:tcBorders>
            <w:shd w:val="clear" w:color="auto" w:fill="auto"/>
            <w:noWrap/>
            <w:vAlign w:val="bottom"/>
            <w:hideMark/>
          </w:tcPr>
          <w:p w14:paraId="4EC108CC" w14:textId="3142DC4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Commissioner-General</w:t>
            </w:r>
          </w:p>
        </w:tc>
      </w:tr>
      <w:tr w:rsidR="005314DE" w:rsidRPr="002E2E4E" w14:paraId="2F5D173A" w14:textId="77777777" w:rsidTr="002E2E4E">
        <w:trPr>
          <w:trHeight w:val="258"/>
        </w:trPr>
        <w:tc>
          <w:tcPr>
            <w:tcW w:w="2250" w:type="dxa"/>
            <w:tcBorders>
              <w:top w:val="nil"/>
              <w:left w:val="nil"/>
              <w:bottom w:val="nil"/>
              <w:right w:val="nil"/>
            </w:tcBorders>
            <w:shd w:val="clear" w:color="auto" w:fill="auto"/>
            <w:noWrap/>
            <w:vAlign w:val="bottom"/>
            <w:hideMark/>
          </w:tcPr>
          <w:p w14:paraId="3CFCDB31" w14:textId="7E3421F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CIF</w:t>
            </w:r>
          </w:p>
        </w:tc>
        <w:tc>
          <w:tcPr>
            <w:tcW w:w="4297" w:type="dxa"/>
            <w:tcBorders>
              <w:top w:val="nil"/>
              <w:left w:val="nil"/>
              <w:bottom w:val="nil"/>
              <w:right w:val="nil"/>
            </w:tcBorders>
            <w:shd w:val="clear" w:color="auto" w:fill="auto"/>
            <w:noWrap/>
            <w:vAlign w:val="bottom"/>
            <w:hideMark/>
          </w:tcPr>
          <w:p w14:paraId="4B71AF1B" w14:textId="78DF2CC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Cost, Insurance and Freight</w:t>
            </w:r>
          </w:p>
        </w:tc>
        <w:tc>
          <w:tcPr>
            <w:tcW w:w="2813" w:type="dxa"/>
            <w:tcBorders>
              <w:top w:val="nil"/>
              <w:left w:val="nil"/>
              <w:bottom w:val="nil"/>
              <w:right w:val="nil"/>
            </w:tcBorders>
            <w:shd w:val="clear" w:color="auto" w:fill="auto"/>
            <w:noWrap/>
            <w:vAlign w:val="bottom"/>
            <w:hideMark/>
          </w:tcPr>
          <w:p w14:paraId="63578383"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52294BA" w14:textId="77777777" w:rsidTr="002E2E4E">
        <w:trPr>
          <w:trHeight w:val="258"/>
        </w:trPr>
        <w:tc>
          <w:tcPr>
            <w:tcW w:w="2250" w:type="dxa"/>
            <w:tcBorders>
              <w:top w:val="nil"/>
              <w:left w:val="nil"/>
              <w:bottom w:val="nil"/>
              <w:right w:val="nil"/>
            </w:tcBorders>
            <w:shd w:val="clear" w:color="auto" w:fill="auto"/>
            <w:noWrap/>
            <w:vAlign w:val="bottom"/>
            <w:hideMark/>
          </w:tcPr>
          <w:p w14:paraId="2150CF5C" w14:textId="49C66D8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CIT</w:t>
            </w:r>
          </w:p>
        </w:tc>
        <w:tc>
          <w:tcPr>
            <w:tcW w:w="7110" w:type="dxa"/>
            <w:gridSpan w:val="2"/>
            <w:tcBorders>
              <w:top w:val="nil"/>
              <w:left w:val="nil"/>
              <w:bottom w:val="nil"/>
              <w:right w:val="nil"/>
            </w:tcBorders>
            <w:shd w:val="clear" w:color="auto" w:fill="auto"/>
            <w:noWrap/>
            <w:vAlign w:val="bottom"/>
            <w:hideMark/>
          </w:tcPr>
          <w:p w14:paraId="342FB43F" w14:textId="239C81A5"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Corporate Income Tax</w:t>
            </w:r>
          </w:p>
        </w:tc>
      </w:tr>
      <w:tr w:rsidR="005314DE" w:rsidRPr="002E2E4E" w14:paraId="6B393EDF" w14:textId="77777777" w:rsidTr="002E2E4E">
        <w:trPr>
          <w:trHeight w:val="258"/>
        </w:trPr>
        <w:tc>
          <w:tcPr>
            <w:tcW w:w="2250" w:type="dxa"/>
            <w:tcBorders>
              <w:top w:val="nil"/>
              <w:left w:val="nil"/>
              <w:bottom w:val="nil"/>
              <w:right w:val="nil"/>
            </w:tcBorders>
            <w:shd w:val="clear" w:color="auto" w:fill="auto"/>
            <w:noWrap/>
            <w:vAlign w:val="bottom"/>
            <w:hideMark/>
          </w:tcPr>
          <w:p w14:paraId="3AB0741E" w14:textId="4B378089"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CSD</w:t>
            </w:r>
          </w:p>
        </w:tc>
        <w:tc>
          <w:tcPr>
            <w:tcW w:w="7110" w:type="dxa"/>
            <w:gridSpan w:val="2"/>
            <w:tcBorders>
              <w:top w:val="nil"/>
              <w:left w:val="nil"/>
              <w:bottom w:val="nil"/>
              <w:right w:val="nil"/>
            </w:tcBorders>
            <w:shd w:val="clear" w:color="auto" w:fill="auto"/>
            <w:noWrap/>
            <w:vAlign w:val="bottom"/>
            <w:hideMark/>
          </w:tcPr>
          <w:p w14:paraId="1E6386DB" w14:textId="7392A5C5"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Customs Services Department</w:t>
            </w:r>
          </w:p>
        </w:tc>
      </w:tr>
      <w:tr w:rsidR="005314DE" w:rsidRPr="002E2E4E" w14:paraId="23AEC2D1" w14:textId="77777777" w:rsidTr="002E2E4E">
        <w:trPr>
          <w:trHeight w:val="258"/>
        </w:trPr>
        <w:tc>
          <w:tcPr>
            <w:tcW w:w="2250" w:type="dxa"/>
            <w:tcBorders>
              <w:top w:val="nil"/>
              <w:left w:val="nil"/>
              <w:bottom w:val="nil"/>
              <w:right w:val="nil"/>
            </w:tcBorders>
            <w:shd w:val="clear" w:color="auto" w:fill="auto"/>
            <w:noWrap/>
            <w:vAlign w:val="bottom"/>
            <w:hideMark/>
          </w:tcPr>
          <w:p w14:paraId="0E2DDD83" w14:textId="18A7611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D&amp;M</w:t>
            </w:r>
          </w:p>
        </w:tc>
        <w:tc>
          <w:tcPr>
            <w:tcW w:w="7110" w:type="dxa"/>
            <w:gridSpan w:val="2"/>
            <w:tcBorders>
              <w:top w:val="nil"/>
              <w:left w:val="nil"/>
              <w:bottom w:val="nil"/>
              <w:right w:val="nil"/>
            </w:tcBorders>
            <w:shd w:val="clear" w:color="auto" w:fill="auto"/>
            <w:noWrap/>
            <w:vAlign w:val="bottom"/>
            <w:hideMark/>
          </w:tcPr>
          <w:p w14:paraId="10979EAB" w14:textId="101AABA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Design and Monitoring </w:t>
            </w:r>
          </w:p>
        </w:tc>
      </w:tr>
      <w:tr w:rsidR="005314DE" w:rsidRPr="002E2E4E" w14:paraId="445BEC88" w14:textId="77777777" w:rsidTr="002E2E4E">
        <w:trPr>
          <w:trHeight w:val="258"/>
        </w:trPr>
        <w:tc>
          <w:tcPr>
            <w:tcW w:w="2250" w:type="dxa"/>
            <w:tcBorders>
              <w:top w:val="nil"/>
              <w:left w:val="nil"/>
              <w:bottom w:val="nil"/>
              <w:right w:val="nil"/>
            </w:tcBorders>
            <w:shd w:val="clear" w:color="auto" w:fill="auto"/>
            <w:noWrap/>
            <w:vAlign w:val="bottom"/>
            <w:hideMark/>
          </w:tcPr>
          <w:p w14:paraId="0274845A" w14:textId="1035846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DCG</w:t>
            </w:r>
          </w:p>
        </w:tc>
        <w:tc>
          <w:tcPr>
            <w:tcW w:w="7110" w:type="dxa"/>
            <w:gridSpan w:val="2"/>
            <w:tcBorders>
              <w:top w:val="nil"/>
              <w:left w:val="nil"/>
              <w:bottom w:val="nil"/>
              <w:right w:val="nil"/>
            </w:tcBorders>
            <w:shd w:val="clear" w:color="auto" w:fill="auto"/>
            <w:noWrap/>
            <w:vAlign w:val="bottom"/>
            <w:hideMark/>
          </w:tcPr>
          <w:p w14:paraId="4B061B8E" w14:textId="6E5036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Deputy Commissioner-General</w:t>
            </w:r>
          </w:p>
        </w:tc>
      </w:tr>
      <w:tr w:rsidR="005314DE" w:rsidRPr="002E2E4E" w14:paraId="5895C79E" w14:textId="77777777" w:rsidTr="002E2E4E">
        <w:trPr>
          <w:trHeight w:val="258"/>
        </w:trPr>
        <w:tc>
          <w:tcPr>
            <w:tcW w:w="2250" w:type="dxa"/>
            <w:tcBorders>
              <w:top w:val="nil"/>
              <w:left w:val="nil"/>
              <w:bottom w:val="nil"/>
              <w:right w:val="nil"/>
            </w:tcBorders>
            <w:shd w:val="clear" w:color="auto" w:fill="auto"/>
            <w:noWrap/>
            <w:vAlign w:val="bottom"/>
            <w:hideMark/>
          </w:tcPr>
          <w:p w14:paraId="158DF500" w14:textId="1B85C49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DMU</w:t>
            </w:r>
          </w:p>
        </w:tc>
        <w:tc>
          <w:tcPr>
            <w:tcW w:w="7110" w:type="dxa"/>
            <w:gridSpan w:val="2"/>
            <w:tcBorders>
              <w:top w:val="nil"/>
              <w:left w:val="nil"/>
              <w:bottom w:val="nil"/>
              <w:right w:val="nil"/>
            </w:tcBorders>
            <w:shd w:val="clear" w:color="auto" w:fill="auto"/>
            <w:noWrap/>
            <w:vAlign w:val="bottom"/>
            <w:hideMark/>
          </w:tcPr>
          <w:p w14:paraId="01FCC171" w14:textId="3299DF2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Debt Management Unit </w:t>
            </w:r>
          </w:p>
        </w:tc>
      </w:tr>
      <w:tr w:rsidR="005314DE" w:rsidRPr="002E2E4E" w14:paraId="26A4BF6F" w14:textId="77777777" w:rsidTr="002E2E4E">
        <w:trPr>
          <w:trHeight w:val="258"/>
        </w:trPr>
        <w:tc>
          <w:tcPr>
            <w:tcW w:w="2250" w:type="dxa"/>
            <w:tcBorders>
              <w:top w:val="nil"/>
              <w:left w:val="nil"/>
              <w:bottom w:val="nil"/>
              <w:right w:val="nil"/>
            </w:tcBorders>
            <w:shd w:val="clear" w:color="auto" w:fill="auto"/>
            <w:noWrap/>
            <w:vAlign w:val="bottom"/>
            <w:hideMark/>
          </w:tcPr>
          <w:p w14:paraId="0517E1C1" w14:textId="036B19E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DTD</w:t>
            </w:r>
          </w:p>
        </w:tc>
        <w:tc>
          <w:tcPr>
            <w:tcW w:w="7110" w:type="dxa"/>
            <w:gridSpan w:val="2"/>
            <w:tcBorders>
              <w:top w:val="nil"/>
              <w:left w:val="nil"/>
              <w:bottom w:val="nil"/>
              <w:right w:val="nil"/>
            </w:tcBorders>
            <w:shd w:val="clear" w:color="auto" w:fill="auto"/>
            <w:noWrap/>
            <w:vAlign w:val="bottom"/>
            <w:hideMark/>
          </w:tcPr>
          <w:p w14:paraId="003C5C12" w14:textId="6D5BCEA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Domestic Taxes Department</w:t>
            </w:r>
          </w:p>
        </w:tc>
      </w:tr>
      <w:tr w:rsidR="005314DE" w:rsidRPr="002E2E4E" w14:paraId="6BEBB354" w14:textId="77777777" w:rsidTr="002E2E4E">
        <w:trPr>
          <w:trHeight w:val="258"/>
        </w:trPr>
        <w:tc>
          <w:tcPr>
            <w:tcW w:w="2250" w:type="dxa"/>
            <w:tcBorders>
              <w:top w:val="nil"/>
              <w:left w:val="nil"/>
              <w:bottom w:val="nil"/>
              <w:right w:val="nil"/>
            </w:tcBorders>
            <w:shd w:val="clear" w:color="auto" w:fill="auto"/>
            <w:noWrap/>
            <w:vAlign w:val="bottom"/>
            <w:hideMark/>
          </w:tcPr>
          <w:p w14:paraId="0C0DB6BC" w14:textId="6937709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ECF</w:t>
            </w:r>
          </w:p>
        </w:tc>
        <w:tc>
          <w:tcPr>
            <w:tcW w:w="7110" w:type="dxa"/>
            <w:gridSpan w:val="2"/>
            <w:tcBorders>
              <w:top w:val="nil"/>
              <w:left w:val="nil"/>
              <w:bottom w:val="nil"/>
              <w:right w:val="nil"/>
            </w:tcBorders>
            <w:shd w:val="clear" w:color="auto" w:fill="auto"/>
            <w:noWrap/>
            <w:vAlign w:val="bottom"/>
            <w:hideMark/>
          </w:tcPr>
          <w:p w14:paraId="052808F1" w14:textId="41E5609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Extended Credit Facility</w:t>
            </w:r>
          </w:p>
        </w:tc>
      </w:tr>
      <w:tr w:rsidR="005314DE" w:rsidRPr="002E2E4E" w14:paraId="74784111" w14:textId="77777777" w:rsidTr="002E2E4E">
        <w:trPr>
          <w:trHeight w:val="258"/>
        </w:trPr>
        <w:tc>
          <w:tcPr>
            <w:tcW w:w="2250" w:type="dxa"/>
            <w:tcBorders>
              <w:top w:val="nil"/>
              <w:left w:val="nil"/>
              <w:bottom w:val="nil"/>
              <w:right w:val="nil"/>
            </w:tcBorders>
            <w:shd w:val="clear" w:color="auto" w:fill="auto"/>
            <w:noWrap/>
            <w:vAlign w:val="bottom"/>
            <w:hideMark/>
          </w:tcPr>
          <w:p w14:paraId="4C4B9D0B" w14:textId="6BDAE17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ECOWAS</w:t>
            </w:r>
          </w:p>
        </w:tc>
        <w:tc>
          <w:tcPr>
            <w:tcW w:w="7110" w:type="dxa"/>
            <w:gridSpan w:val="2"/>
            <w:tcBorders>
              <w:top w:val="nil"/>
              <w:left w:val="nil"/>
              <w:bottom w:val="nil"/>
              <w:right w:val="nil"/>
            </w:tcBorders>
            <w:shd w:val="clear" w:color="auto" w:fill="auto"/>
            <w:noWrap/>
            <w:vAlign w:val="bottom"/>
            <w:hideMark/>
          </w:tcPr>
          <w:p w14:paraId="0BD48ED5" w14:textId="3F0C041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Economic Community of West African States</w:t>
            </w:r>
          </w:p>
        </w:tc>
      </w:tr>
      <w:tr w:rsidR="005314DE" w:rsidRPr="002E2E4E" w14:paraId="73EC4CCC" w14:textId="77777777" w:rsidTr="002E2E4E">
        <w:trPr>
          <w:trHeight w:val="258"/>
        </w:trPr>
        <w:tc>
          <w:tcPr>
            <w:tcW w:w="2250" w:type="dxa"/>
            <w:tcBorders>
              <w:top w:val="nil"/>
              <w:left w:val="nil"/>
              <w:bottom w:val="nil"/>
              <w:right w:val="nil"/>
            </w:tcBorders>
            <w:shd w:val="clear" w:color="auto" w:fill="auto"/>
            <w:noWrap/>
            <w:vAlign w:val="bottom"/>
            <w:hideMark/>
          </w:tcPr>
          <w:p w14:paraId="44651226" w14:textId="462CBD3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ECR</w:t>
            </w:r>
          </w:p>
        </w:tc>
        <w:tc>
          <w:tcPr>
            <w:tcW w:w="7110" w:type="dxa"/>
            <w:gridSpan w:val="2"/>
            <w:tcBorders>
              <w:top w:val="nil"/>
              <w:left w:val="nil"/>
              <w:bottom w:val="nil"/>
              <w:right w:val="nil"/>
            </w:tcBorders>
            <w:shd w:val="clear" w:color="auto" w:fill="auto"/>
            <w:noWrap/>
            <w:vAlign w:val="bottom"/>
            <w:hideMark/>
          </w:tcPr>
          <w:p w14:paraId="74762813" w14:textId="5753B499"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Electronic Cash Register</w:t>
            </w:r>
          </w:p>
        </w:tc>
      </w:tr>
      <w:tr w:rsidR="005314DE" w:rsidRPr="002E2E4E" w14:paraId="1523320D" w14:textId="77777777" w:rsidTr="002E2E4E">
        <w:trPr>
          <w:trHeight w:val="258"/>
        </w:trPr>
        <w:tc>
          <w:tcPr>
            <w:tcW w:w="2250" w:type="dxa"/>
            <w:tcBorders>
              <w:top w:val="nil"/>
              <w:left w:val="nil"/>
              <w:bottom w:val="nil"/>
              <w:right w:val="nil"/>
            </w:tcBorders>
            <w:shd w:val="clear" w:color="auto" w:fill="auto"/>
            <w:noWrap/>
            <w:vAlign w:val="bottom"/>
            <w:hideMark/>
          </w:tcPr>
          <w:p w14:paraId="4B4B1D87" w14:textId="6E76891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EDSA</w:t>
            </w:r>
          </w:p>
        </w:tc>
        <w:tc>
          <w:tcPr>
            <w:tcW w:w="7110" w:type="dxa"/>
            <w:gridSpan w:val="2"/>
            <w:tcBorders>
              <w:top w:val="nil"/>
              <w:left w:val="nil"/>
              <w:bottom w:val="nil"/>
              <w:right w:val="nil"/>
            </w:tcBorders>
            <w:shd w:val="clear" w:color="auto" w:fill="auto"/>
            <w:noWrap/>
            <w:vAlign w:val="bottom"/>
            <w:hideMark/>
          </w:tcPr>
          <w:p w14:paraId="1BB8A1C8" w14:textId="4E48367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Electricity Distribution and Supply Authority </w:t>
            </w:r>
          </w:p>
        </w:tc>
      </w:tr>
      <w:tr w:rsidR="005314DE" w:rsidRPr="002E2E4E" w14:paraId="3F7EE165" w14:textId="77777777" w:rsidTr="002E2E4E">
        <w:trPr>
          <w:trHeight w:val="258"/>
        </w:trPr>
        <w:tc>
          <w:tcPr>
            <w:tcW w:w="2250" w:type="dxa"/>
            <w:tcBorders>
              <w:top w:val="nil"/>
              <w:left w:val="nil"/>
              <w:bottom w:val="nil"/>
              <w:right w:val="nil"/>
            </w:tcBorders>
            <w:shd w:val="clear" w:color="auto" w:fill="auto"/>
            <w:noWrap/>
            <w:vAlign w:val="bottom"/>
            <w:hideMark/>
          </w:tcPr>
          <w:p w14:paraId="0243DFA3" w14:textId="10F3BD6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EGTC</w:t>
            </w:r>
          </w:p>
        </w:tc>
        <w:tc>
          <w:tcPr>
            <w:tcW w:w="7110" w:type="dxa"/>
            <w:gridSpan w:val="2"/>
            <w:tcBorders>
              <w:top w:val="nil"/>
              <w:left w:val="nil"/>
              <w:bottom w:val="nil"/>
              <w:right w:val="nil"/>
            </w:tcBorders>
            <w:shd w:val="clear" w:color="auto" w:fill="auto"/>
            <w:noWrap/>
            <w:vAlign w:val="bottom"/>
            <w:hideMark/>
          </w:tcPr>
          <w:p w14:paraId="00E72B90" w14:textId="7BD6CA7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Electricity Generation and Transmission Company</w:t>
            </w:r>
          </w:p>
        </w:tc>
      </w:tr>
      <w:tr w:rsidR="005314DE" w:rsidRPr="002E2E4E" w14:paraId="30D13E93" w14:textId="77777777" w:rsidTr="002E2E4E">
        <w:trPr>
          <w:trHeight w:val="258"/>
        </w:trPr>
        <w:tc>
          <w:tcPr>
            <w:tcW w:w="2250" w:type="dxa"/>
            <w:tcBorders>
              <w:top w:val="nil"/>
              <w:left w:val="nil"/>
              <w:bottom w:val="nil"/>
              <w:right w:val="nil"/>
            </w:tcBorders>
            <w:shd w:val="clear" w:color="auto" w:fill="auto"/>
            <w:noWrap/>
            <w:vAlign w:val="bottom"/>
            <w:hideMark/>
          </w:tcPr>
          <w:p w14:paraId="0199C55E" w14:textId="050A52E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EIRU</w:t>
            </w:r>
          </w:p>
        </w:tc>
        <w:tc>
          <w:tcPr>
            <w:tcW w:w="7110" w:type="dxa"/>
            <w:gridSpan w:val="2"/>
            <w:tcBorders>
              <w:top w:val="nil"/>
              <w:left w:val="nil"/>
              <w:bottom w:val="nil"/>
              <w:right w:val="nil"/>
            </w:tcBorders>
            <w:shd w:val="clear" w:color="auto" w:fill="auto"/>
            <w:noWrap/>
            <w:vAlign w:val="bottom"/>
            <w:hideMark/>
          </w:tcPr>
          <w:p w14:paraId="03355A2E" w14:textId="54CB75FE"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Extractive Industry Revenue Unit</w:t>
            </w:r>
          </w:p>
        </w:tc>
      </w:tr>
      <w:tr w:rsidR="005314DE" w:rsidRPr="002E2E4E" w14:paraId="4E5AA511" w14:textId="77777777" w:rsidTr="002E2E4E">
        <w:trPr>
          <w:trHeight w:val="258"/>
        </w:trPr>
        <w:tc>
          <w:tcPr>
            <w:tcW w:w="2250" w:type="dxa"/>
            <w:tcBorders>
              <w:top w:val="nil"/>
              <w:left w:val="nil"/>
              <w:bottom w:val="nil"/>
              <w:right w:val="nil"/>
            </w:tcBorders>
            <w:shd w:val="clear" w:color="auto" w:fill="auto"/>
            <w:noWrap/>
            <w:vAlign w:val="bottom"/>
            <w:hideMark/>
          </w:tcPr>
          <w:p w14:paraId="665A64A7" w14:textId="21C1EE4F"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F&amp;B</w:t>
            </w:r>
          </w:p>
        </w:tc>
        <w:tc>
          <w:tcPr>
            <w:tcW w:w="7110" w:type="dxa"/>
            <w:gridSpan w:val="2"/>
            <w:tcBorders>
              <w:top w:val="nil"/>
              <w:left w:val="nil"/>
              <w:bottom w:val="nil"/>
              <w:right w:val="nil"/>
            </w:tcBorders>
            <w:shd w:val="clear" w:color="auto" w:fill="auto"/>
            <w:noWrap/>
            <w:vAlign w:val="bottom"/>
            <w:hideMark/>
          </w:tcPr>
          <w:p w14:paraId="34D444A8" w14:textId="5B28255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Finance and Budget</w:t>
            </w:r>
          </w:p>
        </w:tc>
      </w:tr>
      <w:tr w:rsidR="005314DE" w:rsidRPr="002E2E4E" w14:paraId="79FEEEF3" w14:textId="77777777" w:rsidTr="002E2E4E">
        <w:trPr>
          <w:trHeight w:val="258"/>
        </w:trPr>
        <w:tc>
          <w:tcPr>
            <w:tcW w:w="2250" w:type="dxa"/>
            <w:tcBorders>
              <w:top w:val="nil"/>
              <w:left w:val="nil"/>
              <w:bottom w:val="nil"/>
              <w:right w:val="nil"/>
            </w:tcBorders>
            <w:shd w:val="clear" w:color="auto" w:fill="auto"/>
            <w:noWrap/>
            <w:vAlign w:val="bottom"/>
            <w:hideMark/>
          </w:tcPr>
          <w:p w14:paraId="067B5452" w14:textId="7566A27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FIU</w:t>
            </w:r>
          </w:p>
        </w:tc>
        <w:tc>
          <w:tcPr>
            <w:tcW w:w="7110" w:type="dxa"/>
            <w:gridSpan w:val="2"/>
            <w:tcBorders>
              <w:top w:val="nil"/>
              <w:left w:val="nil"/>
              <w:bottom w:val="nil"/>
              <w:right w:val="nil"/>
            </w:tcBorders>
            <w:shd w:val="clear" w:color="auto" w:fill="auto"/>
            <w:noWrap/>
            <w:vAlign w:val="bottom"/>
            <w:hideMark/>
          </w:tcPr>
          <w:p w14:paraId="445E8AC8" w14:textId="30D1A2B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Financial Intelligence Unit</w:t>
            </w:r>
          </w:p>
        </w:tc>
      </w:tr>
      <w:tr w:rsidR="005314DE" w:rsidRPr="002E2E4E" w14:paraId="6BC90B13" w14:textId="77777777" w:rsidTr="002E2E4E">
        <w:trPr>
          <w:trHeight w:val="258"/>
        </w:trPr>
        <w:tc>
          <w:tcPr>
            <w:tcW w:w="2250" w:type="dxa"/>
            <w:tcBorders>
              <w:top w:val="nil"/>
              <w:left w:val="nil"/>
              <w:bottom w:val="nil"/>
              <w:right w:val="nil"/>
            </w:tcBorders>
            <w:shd w:val="clear" w:color="auto" w:fill="auto"/>
            <w:noWrap/>
            <w:vAlign w:val="bottom"/>
            <w:hideMark/>
          </w:tcPr>
          <w:p w14:paraId="4421C761" w14:textId="02DC60C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FOB</w:t>
            </w:r>
          </w:p>
        </w:tc>
        <w:tc>
          <w:tcPr>
            <w:tcW w:w="7110" w:type="dxa"/>
            <w:gridSpan w:val="2"/>
            <w:tcBorders>
              <w:top w:val="nil"/>
              <w:left w:val="nil"/>
              <w:bottom w:val="nil"/>
              <w:right w:val="nil"/>
            </w:tcBorders>
            <w:shd w:val="clear" w:color="auto" w:fill="auto"/>
            <w:noWrap/>
            <w:vAlign w:val="bottom"/>
            <w:hideMark/>
          </w:tcPr>
          <w:p w14:paraId="5EEAABAE" w14:textId="3F74C87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Free on Board</w:t>
            </w:r>
          </w:p>
        </w:tc>
      </w:tr>
      <w:tr w:rsidR="005314DE" w:rsidRPr="002E2E4E" w14:paraId="625E6D16" w14:textId="77777777" w:rsidTr="002E2E4E">
        <w:trPr>
          <w:trHeight w:val="258"/>
        </w:trPr>
        <w:tc>
          <w:tcPr>
            <w:tcW w:w="2250" w:type="dxa"/>
            <w:tcBorders>
              <w:top w:val="nil"/>
              <w:left w:val="nil"/>
              <w:bottom w:val="nil"/>
              <w:right w:val="nil"/>
            </w:tcBorders>
            <w:shd w:val="clear" w:color="auto" w:fill="auto"/>
            <w:noWrap/>
            <w:vAlign w:val="bottom"/>
            <w:hideMark/>
          </w:tcPr>
          <w:p w14:paraId="1ABAC214" w14:textId="31C7E2B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GST</w:t>
            </w:r>
          </w:p>
        </w:tc>
        <w:tc>
          <w:tcPr>
            <w:tcW w:w="7110" w:type="dxa"/>
            <w:gridSpan w:val="2"/>
            <w:tcBorders>
              <w:top w:val="nil"/>
              <w:left w:val="nil"/>
              <w:bottom w:val="nil"/>
              <w:right w:val="nil"/>
            </w:tcBorders>
            <w:shd w:val="clear" w:color="auto" w:fill="auto"/>
            <w:noWrap/>
            <w:vAlign w:val="bottom"/>
            <w:hideMark/>
          </w:tcPr>
          <w:p w14:paraId="09B43B95" w14:textId="1BD9CA29"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Goods and Services Tax</w:t>
            </w:r>
          </w:p>
        </w:tc>
      </w:tr>
      <w:tr w:rsidR="005314DE" w:rsidRPr="002E2E4E" w14:paraId="7193DAE0" w14:textId="77777777" w:rsidTr="002E2E4E">
        <w:trPr>
          <w:trHeight w:val="258"/>
        </w:trPr>
        <w:tc>
          <w:tcPr>
            <w:tcW w:w="2250" w:type="dxa"/>
            <w:tcBorders>
              <w:top w:val="nil"/>
              <w:left w:val="nil"/>
              <w:bottom w:val="nil"/>
              <w:right w:val="nil"/>
            </w:tcBorders>
            <w:shd w:val="clear" w:color="auto" w:fill="auto"/>
            <w:noWrap/>
            <w:vAlign w:val="bottom"/>
            <w:hideMark/>
          </w:tcPr>
          <w:p w14:paraId="5B8BDA67" w14:textId="1B1F607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HRD</w:t>
            </w:r>
          </w:p>
        </w:tc>
        <w:tc>
          <w:tcPr>
            <w:tcW w:w="7110" w:type="dxa"/>
            <w:gridSpan w:val="2"/>
            <w:tcBorders>
              <w:top w:val="nil"/>
              <w:left w:val="nil"/>
              <w:bottom w:val="nil"/>
              <w:right w:val="nil"/>
            </w:tcBorders>
            <w:shd w:val="clear" w:color="auto" w:fill="auto"/>
            <w:noWrap/>
            <w:vAlign w:val="bottom"/>
            <w:hideMark/>
          </w:tcPr>
          <w:p w14:paraId="1F469376" w14:textId="775DF70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Human Resource Department </w:t>
            </w:r>
          </w:p>
        </w:tc>
      </w:tr>
      <w:tr w:rsidR="005314DE" w:rsidRPr="002E2E4E" w14:paraId="1AA639C5" w14:textId="77777777" w:rsidTr="002E2E4E">
        <w:trPr>
          <w:trHeight w:val="258"/>
        </w:trPr>
        <w:tc>
          <w:tcPr>
            <w:tcW w:w="2250" w:type="dxa"/>
            <w:tcBorders>
              <w:top w:val="nil"/>
              <w:left w:val="nil"/>
              <w:bottom w:val="nil"/>
              <w:right w:val="nil"/>
            </w:tcBorders>
            <w:shd w:val="clear" w:color="auto" w:fill="auto"/>
            <w:noWrap/>
            <w:vAlign w:val="bottom"/>
            <w:hideMark/>
          </w:tcPr>
          <w:p w14:paraId="5040A861" w14:textId="01DE3D3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HS</w:t>
            </w:r>
          </w:p>
        </w:tc>
        <w:tc>
          <w:tcPr>
            <w:tcW w:w="7110" w:type="dxa"/>
            <w:gridSpan w:val="2"/>
            <w:tcBorders>
              <w:top w:val="nil"/>
              <w:left w:val="nil"/>
              <w:bottom w:val="nil"/>
              <w:right w:val="nil"/>
            </w:tcBorders>
            <w:shd w:val="clear" w:color="auto" w:fill="auto"/>
            <w:noWrap/>
            <w:vAlign w:val="bottom"/>
            <w:hideMark/>
          </w:tcPr>
          <w:p w14:paraId="5B886562" w14:textId="2253381E"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Harmonized System</w:t>
            </w:r>
          </w:p>
        </w:tc>
      </w:tr>
      <w:tr w:rsidR="005314DE" w:rsidRPr="002E2E4E" w14:paraId="1288D5FC" w14:textId="77777777" w:rsidTr="002E2E4E">
        <w:trPr>
          <w:trHeight w:val="258"/>
        </w:trPr>
        <w:tc>
          <w:tcPr>
            <w:tcW w:w="2250" w:type="dxa"/>
            <w:tcBorders>
              <w:top w:val="nil"/>
              <w:left w:val="nil"/>
              <w:bottom w:val="nil"/>
              <w:right w:val="nil"/>
            </w:tcBorders>
            <w:shd w:val="clear" w:color="auto" w:fill="auto"/>
            <w:noWrap/>
            <w:vAlign w:val="bottom"/>
            <w:hideMark/>
          </w:tcPr>
          <w:p w14:paraId="7602F3E2" w14:textId="2DD943F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IAU</w:t>
            </w:r>
          </w:p>
        </w:tc>
        <w:tc>
          <w:tcPr>
            <w:tcW w:w="7110" w:type="dxa"/>
            <w:gridSpan w:val="2"/>
            <w:tcBorders>
              <w:top w:val="nil"/>
              <w:left w:val="nil"/>
              <w:bottom w:val="nil"/>
              <w:right w:val="nil"/>
            </w:tcBorders>
            <w:shd w:val="clear" w:color="auto" w:fill="auto"/>
            <w:noWrap/>
            <w:vAlign w:val="bottom"/>
            <w:hideMark/>
          </w:tcPr>
          <w:p w14:paraId="6A532394" w14:textId="5D084EA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Internal Affairs Unit</w:t>
            </w:r>
          </w:p>
        </w:tc>
      </w:tr>
      <w:tr w:rsidR="005314DE" w:rsidRPr="002E2E4E" w14:paraId="038EC35F" w14:textId="77777777" w:rsidTr="002E2E4E">
        <w:trPr>
          <w:trHeight w:val="258"/>
        </w:trPr>
        <w:tc>
          <w:tcPr>
            <w:tcW w:w="2250" w:type="dxa"/>
            <w:tcBorders>
              <w:top w:val="nil"/>
              <w:left w:val="nil"/>
              <w:bottom w:val="nil"/>
              <w:right w:val="nil"/>
            </w:tcBorders>
            <w:shd w:val="clear" w:color="auto" w:fill="auto"/>
            <w:noWrap/>
            <w:vAlign w:val="bottom"/>
            <w:hideMark/>
          </w:tcPr>
          <w:p w14:paraId="2685E9A2" w14:textId="51A3278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ICA</w:t>
            </w:r>
          </w:p>
        </w:tc>
        <w:tc>
          <w:tcPr>
            <w:tcW w:w="4297" w:type="dxa"/>
            <w:tcBorders>
              <w:top w:val="nil"/>
              <w:left w:val="nil"/>
              <w:bottom w:val="nil"/>
              <w:right w:val="nil"/>
            </w:tcBorders>
            <w:shd w:val="clear" w:color="auto" w:fill="auto"/>
            <w:noWrap/>
            <w:vAlign w:val="bottom"/>
            <w:hideMark/>
          </w:tcPr>
          <w:p w14:paraId="7A60B175" w14:textId="6243838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Internal Controls and Audit</w:t>
            </w:r>
          </w:p>
        </w:tc>
        <w:tc>
          <w:tcPr>
            <w:tcW w:w="2813" w:type="dxa"/>
            <w:tcBorders>
              <w:top w:val="nil"/>
              <w:left w:val="nil"/>
              <w:bottom w:val="nil"/>
              <w:right w:val="nil"/>
            </w:tcBorders>
            <w:shd w:val="clear" w:color="auto" w:fill="auto"/>
            <w:noWrap/>
            <w:vAlign w:val="bottom"/>
            <w:hideMark/>
          </w:tcPr>
          <w:p w14:paraId="6A84CBE3"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D946521" w14:textId="77777777" w:rsidTr="002E2E4E">
        <w:trPr>
          <w:trHeight w:val="258"/>
        </w:trPr>
        <w:tc>
          <w:tcPr>
            <w:tcW w:w="2250" w:type="dxa"/>
            <w:tcBorders>
              <w:top w:val="nil"/>
              <w:left w:val="nil"/>
              <w:bottom w:val="nil"/>
              <w:right w:val="nil"/>
            </w:tcBorders>
            <w:shd w:val="clear" w:color="auto" w:fill="auto"/>
            <w:noWrap/>
            <w:vAlign w:val="bottom"/>
            <w:hideMark/>
          </w:tcPr>
          <w:p w14:paraId="16E9C950" w14:textId="4281068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ICT</w:t>
            </w:r>
          </w:p>
        </w:tc>
        <w:tc>
          <w:tcPr>
            <w:tcW w:w="7110" w:type="dxa"/>
            <w:gridSpan w:val="2"/>
            <w:tcBorders>
              <w:top w:val="nil"/>
              <w:left w:val="nil"/>
              <w:bottom w:val="nil"/>
              <w:right w:val="nil"/>
            </w:tcBorders>
            <w:shd w:val="clear" w:color="auto" w:fill="auto"/>
            <w:noWrap/>
            <w:vAlign w:val="bottom"/>
            <w:hideMark/>
          </w:tcPr>
          <w:p w14:paraId="21DCC593" w14:textId="3AED726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Information, Communication Technology </w:t>
            </w:r>
          </w:p>
        </w:tc>
      </w:tr>
      <w:tr w:rsidR="005314DE" w:rsidRPr="002E2E4E" w14:paraId="03431355" w14:textId="77777777" w:rsidTr="002E2E4E">
        <w:trPr>
          <w:trHeight w:val="258"/>
        </w:trPr>
        <w:tc>
          <w:tcPr>
            <w:tcW w:w="2250" w:type="dxa"/>
            <w:tcBorders>
              <w:top w:val="nil"/>
              <w:left w:val="nil"/>
              <w:bottom w:val="nil"/>
              <w:right w:val="nil"/>
            </w:tcBorders>
            <w:shd w:val="clear" w:color="auto" w:fill="auto"/>
            <w:noWrap/>
            <w:vAlign w:val="bottom"/>
            <w:hideMark/>
          </w:tcPr>
          <w:p w14:paraId="30F87CD4" w14:textId="1D401B2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IMF</w:t>
            </w:r>
          </w:p>
        </w:tc>
        <w:tc>
          <w:tcPr>
            <w:tcW w:w="7110" w:type="dxa"/>
            <w:gridSpan w:val="2"/>
            <w:tcBorders>
              <w:top w:val="nil"/>
              <w:left w:val="nil"/>
              <w:bottom w:val="nil"/>
              <w:right w:val="nil"/>
            </w:tcBorders>
            <w:shd w:val="clear" w:color="auto" w:fill="auto"/>
            <w:noWrap/>
            <w:vAlign w:val="bottom"/>
            <w:hideMark/>
          </w:tcPr>
          <w:p w14:paraId="47D9A2B0" w14:textId="2A1D1DA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International Monetary Fund </w:t>
            </w:r>
          </w:p>
        </w:tc>
      </w:tr>
      <w:tr w:rsidR="005314DE" w:rsidRPr="002E2E4E" w14:paraId="2719F153" w14:textId="77777777" w:rsidTr="002E2E4E">
        <w:trPr>
          <w:trHeight w:val="258"/>
        </w:trPr>
        <w:tc>
          <w:tcPr>
            <w:tcW w:w="2250" w:type="dxa"/>
            <w:tcBorders>
              <w:top w:val="nil"/>
              <w:left w:val="nil"/>
              <w:bottom w:val="nil"/>
              <w:right w:val="nil"/>
            </w:tcBorders>
            <w:shd w:val="clear" w:color="auto" w:fill="auto"/>
            <w:noWrap/>
            <w:vAlign w:val="bottom"/>
            <w:hideMark/>
          </w:tcPr>
          <w:p w14:paraId="3F494BBE" w14:textId="4B055F4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ITAS</w:t>
            </w:r>
          </w:p>
        </w:tc>
        <w:tc>
          <w:tcPr>
            <w:tcW w:w="4297" w:type="dxa"/>
            <w:tcBorders>
              <w:top w:val="nil"/>
              <w:left w:val="nil"/>
              <w:bottom w:val="nil"/>
              <w:right w:val="nil"/>
            </w:tcBorders>
            <w:shd w:val="clear" w:color="auto" w:fill="auto"/>
            <w:noWrap/>
            <w:vAlign w:val="bottom"/>
            <w:hideMark/>
          </w:tcPr>
          <w:p w14:paraId="79EB83C6" w14:textId="2BD2F85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Integrated Tax Administration System</w:t>
            </w:r>
          </w:p>
        </w:tc>
        <w:tc>
          <w:tcPr>
            <w:tcW w:w="2813" w:type="dxa"/>
            <w:tcBorders>
              <w:top w:val="nil"/>
              <w:left w:val="nil"/>
              <w:bottom w:val="nil"/>
              <w:right w:val="nil"/>
            </w:tcBorders>
            <w:shd w:val="clear" w:color="auto" w:fill="auto"/>
            <w:noWrap/>
            <w:vAlign w:val="bottom"/>
            <w:hideMark/>
          </w:tcPr>
          <w:p w14:paraId="5B2B4C46"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47DBBEAD" w14:textId="77777777" w:rsidTr="002E2E4E">
        <w:trPr>
          <w:trHeight w:val="258"/>
        </w:trPr>
        <w:tc>
          <w:tcPr>
            <w:tcW w:w="2250" w:type="dxa"/>
            <w:tcBorders>
              <w:top w:val="nil"/>
              <w:left w:val="nil"/>
              <w:bottom w:val="nil"/>
              <w:right w:val="nil"/>
            </w:tcBorders>
            <w:shd w:val="clear" w:color="auto" w:fill="auto"/>
            <w:noWrap/>
            <w:vAlign w:val="bottom"/>
            <w:hideMark/>
          </w:tcPr>
          <w:p w14:paraId="294BB31A" w14:textId="7995BCE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L&amp;CS</w:t>
            </w:r>
          </w:p>
        </w:tc>
        <w:tc>
          <w:tcPr>
            <w:tcW w:w="7110" w:type="dxa"/>
            <w:gridSpan w:val="2"/>
            <w:tcBorders>
              <w:top w:val="nil"/>
              <w:left w:val="nil"/>
              <w:bottom w:val="nil"/>
              <w:right w:val="nil"/>
            </w:tcBorders>
            <w:shd w:val="clear" w:color="auto" w:fill="auto"/>
            <w:noWrap/>
            <w:vAlign w:val="bottom"/>
            <w:hideMark/>
          </w:tcPr>
          <w:p w14:paraId="5822BDE4" w14:textId="31EC381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Legal and Corporate Services</w:t>
            </w:r>
          </w:p>
        </w:tc>
      </w:tr>
      <w:tr w:rsidR="005314DE" w:rsidRPr="002E2E4E" w14:paraId="71C155F7" w14:textId="77777777" w:rsidTr="002E2E4E">
        <w:trPr>
          <w:trHeight w:val="258"/>
        </w:trPr>
        <w:tc>
          <w:tcPr>
            <w:tcW w:w="2250" w:type="dxa"/>
            <w:tcBorders>
              <w:top w:val="nil"/>
              <w:left w:val="nil"/>
              <w:bottom w:val="nil"/>
              <w:right w:val="nil"/>
            </w:tcBorders>
            <w:shd w:val="clear" w:color="auto" w:fill="auto"/>
            <w:noWrap/>
            <w:vAlign w:val="bottom"/>
            <w:hideMark/>
          </w:tcPr>
          <w:p w14:paraId="542ECD6F" w14:textId="2061830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LTO</w:t>
            </w:r>
          </w:p>
        </w:tc>
        <w:tc>
          <w:tcPr>
            <w:tcW w:w="7110" w:type="dxa"/>
            <w:gridSpan w:val="2"/>
            <w:tcBorders>
              <w:top w:val="nil"/>
              <w:left w:val="nil"/>
              <w:bottom w:val="nil"/>
              <w:right w:val="nil"/>
            </w:tcBorders>
            <w:shd w:val="clear" w:color="auto" w:fill="auto"/>
            <w:noWrap/>
            <w:vAlign w:val="bottom"/>
            <w:hideMark/>
          </w:tcPr>
          <w:p w14:paraId="228C0C51" w14:textId="03AA1C5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Large Taxpayers Office</w:t>
            </w:r>
          </w:p>
        </w:tc>
      </w:tr>
      <w:tr w:rsidR="005314DE" w:rsidRPr="002E2E4E" w14:paraId="2D805AC3" w14:textId="77777777" w:rsidTr="002E2E4E">
        <w:trPr>
          <w:trHeight w:val="258"/>
        </w:trPr>
        <w:tc>
          <w:tcPr>
            <w:tcW w:w="2250" w:type="dxa"/>
            <w:tcBorders>
              <w:top w:val="nil"/>
              <w:left w:val="nil"/>
              <w:bottom w:val="nil"/>
              <w:right w:val="nil"/>
            </w:tcBorders>
            <w:shd w:val="clear" w:color="auto" w:fill="auto"/>
            <w:noWrap/>
            <w:vAlign w:val="bottom"/>
            <w:hideMark/>
          </w:tcPr>
          <w:p w14:paraId="210BDD11" w14:textId="31BC381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MDAs</w:t>
            </w:r>
          </w:p>
        </w:tc>
        <w:tc>
          <w:tcPr>
            <w:tcW w:w="4297" w:type="dxa"/>
            <w:tcBorders>
              <w:top w:val="nil"/>
              <w:left w:val="nil"/>
              <w:bottom w:val="nil"/>
              <w:right w:val="nil"/>
            </w:tcBorders>
            <w:shd w:val="clear" w:color="auto" w:fill="auto"/>
            <w:noWrap/>
            <w:vAlign w:val="bottom"/>
            <w:hideMark/>
          </w:tcPr>
          <w:p w14:paraId="5F2CA439" w14:textId="4811749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Ministries, Departments and Agencies</w:t>
            </w:r>
          </w:p>
        </w:tc>
        <w:tc>
          <w:tcPr>
            <w:tcW w:w="2813" w:type="dxa"/>
            <w:tcBorders>
              <w:top w:val="nil"/>
              <w:left w:val="nil"/>
              <w:bottom w:val="nil"/>
              <w:right w:val="nil"/>
            </w:tcBorders>
            <w:shd w:val="clear" w:color="auto" w:fill="auto"/>
            <w:noWrap/>
            <w:vAlign w:val="bottom"/>
            <w:hideMark/>
          </w:tcPr>
          <w:p w14:paraId="4EA510BF"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6CB4965" w14:textId="77777777" w:rsidTr="002E2E4E">
        <w:trPr>
          <w:trHeight w:val="258"/>
        </w:trPr>
        <w:tc>
          <w:tcPr>
            <w:tcW w:w="2250" w:type="dxa"/>
            <w:tcBorders>
              <w:top w:val="nil"/>
              <w:left w:val="nil"/>
              <w:bottom w:val="nil"/>
              <w:right w:val="nil"/>
            </w:tcBorders>
            <w:shd w:val="clear" w:color="auto" w:fill="auto"/>
            <w:noWrap/>
            <w:vAlign w:val="bottom"/>
            <w:hideMark/>
          </w:tcPr>
          <w:p w14:paraId="3026A97B" w14:textId="58A8A28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MNO</w:t>
            </w:r>
          </w:p>
        </w:tc>
        <w:tc>
          <w:tcPr>
            <w:tcW w:w="4297" w:type="dxa"/>
            <w:tcBorders>
              <w:top w:val="nil"/>
              <w:left w:val="nil"/>
              <w:bottom w:val="nil"/>
              <w:right w:val="nil"/>
            </w:tcBorders>
            <w:shd w:val="clear" w:color="auto" w:fill="auto"/>
            <w:noWrap/>
            <w:vAlign w:val="bottom"/>
            <w:hideMark/>
          </w:tcPr>
          <w:p w14:paraId="5640A7D4" w14:textId="49657B7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Mobile Network Operators </w:t>
            </w:r>
          </w:p>
        </w:tc>
        <w:tc>
          <w:tcPr>
            <w:tcW w:w="2813" w:type="dxa"/>
            <w:tcBorders>
              <w:top w:val="nil"/>
              <w:left w:val="nil"/>
              <w:bottom w:val="nil"/>
              <w:right w:val="nil"/>
            </w:tcBorders>
            <w:shd w:val="clear" w:color="auto" w:fill="auto"/>
            <w:noWrap/>
            <w:vAlign w:val="bottom"/>
            <w:hideMark/>
          </w:tcPr>
          <w:p w14:paraId="0973492F"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F63252C" w14:textId="77777777" w:rsidTr="002E2E4E">
        <w:trPr>
          <w:trHeight w:val="258"/>
        </w:trPr>
        <w:tc>
          <w:tcPr>
            <w:tcW w:w="2250" w:type="dxa"/>
            <w:tcBorders>
              <w:top w:val="nil"/>
              <w:left w:val="nil"/>
              <w:bottom w:val="nil"/>
              <w:right w:val="nil"/>
            </w:tcBorders>
            <w:shd w:val="clear" w:color="auto" w:fill="auto"/>
            <w:noWrap/>
            <w:vAlign w:val="bottom"/>
            <w:hideMark/>
          </w:tcPr>
          <w:p w14:paraId="5FCB7FCE" w14:textId="656F492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MoF</w:t>
            </w:r>
          </w:p>
        </w:tc>
        <w:tc>
          <w:tcPr>
            <w:tcW w:w="7110" w:type="dxa"/>
            <w:gridSpan w:val="2"/>
            <w:tcBorders>
              <w:top w:val="nil"/>
              <w:left w:val="nil"/>
              <w:bottom w:val="nil"/>
              <w:right w:val="nil"/>
            </w:tcBorders>
            <w:shd w:val="clear" w:color="auto" w:fill="auto"/>
            <w:noWrap/>
            <w:vAlign w:val="bottom"/>
            <w:hideMark/>
          </w:tcPr>
          <w:p w14:paraId="1CF2F30E" w14:textId="56C8E0AE"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Ministry of Finance</w:t>
            </w:r>
          </w:p>
        </w:tc>
      </w:tr>
      <w:tr w:rsidR="005314DE" w:rsidRPr="002E2E4E" w14:paraId="1122BD11" w14:textId="77777777" w:rsidTr="002E2E4E">
        <w:trPr>
          <w:trHeight w:val="258"/>
        </w:trPr>
        <w:tc>
          <w:tcPr>
            <w:tcW w:w="2250" w:type="dxa"/>
            <w:tcBorders>
              <w:top w:val="nil"/>
              <w:left w:val="nil"/>
              <w:bottom w:val="nil"/>
              <w:right w:val="nil"/>
            </w:tcBorders>
            <w:shd w:val="clear" w:color="auto" w:fill="auto"/>
            <w:noWrap/>
            <w:vAlign w:val="bottom"/>
            <w:hideMark/>
          </w:tcPr>
          <w:p w14:paraId="0995CE99" w14:textId="125E8AC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MRP</w:t>
            </w:r>
          </w:p>
        </w:tc>
        <w:tc>
          <w:tcPr>
            <w:tcW w:w="7110" w:type="dxa"/>
            <w:gridSpan w:val="2"/>
            <w:tcBorders>
              <w:top w:val="nil"/>
              <w:left w:val="nil"/>
              <w:bottom w:val="nil"/>
              <w:right w:val="nil"/>
            </w:tcBorders>
            <w:shd w:val="clear" w:color="auto" w:fill="auto"/>
            <w:noWrap/>
            <w:vAlign w:val="bottom"/>
            <w:hideMark/>
          </w:tcPr>
          <w:p w14:paraId="53236D3E" w14:textId="59E396E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Monitoring, Research and Planning</w:t>
            </w:r>
          </w:p>
        </w:tc>
      </w:tr>
      <w:tr w:rsidR="005314DE" w:rsidRPr="002E2E4E" w14:paraId="324155AE" w14:textId="77777777" w:rsidTr="002E2E4E">
        <w:trPr>
          <w:trHeight w:val="258"/>
        </w:trPr>
        <w:tc>
          <w:tcPr>
            <w:tcW w:w="2250" w:type="dxa"/>
            <w:tcBorders>
              <w:top w:val="nil"/>
              <w:left w:val="nil"/>
              <w:bottom w:val="nil"/>
              <w:right w:val="nil"/>
            </w:tcBorders>
            <w:shd w:val="clear" w:color="auto" w:fill="auto"/>
            <w:noWrap/>
            <w:vAlign w:val="bottom"/>
            <w:hideMark/>
          </w:tcPr>
          <w:p w14:paraId="7CBBEAF9" w14:textId="6D66345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MTNDP</w:t>
            </w:r>
          </w:p>
        </w:tc>
        <w:tc>
          <w:tcPr>
            <w:tcW w:w="7110" w:type="dxa"/>
            <w:gridSpan w:val="2"/>
            <w:tcBorders>
              <w:top w:val="nil"/>
              <w:left w:val="nil"/>
              <w:bottom w:val="nil"/>
              <w:right w:val="nil"/>
            </w:tcBorders>
            <w:shd w:val="clear" w:color="auto" w:fill="auto"/>
            <w:noWrap/>
            <w:vAlign w:val="bottom"/>
            <w:hideMark/>
          </w:tcPr>
          <w:p w14:paraId="50323C54" w14:textId="100B8AE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Medium-term National Development Plan </w:t>
            </w:r>
          </w:p>
        </w:tc>
      </w:tr>
      <w:tr w:rsidR="005314DE" w:rsidRPr="002E2E4E" w14:paraId="265D65EA" w14:textId="77777777" w:rsidTr="002E2E4E">
        <w:trPr>
          <w:trHeight w:val="258"/>
        </w:trPr>
        <w:tc>
          <w:tcPr>
            <w:tcW w:w="2250" w:type="dxa"/>
            <w:tcBorders>
              <w:top w:val="nil"/>
              <w:left w:val="nil"/>
              <w:bottom w:val="nil"/>
              <w:right w:val="nil"/>
            </w:tcBorders>
            <w:shd w:val="clear" w:color="auto" w:fill="auto"/>
            <w:noWrap/>
            <w:vAlign w:val="bottom"/>
            <w:hideMark/>
          </w:tcPr>
          <w:p w14:paraId="0F80D506" w14:textId="0E16EE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MTO</w:t>
            </w:r>
          </w:p>
        </w:tc>
        <w:tc>
          <w:tcPr>
            <w:tcW w:w="7110" w:type="dxa"/>
            <w:gridSpan w:val="2"/>
            <w:tcBorders>
              <w:top w:val="nil"/>
              <w:left w:val="nil"/>
              <w:bottom w:val="nil"/>
              <w:right w:val="nil"/>
            </w:tcBorders>
            <w:shd w:val="clear" w:color="auto" w:fill="auto"/>
            <w:noWrap/>
            <w:vAlign w:val="bottom"/>
            <w:hideMark/>
          </w:tcPr>
          <w:p w14:paraId="5C78EE5E" w14:textId="6A6533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Medium Taxpayers Office </w:t>
            </w:r>
          </w:p>
        </w:tc>
      </w:tr>
      <w:tr w:rsidR="005314DE" w:rsidRPr="002E2E4E" w14:paraId="75E89156" w14:textId="77777777" w:rsidTr="002E2E4E">
        <w:trPr>
          <w:trHeight w:val="258"/>
        </w:trPr>
        <w:tc>
          <w:tcPr>
            <w:tcW w:w="2250" w:type="dxa"/>
            <w:tcBorders>
              <w:top w:val="nil"/>
              <w:left w:val="nil"/>
              <w:bottom w:val="nil"/>
              <w:right w:val="nil"/>
            </w:tcBorders>
            <w:shd w:val="clear" w:color="auto" w:fill="auto"/>
            <w:noWrap/>
            <w:vAlign w:val="bottom"/>
            <w:hideMark/>
          </w:tcPr>
          <w:p w14:paraId="681B8CB6" w14:textId="2B95F44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MTRS</w:t>
            </w:r>
          </w:p>
        </w:tc>
        <w:tc>
          <w:tcPr>
            <w:tcW w:w="7110" w:type="dxa"/>
            <w:gridSpan w:val="2"/>
            <w:tcBorders>
              <w:top w:val="nil"/>
              <w:left w:val="nil"/>
              <w:bottom w:val="nil"/>
              <w:right w:val="nil"/>
            </w:tcBorders>
            <w:shd w:val="clear" w:color="auto" w:fill="auto"/>
            <w:noWrap/>
            <w:vAlign w:val="bottom"/>
            <w:hideMark/>
          </w:tcPr>
          <w:p w14:paraId="03F1FFA2" w14:textId="00012DD5"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Medium-Term Revenue Strategy</w:t>
            </w:r>
          </w:p>
        </w:tc>
      </w:tr>
      <w:tr w:rsidR="005314DE" w:rsidRPr="002E2E4E" w14:paraId="6B318D9D" w14:textId="77777777" w:rsidTr="002E2E4E">
        <w:trPr>
          <w:trHeight w:val="258"/>
        </w:trPr>
        <w:tc>
          <w:tcPr>
            <w:tcW w:w="2250" w:type="dxa"/>
            <w:tcBorders>
              <w:top w:val="nil"/>
              <w:left w:val="nil"/>
              <w:bottom w:val="nil"/>
              <w:right w:val="nil"/>
            </w:tcBorders>
            <w:shd w:val="clear" w:color="auto" w:fill="auto"/>
            <w:noWrap/>
            <w:vAlign w:val="bottom"/>
            <w:hideMark/>
          </w:tcPr>
          <w:p w14:paraId="761C85E0" w14:textId="499F36BE"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NASSIT</w:t>
            </w:r>
          </w:p>
        </w:tc>
        <w:tc>
          <w:tcPr>
            <w:tcW w:w="7110" w:type="dxa"/>
            <w:gridSpan w:val="2"/>
            <w:tcBorders>
              <w:top w:val="nil"/>
              <w:left w:val="nil"/>
              <w:bottom w:val="nil"/>
              <w:right w:val="nil"/>
            </w:tcBorders>
            <w:shd w:val="clear" w:color="auto" w:fill="auto"/>
            <w:noWrap/>
            <w:vAlign w:val="bottom"/>
            <w:hideMark/>
          </w:tcPr>
          <w:p w14:paraId="3F48E979" w14:textId="3F24F57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National Social Security and Insurance Trust</w:t>
            </w:r>
          </w:p>
        </w:tc>
      </w:tr>
      <w:tr w:rsidR="005314DE" w:rsidRPr="002E2E4E" w14:paraId="7F9E4B6A" w14:textId="77777777" w:rsidTr="002E2E4E">
        <w:trPr>
          <w:trHeight w:val="258"/>
        </w:trPr>
        <w:tc>
          <w:tcPr>
            <w:tcW w:w="2250" w:type="dxa"/>
            <w:tcBorders>
              <w:top w:val="nil"/>
              <w:left w:val="nil"/>
              <w:bottom w:val="nil"/>
              <w:right w:val="nil"/>
            </w:tcBorders>
            <w:shd w:val="clear" w:color="auto" w:fill="auto"/>
            <w:noWrap/>
            <w:vAlign w:val="bottom"/>
            <w:hideMark/>
          </w:tcPr>
          <w:p w14:paraId="6712A4E3" w14:textId="43BCD83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roofErr w:type="spellStart"/>
            <w:r w:rsidRPr="002E2E4E">
              <w:rPr>
                <w:rFonts w:ascii="Baskerville Old Face" w:eastAsia="Times New Roman" w:hAnsi="Baskerville Old Face" w:cs="Times New Roman"/>
                <w:color w:val="000000"/>
                <w:kern w:val="0"/>
                <w:sz w:val="24"/>
                <w:szCs w:val="24"/>
                <w14:ligatures w14:val="none"/>
              </w:rPr>
              <w:t>NaTCA</w:t>
            </w:r>
            <w:proofErr w:type="spellEnd"/>
          </w:p>
        </w:tc>
        <w:tc>
          <w:tcPr>
            <w:tcW w:w="7110" w:type="dxa"/>
            <w:gridSpan w:val="2"/>
            <w:tcBorders>
              <w:top w:val="nil"/>
              <w:left w:val="nil"/>
              <w:bottom w:val="nil"/>
              <w:right w:val="nil"/>
            </w:tcBorders>
            <w:shd w:val="clear" w:color="auto" w:fill="auto"/>
            <w:noWrap/>
            <w:vAlign w:val="bottom"/>
            <w:hideMark/>
          </w:tcPr>
          <w:p w14:paraId="514C852F" w14:textId="50C1B93A"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National Telecommunications Authority </w:t>
            </w:r>
          </w:p>
        </w:tc>
      </w:tr>
      <w:tr w:rsidR="005314DE" w:rsidRPr="002E2E4E" w14:paraId="08D1E350" w14:textId="77777777" w:rsidTr="002E2E4E">
        <w:trPr>
          <w:trHeight w:val="258"/>
        </w:trPr>
        <w:tc>
          <w:tcPr>
            <w:tcW w:w="2250" w:type="dxa"/>
            <w:tcBorders>
              <w:top w:val="nil"/>
              <w:left w:val="nil"/>
              <w:bottom w:val="nil"/>
              <w:right w:val="nil"/>
            </w:tcBorders>
            <w:shd w:val="clear" w:color="auto" w:fill="auto"/>
            <w:noWrap/>
            <w:vAlign w:val="bottom"/>
            <w:hideMark/>
          </w:tcPr>
          <w:p w14:paraId="76C01E8F" w14:textId="19731C3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NCRA</w:t>
            </w:r>
          </w:p>
        </w:tc>
        <w:tc>
          <w:tcPr>
            <w:tcW w:w="7110" w:type="dxa"/>
            <w:gridSpan w:val="2"/>
            <w:tcBorders>
              <w:top w:val="nil"/>
              <w:left w:val="nil"/>
              <w:bottom w:val="nil"/>
              <w:right w:val="nil"/>
            </w:tcBorders>
            <w:shd w:val="clear" w:color="auto" w:fill="auto"/>
            <w:noWrap/>
            <w:vAlign w:val="bottom"/>
            <w:hideMark/>
          </w:tcPr>
          <w:p w14:paraId="43615A4C" w14:textId="6AE8880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National Civil Registration Authority</w:t>
            </w:r>
          </w:p>
        </w:tc>
      </w:tr>
      <w:tr w:rsidR="005314DE" w:rsidRPr="002E2E4E" w14:paraId="092AA6AE" w14:textId="77777777" w:rsidTr="002E2E4E">
        <w:trPr>
          <w:trHeight w:val="258"/>
        </w:trPr>
        <w:tc>
          <w:tcPr>
            <w:tcW w:w="2250" w:type="dxa"/>
            <w:tcBorders>
              <w:top w:val="nil"/>
              <w:left w:val="nil"/>
              <w:bottom w:val="nil"/>
              <w:right w:val="nil"/>
            </w:tcBorders>
            <w:shd w:val="clear" w:color="auto" w:fill="auto"/>
            <w:noWrap/>
            <w:vAlign w:val="bottom"/>
            <w:hideMark/>
          </w:tcPr>
          <w:p w14:paraId="770A3566" w14:textId="0580018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NRA</w:t>
            </w:r>
          </w:p>
        </w:tc>
        <w:tc>
          <w:tcPr>
            <w:tcW w:w="4297" w:type="dxa"/>
            <w:tcBorders>
              <w:top w:val="nil"/>
              <w:left w:val="nil"/>
              <w:bottom w:val="nil"/>
              <w:right w:val="nil"/>
            </w:tcBorders>
            <w:shd w:val="clear" w:color="auto" w:fill="auto"/>
            <w:noWrap/>
            <w:vAlign w:val="bottom"/>
            <w:hideMark/>
          </w:tcPr>
          <w:p w14:paraId="5DAF72E1" w14:textId="04C1527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National Revenue Authority</w:t>
            </w:r>
          </w:p>
        </w:tc>
        <w:tc>
          <w:tcPr>
            <w:tcW w:w="2813" w:type="dxa"/>
            <w:tcBorders>
              <w:top w:val="nil"/>
              <w:left w:val="nil"/>
              <w:bottom w:val="nil"/>
              <w:right w:val="nil"/>
            </w:tcBorders>
            <w:shd w:val="clear" w:color="auto" w:fill="auto"/>
            <w:noWrap/>
            <w:vAlign w:val="bottom"/>
            <w:hideMark/>
          </w:tcPr>
          <w:p w14:paraId="2ED70013"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0742B8AB" w14:textId="77777777" w:rsidTr="002E2E4E">
        <w:trPr>
          <w:trHeight w:val="258"/>
        </w:trPr>
        <w:tc>
          <w:tcPr>
            <w:tcW w:w="2250" w:type="dxa"/>
            <w:tcBorders>
              <w:top w:val="nil"/>
              <w:left w:val="nil"/>
              <w:bottom w:val="nil"/>
              <w:right w:val="nil"/>
            </w:tcBorders>
            <w:shd w:val="clear" w:color="auto" w:fill="auto"/>
            <w:noWrap/>
            <w:vAlign w:val="bottom"/>
            <w:hideMark/>
          </w:tcPr>
          <w:p w14:paraId="44492984" w14:textId="7A78B46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NTR</w:t>
            </w:r>
          </w:p>
        </w:tc>
        <w:tc>
          <w:tcPr>
            <w:tcW w:w="7110" w:type="dxa"/>
            <w:gridSpan w:val="2"/>
            <w:tcBorders>
              <w:top w:val="nil"/>
              <w:left w:val="nil"/>
              <w:bottom w:val="nil"/>
              <w:right w:val="nil"/>
            </w:tcBorders>
            <w:shd w:val="clear" w:color="auto" w:fill="auto"/>
            <w:noWrap/>
            <w:vAlign w:val="bottom"/>
            <w:hideMark/>
          </w:tcPr>
          <w:p w14:paraId="45CA91A8" w14:textId="5D0FEDC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Non-Tax Revenue </w:t>
            </w:r>
          </w:p>
        </w:tc>
      </w:tr>
      <w:tr w:rsidR="005314DE" w:rsidRPr="002E2E4E" w14:paraId="1444AF11" w14:textId="77777777" w:rsidTr="002E2E4E">
        <w:trPr>
          <w:trHeight w:val="258"/>
        </w:trPr>
        <w:tc>
          <w:tcPr>
            <w:tcW w:w="2250" w:type="dxa"/>
            <w:tcBorders>
              <w:top w:val="nil"/>
              <w:left w:val="nil"/>
              <w:bottom w:val="nil"/>
              <w:right w:val="nil"/>
            </w:tcBorders>
            <w:shd w:val="clear" w:color="auto" w:fill="auto"/>
            <w:noWrap/>
            <w:vAlign w:val="bottom"/>
            <w:hideMark/>
          </w:tcPr>
          <w:p w14:paraId="7255FAC6" w14:textId="4A7856A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ONS</w:t>
            </w:r>
          </w:p>
        </w:tc>
        <w:tc>
          <w:tcPr>
            <w:tcW w:w="7110" w:type="dxa"/>
            <w:gridSpan w:val="2"/>
            <w:tcBorders>
              <w:top w:val="nil"/>
              <w:left w:val="nil"/>
              <w:bottom w:val="nil"/>
              <w:right w:val="nil"/>
            </w:tcBorders>
            <w:shd w:val="clear" w:color="auto" w:fill="auto"/>
            <w:noWrap/>
            <w:vAlign w:val="bottom"/>
            <w:hideMark/>
          </w:tcPr>
          <w:p w14:paraId="67827EBB" w14:textId="3344697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Office of National Security</w:t>
            </w:r>
          </w:p>
        </w:tc>
      </w:tr>
      <w:tr w:rsidR="005314DE" w:rsidRPr="002E2E4E" w14:paraId="3E89E14F" w14:textId="77777777" w:rsidTr="002E2E4E">
        <w:trPr>
          <w:trHeight w:val="258"/>
        </w:trPr>
        <w:tc>
          <w:tcPr>
            <w:tcW w:w="2250" w:type="dxa"/>
            <w:tcBorders>
              <w:top w:val="nil"/>
              <w:left w:val="nil"/>
              <w:bottom w:val="nil"/>
              <w:right w:val="nil"/>
            </w:tcBorders>
            <w:shd w:val="clear" w:color="auto" w:fill="auto"/>
            <w:noWrap/>
            <w:vAlign w:val="bottom"/>
            <w:hideMark/>
          </w:tcPr>
          <w:p w14:paraId="2751A31D" w14:textId="3CFD60A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lastRenderedPageBreak/>
              <w:t>PAYE</w:t>
            </w:r>
          </w:p>
        </w:tc>
        <w:tc>
          <w:tcPr>
            <w:tcW w:w="7110" w:type="dxa"/>
            <w:gridSpan w:val="2"/>
            <w:tcBorders>
              <w:top w:val="nil"/>
              <w:left w:val="nil"/>
              <w:bottom w:val="nil"/>
              <w:right w:val="nil"/>
            </w:tcBorders>
            <w:shd w:val="clear" w:color="auto" w:fill="auto"/>
            <w:noWrap/>
            <w:vAlign w:val="bottom"/>
            <w:hideMark/>
          </w:tcPr>
          <w:p w14:paraId="01EB64E2" w14:textId="16806CE5"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Pay-As-You-Earn</w:t>
            </w:r>
          </w:p>
        </w:tc>
      </w:tr>
      <w:tr w:rsidR="005314DE" w:rsidRPr="002E2E4E" w14:paraId="3AAAF43B" w14:textId="77777777" w:rsidTr="002E2E4E">
        <w:trPr>
          <w:trHeight w:val="258"/>
        </w:trPr>
        <w:tc>
          <w:tcPr>
            <w:tcW w:w="2250" w:type="dxa"/>
            <w:tcBorders>
              <w:top w:val="nil"/>
              <w:left w:val="nil"/>
              <w:bottom w:val="nil"/>
              <w:right w:val="nil"/>
            </w:tcBorders>
            <w:shd w:val="clear" w:color="auto" w:fill="auto"/>
            <w:noWrap/>
            <w:vAlign w:val="bottom"/>
            <w:hideMark/>
          </w:tcPr>
          <w:p w14:paraId="4A9557D0" w14:textId="04A2EEF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PCA</w:t>
            </w:r>
          </w:p>
        </w:tc>
        <w:tc>
          <w:tcPr>
            <w:tcW w:w="7110" w:type="dxa"/>
            <w:gridSpan w:val="2"/>
            <w:tcBorders>
              <w:top w:val="nil"/>
              <w:left w:val="nil"/>
              <w:bottom w:val="nil"/>
              <w:right w:val="nil"/>
            </w:tcBorders>
            <w:shd w:val="clear" w:color="auto" w:fill="auto"/>
            <w:noWrap/>
            <w:vAlign w:val="bottom"/>
            <w:hideMark/>
          </w:tcPr>
          <w:p w14:paraId="5E569550" w14:textId="4989FB6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Post Clearance Audit</w:t>
            </w:r>
          </w:p>
        </w:tc>
      </w:tr>
      <w:tr w:rsidR="005314DE" w:rsidRPr="002E2E4E" w14:paraId="0E419021" w14:textId="77777777" w:rsidTr="002E2E4E">
        <w:trPr>
          <w:trHeight w:val="258"/>
        </w:trPr>
        <w:tc>
          <w:tcPr>
            <w:tcW w:w="2250" w:type="dxa"/>
            <w:tcBorders>
              <w:top w:val="nil"/>
              <w:left w:val="nil"/>
              <w:bottom w:val="nil"/>
              <w:right w:val="nil"/>
            </w:tcBorders>
            <w:shd w:val="clear" w:color="auto" w:fill="auto"/>
            <w:noWrap/>
            <w:vAlign w:val="bottom"/>
            <w:hideMark/>
          </w:tcPr>
          <w:p w14:paraId="233D6A49" w14:textId="0C52887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PIOs</w:t>
            </w:r>
          </w:p>
        </w:tc>
        <w:tc>
          <w:tcPr>
            <w:tcW w:w="7110" w:type="dxa"/>
            <w:gridSpan w:val="2"/>
            <w:tcBorders>
              <w:top w:val="nil"/>
              <w:left w:val="nil"/>
              <w:bottom w:val="nil"/>
              <w:right w:val="nil"/>
            </w:tcBorders>
            <w:shd w:val="clear" w:color="auto" w:fill="auto"/>
            <w:noWrap/>
            <w:vAlign w:val="bottom"/>
            <w:hideMark/>
          </w:tcPr>
          <w:p w14:paraId="06232B52" w14:textId="776C03E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Public International Organisations </w:t>
            </w:r>
          </w:p>
        </w:tc>
      </w:tr>
      <w:tr w:rsidR="005314DE" w:rsidRPr="002E2E4E" w14:paraId="027BF471" w14:textId="77777777" w:rsidTr="002E2E4E">
        <w:trPr>
          <w:trHeight w:val="258"/>
        </w:trPr>
        <w:tc>
          <w:tcPr>
            <w:tcW w:w="2250" w:type="dxa"/>
            <w:tcBorders>
              <w:top w:val="nil"/>
              <w:left w:val="nil"/>
              <w:bottom w:val="nil"/>
              <w:right w:val="nil"/>
            </w:tcBorders>
            <w:shd w:val="clear" w:color="auto" w:fill="auto"/>
            <w:noWrap/>
            <w:vAlign w:val="bottom"/>
            <w:hideMark/>
          </w:tcPr>
          <w:p w14:paraId="04430354" w14:textId="3653AFC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PIT</w:t>
            </w:r>
          </w:p>
        </w:tc>
        <w:tc>
          <w:tcPr>
            <w:tcW w:w="4297" w:type="dxa"/>
            <w:tcBorders>
              <w:top w:val="nil"/>
              <w:left w:val="nil"/>
              <w:bottom w:val="nil"/>
              <w:right w:val="nil"/>
            </w:tcBorders>
            <w:shd w:val="clear" w:color="auto" w:fill="auto"/>
            <w:noWrap/>
            <w:vAlign w:val="bottom"/>
            <w:hideMark/>
          </w:tcPr>
          <w:p w14:paraId="19E36FFB" w14:textId="6CB2229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Personal Income Tax</w:t>
            </w:r>
          </w:p>
        </w:tc>
        <w:tc>
          <w:tcPr>
            <w:tcW w:w="2813" w:type="dxa"/>
            <w:tcBorders>
              <w:top w:val="nil"/>
              <w:left w:val="nil"/>
              <w:bottom w:val="nil"/>
              <w:right w:val="nil"/>
            </w:tcBorders>
            <w:shd w:val="clear" w:color="auto" w:fill="auto"/>
            <w:noWrap/>
            <w:vAlign w:val="bottom"/>
            <w:hideMark/>
          </w:tcPr>
          <w:p w14:paraId="454BA815"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4A9FA472" w14:textId="77777777" w:rsidTr="002E2E4E">
        <w:trPr>
          <w:trHeight w:val="258"/>
        </w:trPr>
        <w:tc>
          <w:tcPr>
            <w:tcW w:w="2250" w:type="dxa"/>
            <w:tcBorders>
              <w:top w:val="nil"/>
              <w:left w:val="nil"/>
              <w:bottom w:val="nil"/>
              <w:right w:val="nil"/>
            </w:tcBorders>
            <w:shd w:val="clear" w:color="auto" w:fill="auto"/>
            <w:noWrap/>
            <w:vAlign w:val="bottom"/>
            <w:hideMark/>
          </w:tcPr>
          <w:p w14:paraId="685D391D" w14:textId="7CE27D5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highlight w:val="yellow"/>
                <w14:ligatures w14:val="none"/>
              </w:rPr>
            </w:pPr>
            <w:r w:rsidRPr="002E2E4E">
              <w:rPr>
                <w:rFonts w:ascii="Baskerville Old Face" w:eastAsia="Times New Roman" w:hAnsi="Baskerville Old Face" w:cs="Times New Roman"/>
                <w:color w:val="000000"/>
                <w:kern w:val="0"/>
                <w:sz w:val="24"/>
                <w:szCs w:val="24"/>
                <w14:ligatures w14:val="none"/>
              </w:rPr>
              <w:t>RIID</w:t>
            </w:r>
          </w:p>
        </w:tc>
        <w:tc>
          <w:tcPr>
            <w:tcW w:w="7110" w:type="dxa"/>
            <w:gridSpan w:val="2"/>
            <w:tcBorders>
              <w:top w:val="nil"/>
              <w:left w:val="nil"/>
              <w:bottom w:val="nil"/>
              <w:right w:val="nil"/>
            </w:tcBorders>
            <w:shd w:val="clear" w:color="auto" w:fill="auto"/>
            <w:noWrap/>
            <w:vAlign w:val="bottom"/>
            <w:hideMark/>
          </w:tcPr>
          <w:p w14:paraId="5B64F1DD" w14:textId="475C219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highlight w:val="yellow"/>
                <w14:ligatures w14:val="none"/>
              </w:rPr>
            </w:pPr>
            <w:r w:rsidRPr="002E2E4E">
              <w:rPr>
                <w:rFonts w:ascii="Baskerville Old Face" w:eastAsia="Times New Roman" w:hAnsi="Baskerville Old Face" w:cs="Times New Roman"/>
                <w:color w:val="000000"/>
                <w:kern w:val="0"/>
                <w:sz w:val="24"/>
                <w:szCs w:val="24"/>
                <w14:ligatures w14:val="none"/>
              </w:rPr>
              <w:t>Revenue Intelligence and Investigations Department</w:t>
            </w:r>
          </w:p>
        </w:tc>
      </w:tr>
      <w:tr w:rsidR="005314DE" w:rsidRPr="002E2E4E" w14:paraId="0746C9FC" w14:textId="77777777" w:rsidTr="002E2E4E">
        <w:trPr>
          <w:trHeight w:val="258"/>
        </w:trPr>
        <w:tc>
          <w:tcPr>
            <w:tcW w:w="2250" w:type="dxa"/>
            <w:tcBorders>
              <w:top w:val="nil"/>
              <w:left w:val="nil"/>
              <w:bottom w:val="nil"/>
              <w:right w:val="nil"/>
            </w:tcBorders>
            <w:shd w:val="clear" w:color="auto" w:fill="auto"/>
            <w:noWrap/>
            <w:vAlign w:val="bottom"/>
            <w:hideMark/>
          </w:tcPr>
          <w:p w14:paraId="6974783D" w14:textId="61D7878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RMC</w:t>
            </w:r>
          </w:p>
        </w:tc>
        <w:tc>
          <w:tcPr>
            <w:tcW w:w="7110" w:type="dxa"/>
            <w:gridSpan w:val="2"/>
            <w:tcBorders>
              <w:top w:val="nil"/>
              <w:left w:val="nil"/>
              <w:bottom w:val="nil"/>
              <w:right w:val="nil"/>
            </w:tcBorders>
            <w:shd w:val="clear" w:color="auto" w:fill="auto"/>
            <w:noWrap/>
            <w:vAlign w:val="bottom"/>
            <w:hideMark/>
          </w:tcPr>
          <w:p w14:paraId="3435994C" w14:textId="6881C9B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Risk Management Committee </w:t>
            </w:r>
          </w:p>
        </w:tc>
      </w:tr>
      <w:tr w:rsidR="005314DE" w:rsidRPr="002E2E4E" w14:paraId="3312C8EF" w14:textId="77777777" w:rsidTr="002E2E4E">
        <w:trPr>
          <w:trHeight w:val="258"/>
        </w:trPr>
        <w:tc>
          <w:tcPr>
            <w:tcW w:w="2250" w:type="dxa"/>
            <w:tcBorders>
              <w:top w:val="nil"/>
              <w:left w:val="nil"/>
              <w:bottom w:val="nil"/>
              <w:right w:val="nil"/>
            </w:tcBorders>
            <w:shd w:val="clear" w:color="auto" w:fill="auto"/>
            <w:noWrap/>
            <w:vAlign w:val="bottom"/>
            <w:hideMark/>
          </w:tcPr>
          <w:p w14:paraId="41BF8610" w14:textId="237F2F32"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RUC</w:t>
            </w:r>
          </w:p>
        </w:tc>
        <w:tc>
          <w:tcPr>
            <w:tcW w:w="7110" w:type="dxa"/>
            <w:gridSpan w:val="2"/>
            <w:tcBorders>
              <w:top w:val="nil"/>
              <w:left w:val="nil"/>
              <w:bottom w:val="nil"/>
              <w:right w:val="nil"/>
            </w:tcBorders>
            <w:shd w:val="clear" w:color="auto" w:fill="auto"/>
            <w:noWrap/>
            <w:vAlign w:val="bottom"/>
            <w:hideMark/>
          </w:tcPr>
          <w:p w14:paraId="6B86F285" w14:textId="4AA2C776"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Road User Charges</w:t>
            </w:r>
          </w:p>
        </w:tc>
      </w:tr>
      <w:tr w:rsidR="005314DE" w:rsidRPr="002E2E4E" w14:paraId="00979E11" w14:textId="77777777" w:rsidTr="002E2E4E">
        <w:trPr>
          <w:trHeight w:val="258"/>
        </w:trPr>
        <w:tc>
          <w:tcPr>
            <w:tcW w:w="2250" w:type="dxa"/>
            <w:tcBorders>
              <w:top w:val="nil"/>
              <w:left w:val="nil"/>
              <w:bottom w:val="nil"/>
              <w:right w:val="nil"/>
            </w:tcBorders>
            <w:shd w:val="clear" w:color="auto" w:fill="auto"/>
            <w:noWrap/>
            <w:vAlign w:val="bottom"/>
            <w:hideMark/>
          </w:tcPr>
          <w:p w14:paraId="72B352F6" w14:textId="3B0950DE"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SDGs</w:t>
            </w:r>
          </w:p>
        </w:tc>
        <w:tc>
          <w:tcPr>
            <w:tcW w:w="7110" w:type="dxa"/>
            <w:gridSpan w:val="2"/>
            <w:tcBorders>
              <w:top w:val="nil"/>
              <w:left w:val="nil"/>
              <w:bottom w:val="nil"/>
              <w:right w:val="nil"/>
            </w:tcBorders>
            <w:shd w:val="clear" w:color="auto" w:fill="auto"/>
            <w:noWrap/>
            <w:vAlign w:val="bottom"/>
            <w:hideMark/>
          </w:tcPr>
          <w:p w14:paraId="648294E9" w14:textId="3F608FD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Sustainable Development Goals </w:t>
            </w:r>
          </w:p>
        </w:tc>
      </w:tr>
      <w:tr w:rsidR="005314DE" w:rsidRPr="00006ADA" w14:paraId="3FD20BE2" w14:textId="77777777" w:rsidTr="002E2E4E">
        <w:trPr>
          <w:trHeight w:val="258"/>
        </w:trPr>
        <w:tc>
          <w:tcPr>
            <w:tcW w:w="2250" w:type="dxa"/>
            <w:tcBorders>
              <w:top w:val="nil"/>
              <w:left w:val="nil"/>
              <w:bottom w:val="nil"/>
              <w:right w:val="nil"/>
            </w:tcBorders>
            <w:shd w:val="clear" w:color="auto" w:fill="auto"/>
            <w:noWrap/>
            <w:vAlign w:val="bottom"/>
            <w:hideMark/>
          </w:tcPr>
          <w:p w14:paraId="5397A979" w14:textId="40245A2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SICPA</w:t>
            </w:r>
          </w:p>
        </w:tc>
        <w:tc>
          <w:tcPr>
            <w:tcW w:w="7110" w:type="dxa"/>
            <w:gridSpan w:val="2"/>
            <w:tcBorders>
              <w:top w:val="nil"/>
              <w:left w:val="nil"/>
              <w:bottom w:val="nil"/>
              <w:right w:val="nil"/>
            </w:tcBorders>
            <w:shd w:val="clear" w:color="auto" w:fill="auto"/>
            <w:noWrap/>
            <w:vAlign w:val="bottom"/>
            <w:hideMark/>
          </w:tcPr>
          <w:p w14:paraId="7C4D62BE" w14:textId="6727CBBB" w:rsidR="005314DE" w:rsidRPr="006B6538" w:rsidRDefault="005314DE" w:rsidP="005314DE">
            <w:pPr>
              <w:spacing w:after="0" w:line="240" w:lineRule="auto"/>
              <w:rPr>
                <w:rFonts w:ascii="Baskerville Old Face" w:eastAsia="Times New Roman" w:hAnsi="Baskerville Old Face" w:cs="Times New Roman"/>
                <w:color w:val="000000"/>
                <w:kern w:val="0"/>
                <w:sz w:val="24"/>
                <w:szCs w:val="24"/>
                <w:lang w:val="fr-FR"/>
                <w14:ligatures w14:val="none"/>
              </w:rPr>
            </w:pPr>
            <w:r w:rsidRPr="006B6538">
              <w:rPr>
                <w:rFonts w:ascii="Baskerville Old Face" w:eastAsia="Times New Roman" w:hAnsi="Baskerville Old Face" w:cs="Times New Roman"/>
                <w:color w:val="000000"/>
                <w:kern w:val="0"/>
                <w:sz w:val="24"/>
                <w:szCs w:val="24"/>
                <w:lang w:val="fr-FR"/>
                <w14:ligatures w14:val="none"/>
              </w:rPr>
              <w:t xml:space="preserve">Société Industrielle et Commerciale de Produits Alimentaires </w:t>
            </w:r>
          </w:p>
        </w:tc>
      </w:tr>
      <w:tr w:rsidR="005314DE" w:rsidRPr="002E2E4E" w14:paraId="6CBC08A2" w14:textId="77777777" w:rsidTr="002E2E4E">
        <w:trPr>
          <w:trHeight w:val="258"/>
        </w:trPr>
        <w:tc>
          <w:tcPr>
            <w:tcW w:w="2250" w:type="dxa"/>
            <w:tcBorders>
              <w:top w:val="nil"/>
              <w:left w:val="nil"/>
              <w:bottom w:val="nil"/>
              <w:right w:val="nil"/>
            </w:tcBorders>
            <w:shd w:val="clear" w:color="auto" w:fill="auto"/>
            <w:noWrap/>
            <w:vAlign w:val="bottom"/>
            <w:hideMark/>
          </w:tcPr>
          <w:p w14:paraId="2E8C3518" w14:textId="5317BD0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SLCB </w:t>
            </w:r>
          </w:p>
        </w:tc>
        <w:tc>
          <w:tcPr>
            <w:tcW w:w="4297" w:type="dxa"/>
            <w:tcBorders>
              <w:top w:val="nil"/>
              <w:left w:val="nil"/>
              <w:bottom w:val="nil"/>
              <w:right w:val="nil"/>
            </w:tcBorders>
            <w:shd w:val="clear" w:color="auto" w:fill="auto"/>
            <w:noWrap/>
            <w:vAlign w:val="bottom"/>
            <w:hideMark/>
          </w:tcPr>
          <w:p w14:paraId="53DD9463" w14:textId="2F6DFDA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Sierra Leone Commercial Bank </w:t>
            </w:r>
          </w:p>
        </w:tc>
        <w:tc>
          <w:tcPr>
            <w:tcW w:w="2813" w:type="dxa"/>
            <w:tcBorders>
              <w:top w:val="nil"/>
              <w:left w:val="nil"/>
              <w:bottom w:val="nil"/>
              <w:right w:val="nil"/>
            </w:tcBorders>
            <w:shd w:val="clear" w:color="auto" w:fill="auto"/>
            <w:noWrap/>
            <w:vAlign w:val="bottom"/>
            <w:hideMark/>
          </w:tcPr>
          <w:p w14:paraId="76927C6B"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B833B0D" w14:textId="77777777" w:rsidTr="002E2E4E">
        <w:trPr>
          <w:trHeight w:val="258"/>
        </w:trPr>
        <w:tc>
          <w:tcPr>
            <w:tcW w:w="2250" w:type="dxa"/>
            <w:tcBorders>
              <w:top w:val="nil"/>
              <w:left w:val="nil"/>
              <w:bottom w:val="nil"/>
              <w:right w:val="nil"/>
            </w:tcBorders>
            <w:shd w:val="clear" w:color="auto" w:fill="auto"/>
            <w:noWrap/>
            <w:vAlign w:val="bottom"/>
            <w:hideMark/>
          </w:tcPr>
          <w:p w14:paraId="04A4211F" w14:textId="47EEB870"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SLRSA</w:t>
            </w:r>
          </w:p>
        </w:tc>
        <w:tc>
          <w:tcPr>
            <w:tcW w:w="4297" w:type="dxa"/>
            <w:tcBorders>
              <w:top w:val="nil"/>
              <w:left w:val="nil"/>
              <w:bottom w:val="nil"/>
              <w:right w:val="nil"/>
            </w:tcBorders>
            <w:shd w:val="clear" w:color="auto" w:fill="auto"/>
            <w:noWrap/>
            <w:vAlign w:val="bottom"/>
            <w:hideMark/>
          </w:tcPr>
          <w:p w14:paraId="279755E4" w14:textId="5B375EB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Sierra Leone Road Safety Authority </w:t>
            </w:r>
          </w:p>
        </w:tc>
        <w:tc>
          <w:tcPr>
            <w:tcW w:w="2813" w:type="dxa"/>
            <w:tcBorders>
              <w:top w:val="nil"/>
              <w:left w:val="nil"/>
              <w:bottom w:val="nil"/>
              <w:right w:val="nil"/>
            </w:tcBorders>
            <w:shd w:val="clear" w:color="auto" w:fill="auto"/>
            <w:noWrap/>
            <w:vAlign w:val="bottom"/>
            <w:hideMark/>
          </w:tcPr>
          <w:p w14:paraId="73C6C512"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2F6436CA" w14:textId="77777777" w:rsidTr="002E2E4E">
        <w:trPr>
          <w:trHeight w:val="258"/>
        </w:trPr>
        <w:tc>
          <w:tcPr>
            <w:tcW w:w="2250" w:type="dxa"/>
            <w:tcBorders>
              <w:top w:val="nil"/>
              <w:left w:val="nil"/>
              <w:bottom w:val="nil"/>
              <w:right w:val="nil"/>
            </w:tcBorders>
            <w:shd w:val="clear" w:color="auto" w:fill="auto"/>
            <w:noWrap/>
            <w:vAlign w:val="bottom"/>
            <w:hideMark/>
          </w:tcPr>
          <w:p w14:paraId="1FEAC837" w14:textId="3B67E37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SMT</w:t>
            </w:r>
          </w:p>
        </w:tc>
        <w:tc>
          <w:tcPr>
            <w:tcW w:w="7110" w:type="dxa"/>
            <w:gridSpan w:val="2"/>
            <w:tcBorders>
              <w:top w:val="nil"/>
              <w:left w:val="nil"/>
              <w:bottom w:val="nil"/>
              <w:right w:val="nil"/>
            </w:tcBorders>
            <w:shd w:val="clear" w:color="auto" w:fill="auto"/>
            <w:noWrap/>
            <w:vAlign w:val="bottom"/>
            <w:hideMark/>
          </w:tcPr>
          <w:p w14:paraId="0D0FBA21" w14:textId="4DB55098"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Senior Management Team </w:t>
            </w:r>
          </w:p>
        </w:tc>
      </w:tr>
      <w:tr w:rsidR="005314DE" w:rsidRPr="002E2E4E" w14:paraId="3A2EE588" w14:textId="77777777" w:rsidTr="002E2E4E">
        <w:trPr>
          <w:trHeight w:val="258"/>
        </w:trPr>
        <w:tc>
          <w:tcPr>
            <w:tcW w:w="2250" w:type="dxa"/>
            <w:tcBorders>
              <w:top w:val="nil"/>
              <w:left w:val="nil"/>
              <w:bottom w:val="nil"/>
              <w:right w:val="nil"/>
            </w:tcBorders>
            <w:shd w:val="clear" w:color="auto" w:fill="auto"/>
            <w:noWrap/>
            <w:vAlign w:val="bottom"/>
            <w:hideMark/>
          </w:tcPr>
          <w:p w14:paraId="3296C311" w14:textId="50581DD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SMTO</w:t>
            </w:r>
          </w:p>
        </w:tc>
        <w:tc>
          <w:tcPr>
            <w:tcW w:w="4297" w:type="dxa"/>
            <w:tcBorders>
              <w:top w:val="nil"/>
              <w:left w:val="nil"/>
              <w:bottom w:val="nil"/>
              <w:right w:val="nil"/>
            </w:tcBorders>
            <w:shd w:val="clear" w:color="auto" w:fill="auto"/>
            <w:noWrap/>
            <w:vAlign w:val="bottom"/>
            <w:hideMark/>
          </w:tcPr>
          <w:p w14:paraId="5CC63B4A" w14:textId="11DF094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Small and Medium Taxpayers Office</w:t>
            </w:r>
          </w:p>
        </w:tc>
        <w:tc>
          <w:tcPr>
            <w:tcW w:w="2813" w:type="dxa"/>
            <w:tcBorders>
              <w:top w:val="nil"/>
              <w:left w:val="nil"/>
              <w:bottom w:val="nil"/>
              <w:right w:val="nil"/>
            </w:tcBorders>
            <w:shd w:val="clear" w:color="auto" w:fill="auto"/>
            <w:noWrap/>
            <w:vAlign w:val="bottom"/>
            <w:hideMark/>
          </w:tcPr>
          <w:p w14:paraId="3BDD771A"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51395EDC" w14:textId="77777777" w:rsidTr="002E2E4E">
        <w:trPr>
          <w:trHeight w:val="258"/>
        </w:trPr>
        <w:tc>
          <w:tcPr>
            <w:tcW w:w="2250" w:type="dxa"/>
            <w:tcBorders>
              <w:top w:val="nil"/>
              <w:left w:val="nil"/>
              <w:bottom w:val="nil"/>
              <w:right w:val="nil"/>
            </w:tcBorders>
            <w:shd w:val="clear" w:color="auto" w:fill="auto"/>
            <w:noWrap/>
            <w:vAlign w:val="bottom"/>
            <w:hideMark/>
          </w:tcPr>
          <w:p w14:paraId="34285804" w14:textId="775269B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SOE</w:t>
            </w:r>
          </w:p>
        </w:tc>
        <w:tc>
          <w:tcPr>
            <w:tcW w:w="7110" w:type="dxa"/>
            <w:gridSpan w:val="2"/>
            <w:tcBorders>
              <w:top w:val="nil"/>
              <w:left w:val="nil"/>
              <w:bottom w:val="nil"/>
              <w:right w:val="nil"/>
            </w:tcBorders>
            <w:shd w:val="clear" w:color="auto" w:fill="auto"/>
            <w:noWrap/>
            <w:vAlign w:val="bottom"/>
            <w:hideMark/>
          </w:tcPr>
          <w:p w14:paraId="0AC5617B" w14:textId="41B6AE8F"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State Owned Enterprise</w:t>
            </w:r>
          </w:p>
        </w:tc>
      </w:tr>
      <w:tr w:rsidR="005314DE" w:rsidRPr="002E2E4E" w14:paraId="3143EF14" w14:textId="77777777" w:rsidTr="002E2E4E">
        <w:trPr>
          <w:trHeight w:val="258"/>
        </w:trPr>
        <w:tc>
          <w:tcPr>
            <w:tcW w:w="2250" w:type="dxa"/>
            <w:tcBorders>
              <w:top w:val="nil"/>
              <w:left w:val="nil"/>
              <w:bottom w:val="nil"/>
              <w:right w:val="nil"/>
            </w:tcBorders>
            <w:shd w:val="clear" w:color="auto" w:fill="auto"/>
            <w:noWrap/>
            <w:vAlign w:val="bottom"/>
            <w:hideMark/>
          </w:tcPr>
          <w:p w14:paraId="3C9120B2" w14:textId="3738A43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SRL</w:t>
            </w:r>
          </w:p>
        </w:tc>
        <w:tc>
          <w:tcPr>
            <w:tcW w:w="4297" w:type="dxa"/>
            <w:tcBorders>
              <w:top w:val="nil"/>
              <w:left w:val="nil"/>
              <w:bottom w:val="nil"/>
              <w:right w:val="nil"/>
            </w:tcBorders>
            <w:shd w:val="clear" w:color="auto" w:fill="auto"/>
            <w:noWrap/>
            <w:vAlign w:val="bottom"/>
            <w:hideMark/>
          </w:tcPr>
          <w:p w14:paraId="26A01E56" w14:textId="0288CBF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Sierra Rutile Limited</w:t>
            </w:r>
          </w:p>
        </w:tc>
        <w:tc>
          <w:tcPr>
            <w:tcW w:w="2813" w:type="dxa"/>
            <w:tcBorders>
              <w:top w:val="nil"/>
              <w:left w:val="nil"/>
              <w:bottom w:val="nil"/>
              <w:right w:val="nil"/>
            </w:tcBorders>
            <w:shd w:val="clear" w:color="auto" w:fill="auto"/>
            <w:noWrap/>
            <w:vAlign w:val="bottom"/>
            <w:hideMark/>
          </w:tcPr>
          <w:p w14:paraId="67B8A2A1"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5ED54A51" w14:textId="77777777" w:rsidTr="002E2E4E">
        <w:trPr>
          <w:trHeight w:val="258"/>
        </w:trPr>
        <w:tc>
          <w:tcPr>
            <w:tcW w:w="2250" w:type="dxa"/>
            <w:tcBorders>
              <w:top w:val="nil"/>
              <w:left w:val="nil"/>
              <w:bottom w:val="nil"/>
              <w:right w:val="nil"/>
            </w:tcBorders>
            <w:shd w:val="clear" w:color="auto" w:fill="auto"/>
            <w:noWrap/>
            <w:vAlign w:val="bottom"/>
            <w:hideMark/>
          </w:tcPr>
          <w:p w14:paraId="212EFA0D" w14:textId="350B2A1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TIN</w:t>
            </w:r>
          </w:p>
        </w:tc>
        <w:tc>
          <w:tcPr>
            <w:tcW w:w="7110" w:type="dxa"/>
            <w:gridSpan w:val="2"/>
            <w:tcBorders>
              <w:top w:val="nil"/>
              <w:left w:val="nil"/>
              <w:bottom w:val="nil"/>
              <w:right w:val="nil"/>
            </w:tcBorders>
            <w:shd w:val="clear" w:color="auto" w:fill="auto"/>
            <w:noWrap/>
            <w:vAlign w:val="bottom"/>
            <w:hideMark/>
          </w:tcPr>
          <w:p w14:paraId="223B7A73" w14:textId="3564716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Taxpayer Identification Number </w:t>
            </w:r>
          </w:p>
        </w:tc>
      </w:tr>
      <w:tr w:rsidR="005314DE" w:rsidRPr="002E2E4E" w14:paraId="133F0A49" w14:textId="77777777" w:rsidTr="002E2E4E">
        <w:trPr>
          <w:trHeight w:val="258"/>
        </w:trPr>
        <w:tc>
          <w:tcPr>
            <w:tcW w:w="2250" w:type="dxa"/>
            <w:tcBorders>
              <w:top w:val="nil"/>
              <w:left w:val="nil"/>
              <w:bottom w:val="nil"/>
              <w:right w:val="nil"/>
            </w:tcBorders>
            <w:shd w:val="clear" w:color="auto" w:fill="auto"/>
            <w:noWrap/>
            <w:vAlign w:val="bottom"/>
            <w:hideMark/>
          </w:tcPr>
          <w:p w14:paraId="5C558769" w14:textId="0698BF0D"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TSA</w:t>
            </w:r>
          </w:p>
        </w:tc>
        <w:tc>
          <w:tcPr>
            <w:tcW w:w="7110" w:type="dxa"/>
            <w:gridSpan w:val="2"/>
            <w:tcBorders>
              <w:top w:val="nil"/>
              <w:left w:val="nil"/>
              <w:bottom w:val="nil"/>
              <w:right w:val="nil"/>
            </w:tcBorders>
            <w:shd w:val="clear" w:color="auto" w:fill="auto"/>
            <w:noWrap/>
            <w:vAlign w:val="bottom"/>
            <w:hideMark/>
          </w:tcPr>
          <w:p w14:paraId="5838B9DC" w14:textId="1199A89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Treasury Single Account </w:t>
            </w:r>
          </w:p>
        </w:tc>
      </w:tr>
      <w:tr w:rsidR="005314DE" w:rsidRPr="002E2E4E" w14:paraId="456C6EF0" w14:textId="77777777" w:rsidTr="002E2E4E">
        <w:trPr>
          <w:trHeight w:val="258"/>
        </w:trPr>
        <w:tc>
          <w:tcPr>
            <w:tcW w:w="2250" w:type="dxa"/>
            <w:tcBorders>
              <w:top w:val="nil"/>
              <w:left w:val="nil"/>
              <w:bottom w:val="nil"/>
              <w:right w:val="nil"/>
            </w:tcBorders>
            <w:shd w:val="clear" w:color="auto" w:fill="auto"/>
            <w:noWrap/>
            <w:vAlign w:val="bottom"/>
            <w:hideMark/>
          </w:tcPr>
          <w:p w14:paraId="747A526E" w14:textId="41D15EC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UNCTAD</w:t>
            </w:r>
          </w:p>
        </w:tc>
        <w:tc>
          <w:tcPr>
            <w:tcW w:w="7110" w:type="dxa"/>
            <w:gridSpan w:val="2"/>
            <w:tcBorders>
              <w:top w:val="nil"/>
              <w:left w:val="nil"/>
              <w:bottom w:val="nil"/>
              <w:right w:val="nil"/>
            </w:tcBorders>
            <w:shd w:val="clear" w:color="auto" w:fill="auto"/>
            <w:noWrap/>
            <w:vAlign w:val="bottom"/>
            <w:hideMark/>
          </w:tcPr>
          <w:p w14:paraId="13B943D8" w14:textId="4A438FBF"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United Nations Conference on Trade and Development</w:t>
            </w:r>
          </w:p>
        </w:tc>
      </w:tr>
      <w:tr w:rsidR="005314DE" w:rsidRPr="002E2E4E" w14:paraId="3C07E907" w14:textId="77777777" w:rsidTr="002E2E4E">
        <w:trPr>
          <w:trHeight w:val="258"/>
        </w:trPr>
        <w:tc>
          <w:tcPr>
            <w:tcW w:w="2250" w:type="dxa"/>
            <w:tcBorders>
              <w:top w:val="nil"/>
              <w:left w:val="nil"/>
              <w:bottom w:val="nil"/>
              <w:right w:val="nil"/>
            </w:tcBorders>
            <w:shd w:val="clear" w:color="auto" w:fill="auto"/>
            <w:noWrap/>
            <w:vAlign w:val="bottom"/>
            <w:hideMark/>
          </w:tcPr>
          <w:p w14:paraId="36BE587A" w14:textId="4A61E3E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VIPS</w:t>
            </w:r>
          </w:p>
        </w:tc>
        <w:tc>
          <w:tcPr>
            <w:tcW w:w="7110" w:type="dxa"/>
            <w:gridSpan w:val="2"/>
            <w:tcBorders>
              <w:top w:val="nil"/>
              <w:left w:val="nil"/>
              <w:bottom w:val="nil"/>
              <w:right w:val="nil"/>
            </w:tcBorders>
            <w:shd w:val="clear" w:color="auto" w:fill="auto"/>
            <w:noWrap/>
            <w:vAlign w:val="bottom"/>
            <w:hideMark/>
          </w:tcPr>
          <w:p w14:paraId="3F55075A" w14:textId="01729C33"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VAT Integrated Processing System</w:t>
            </w:r>
          </w:p>
        </w:tc>
      </w:tr>
      <w:tr w:rsidR="005314DE" w:rsidRPr="002E2E4E" w14:paraId="4441FF8D" w14:textId="77777777" w:rsidTr="002E2E4E">
        <w:trPr>
          <w:trHeight w:val="258"/>
        </w:trPr>
        <w:tc>
          <w:tcPr>
            <w:tcW w:w="2250" w:type="dxa"/>
            <w:tcBorders>
              <w:top w:val="nil"/>
              <w:left w:val="nil"/>
              <w:bottom w:val="nil"/>
              <w:right w:val="nil"/>
            </w:tcBorders>
            <w:shd w:val="clear" w:color="auto" w:fill="auto"/>
            <w:noWrap/>
            <w:vAlign w:val="bottom"/>
            <w:hideMark/>
          </w:tcPr>
          <w:p w14:paraId="16838983" w14:textId="184AE754"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WAMA</w:t>
            </w:r>
          </w:p>
        </w:tc>
        <w:tc>
          <w:tcPr>
            <w:tcW w:w="7110" w:type="dxa"/>
            <w:gridSpan w:val="2"/>
            <w:tcBorders>
              <w:top w:val="nil"/>
              <w:left w:val="nil"/>
              <w:bottom w:val="nil"/>
              <w:right w:val="nil"/>
            </w:tcBorders>
            <w:shd w:val="clear" w:color="auto" w:fill="auto"/>
            <w:noWrap/>
            <w:vAlign w:val="bottom"/>
            <w:hideMark/>
          </w:tcPr>
          <w:p w14:paraId="4F3F2382" w14:textId="6C4F38F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 xml:space="preserve">West African Monetary Agency Building </w:t>
            </w:r>
          </w:p>
        </w:tc>
      </w:tr>
      <w:tr w:rsidR="005314DE" w:rsidRPr="002E2E4E" w14:paraId="7211CAE0" w14:textId="77777777" w:rsidTr="002E2E4E">
        <w:trPr>
          <w:trHeight w:val="258"/>
        </w:trPr>
        <w:tc>
          <w:tcPr>
            <w:tcW w:w="2250" w:type="dxa"/>
            <w:tcBorders>
              <w:top w:val="nil"/>
              <w:left w:val="nil"/>
              <w:bottom w:val="nil"/>
              <w:right w:val="nil"/>
            </w:tcBorders>
            <w:shd w:val="clear" w:color="auto" w:fill="auto"/>
            <w:noWrap/>
            <w:vAlign w:val="bottom"/>
            <w:hideMark/>
          </w:tcPr>
          <w:p w14:paraId="5935F75E" w14:textId="363BF43C"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WCO</w:t>
            </w:r>
          </w:p>
        </w:tc>
        <w:tc>
          <w:tcPr>
            <w:tcW w:w="4297" w:type="dxa"/>
            <w:tcBorders>
              <w:top w:val="nil"/>
              <w:left w:val="nil"/>
              <w:bottom w:val="nil"/>
              <w:right w:val="nil"/>
            </w:tcBorders>
            <w:shd w:val="clear" w:color="auto" w:fill="auto"/>
            <w:noWrap/>
            <w:vAlign w:val="bottom"/>
            <w:hideMark/>
          </w:tcPr>
          <w:p w14:paraId="065FAC1D" w14:textId="12AB1F9B"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r w:rsidRPr="002E2E4E">
              <w:rPr>
                <w:rFonts w:ascii="Baskerville Old Face" w:eastAsia="Times New Roman" w:hAnsi="Baskerville Old Face" w:cs="Times New Roman"/>
                <w:color w:val="000000"/>
                <w:kern w:val="0"/>
                <w:sz w:val="24"/>
                <w:szCs w:val="24"/>
                <w14:ligatures w14:val="none"/>
              </w:rPr>
              <w:t>World Customs Organisation</w:t>
            </w:r>
          </w:p>
        </w:tc>
        <w:tc>
          <w:tcPr>
            <w:tcW w:w="2813" w:type="dxa"/>
            <w:tcBorders>
              <w:top w:val="nil"/>
              <w:left w:val="nil"/>
              <w:bottom w:val="nil"/>
              <w:right w:val="nil"/>
            </w:tcBorders>
            <w:shd w:val="clear" w:color="auto" w:fill="auto"/>
            <w:noWrap/>
            <w:vAlign w:val="bottom"/>
            <w:hideMark/>
          </w:tcPr>
          <w:p w14:paraId="1F5A9BA5" w14:textId="77777777"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r w:rsidR="005314DE" w:rsidRPr="002E2E4E" w14:paraId="3875D8B2" w14:textId="77777777" w:rsidTr="002E2E4E">
        <w:trPr>
          <w:trHeight w:val="258"/>
        </w:trPr>
        <w:tc>
          <w:tcPr>
            <w:tcW w:w="2250" w:type="dxa"/>
            <w:tcBorders>
              <w:top w:val="nil"/>
              <w:left w:val="nil"/>
              <w:bottom w:val="nil"/>
              <w:right w:val="nil"/>
            </w:tcBorders>
            <w:shd w:val="clear" w:color="auto" w:fill="auto"/>
            <w:noWrap/>
            <w:vAlign w:val="bottom"/>
            <w:hideMark/>
          </w:tcPr>
          <w:p w14:paraId="2FA0ED96" w14:textId="49E84BD5"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c>
          <w:tcPr>
            <w:tcW w:w="7110" w:type="dxa"/>
            <w:gridSpan w:val="2"/>
            <w:tcBorders>
              <w:top w:val="nil"/>
              <w:left w:val="nil"/>
              <w:bottom w:val="nil"/>
              <w:right w:val="nil"/>
            </w:tcBorders>
            <w:shd w:val="clear" w:color="auto" w:fill="auto"/>
            <w:noWrap/>
            <w:vAlign w:val="bottom"/>
            <w:hideMark/>
          </w:tcPr>
          <w:p w14:paraId="4BC750DC" w14:textId="6FB21201" w:rsidR="005314DE" w:rsidRPr="002E2E4E" w:rsidRDefault="005314DE" w:rsidP="005314DE">
            <w:pPr>
              <w:spacing w:after="0" w:line="240" w:lineRule="auto"/>
              <w:rPr>
                <w:rFonts w:ascii="Baskerville Old Face" w:eastAsia="Times New Roman" w:hAnsi="Baskerville Old Face" w:cs="Times New Roman"/>
                <w:color w:val="000000"/>
                <w:kern w:val="0"/>
                <w:sz w:val="24"/>
                <w:szCs w:val="24"/>
                <w14:ligatures w14:val="none"/>
              </w:rPr>
            </w:pPr>
          </w:p>
        </w:tc>
      </w:tr>
    </w:tbl>
    <w:p w14:paraId="78B7B0A6" w14:textId="77777777" w:rsidR="005314DE" w:rsidRDefault="005314DE" w:rsidP="005314DE">
      <w:pPr>
        <w:spacing w:after="0" w:line="360" w:lineRule="auto"/>
        <w:rPr>
          <w:rFonts w:ascii="Baskerville Old Face" w:hAnsi="Baskerville Old Face" w:cs="Times New Roman"/>
          <w:kern w:val="0"/>
          <w:sz w:val="28"/>
          <w:szCs w:val="28"/>
          <w:lang w:val="en-GB"/>
          <w14:ligatures w14:val="none"/>
        </w:rPr>
      </w:pPr>
    </w:p>
    <w:p w14:paraId="761B50DF" w14:textId="77777777" w:rsidR="005314DE" w:rsidRDefault="005314DE" w:rsidP="005314DE">
      <w:pPr>
        <w:spacing w:after="0" w:line="360" w:lineRule="auto"/>
        <w:rPr>
          <w:rFonts w:ascii="Baskerville Old Face" w:hAnsi="Baskerville Old Face" w:cs="Times New Roman"/>
          <w:kern w:val="0"/>
          <w:sz w:val="28"/>
          <w:szCs w:val="28"/>
          <w:lang w:val="en-GB"/>
          <w14:ligatures w14:val="none"/>
        </w:rPr>
      </w:pPr>
    </w:p>
    <w:p w14:paraId="7383E83D" w14:textId="77777777" w:rsidR="005314DE" w:rsidRDefault="005314DE" w:rsidP="005314DE">
      <w:pPr>
        <w:spacing w:after="0" w:line="360" w:lineRule="auto"/>
        <w:rPr>
          <w:rFonts w:ascii="Baskerville Old Face" w:hAnsi="Baskerville Old Face" w:cs="Times New Roman"/>
          <w:kern w:val="0"/>
          <w:sz w:val="28"/>
          <w:szCs w:val="28"/>
          <w:lang w:val="en-GB"/>
          <w14:ligatures w14:val="none"/>
        </w:rPr>
      </w:pPr>
    </w:p>
    <w:p w14:paraId="697390CD" w14:textId="77777777" w:rsidR="005314DE" w:rsidRDefault="005314DE" w:rsidP="005314DE">
      <w:pPr>
        <w:spacing w:after="0" w:line="360" w:lineRule="auto"/>
        <w:rPr>
          <w:rFonts w:ascii="Baskerville Old Face" w:hAnsi="Baskerville Old Face" w:cs="Times New Roman"/>
          <w:kern w:val="0"/>
          <w:sz w:val="28"/>
          <w:szCs w:val="28"/>
          <w:lang w:val="en-GB"/>
          <w14:ligatures w14:val="none"/>
        </w:rPr>
      </w:pPr>
    </w:p>
    <w:p w14:paraId="35181B18" w14:textId="77777777" w:rsidR="00A165A7" w:rsidRDefault="00A165A7" w:rsidP="005314DE">
      <w:pPr>
        <w:spacing w:after="0" w:line="360" w:lineRule="auto"/>
        <w:rPr>
          <w:rFonts w:ascii="Baskerville Old Face" w:hAnsi="Baskerville Old Face" w:cs="Times New Roman"/>
          <w:kern w:val="0"/>
          <w:sz w:val="28"/>
          <w:szCs w:val="28"/>
          <w:lang w:val="en-GB"/>
          <w14:ligatures w14:val="none"/>
        </w:rPr>
      </w:pPr>
    </w:p>
    <w:p w14:paraId="02C3D947" w14:textId="77777777" w:rsidR="005314DE" w:rsidRDefault="005314DE" w:rsidP="005314DE">
      <w:pPr>
        <w:spacing w:after="0" w:line="360" w:lineRule="auto"/>
        <w:rPr>
          <w:rFonts w:ascii="Baskerville Old Face" w:hAnsi="Baskerville Old Face" w:cs="Times New Roman"/>
          <w:kern w:val="0"/>
          <w:sz w:val="28"/>
          <w:szCs w:val="28"/>
          <w:lang w:val="en-GB"/>
          <w14:ligatures w14:val="none"/>
        </w:rPr>
      </w:pPr>
    </w:p>
    <w:p w14:paraId="06FDAA92"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31BC7E7B"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505E716E"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74E2232A"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22543550"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48C29DEF"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24ACCA9E"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70E4D7DF" w14:textId="77777777" w:rsidR="00270B00" w:rsidRDefault="00270B00" w:rsidP="005314DE">
      <w:pPr>
        <w:spacing w:after="0" w:line="360" w:lineRule="auto"/>
        <w:rPr>
          <w:rFonts w:ascii="Baskerville Old Face" w:hAnsi="Baskerville Old Face" w:cs="Times New Roman"/>
          <w:kern w:val="0"/>
          <w:sz w:val="28"/>
          <w:szCs w:val="28"/>
          <w:lang w:val="en-GB"/>
          <w14:ligatures w14:val="none"/>
        </w:rPr>
      </w:pPr>
    </w:p>
    <w:p w14:paraId="15B34A64" w14:textId="77777777" w:rsidR="00270B00" w:rsidRPr="00414ACD" w:rsidRDefault="00270B00" w:rsidP="00414ACD">
      <w:pPr>
        <w:pStyle w:val="Heading1"/>
        <w:jc w:val="center"/>
        <w:rPr>
          <w:rFonts w:ascii="Baskerville Old Face" w:hAnsi="Baskerville Old Face"/>
          <w:b/>
          <w:bCs/>
        </w:rPr>
      </w:pPr>
      <w:bookmarkStart w:id="3" w:name="_Toc198043902"/>
      <w:r w:rsidRPr="00414ACD">
        <w:rPr>
          <w:rFonts w:ascii="Baskerville Old Face" w:hAnsi="Baskerville Old Face"/>
          <w:b/>
          <w:bCs/>
        </w:rPr>
        <w:lastRenderedPageBreak/>
        <w:t>FOREWORD BY THE COMMISSIONER-GENERAL</w:t>
      </w:r>
      <w:bookmarkEnd w:id="3"/>
    </w:p>
    <w:p w14:paraId="1A398A2A" w14:textId="77777777"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It is with great honour that I present the 2024 Annual Report of the National Revenue Authority (NRA). This report reflects the collective work of all operational and support departments within the Authority and provides a detailed account of our performance over the year. It outlines the strategies we have implemented, the outcomes we have achieved, the challenges we have faced, and the steps taken to address them. The report reaffirms our commitment to transparency and accountability in delivering on our mandate.</w:t>
      </w:r>
    </w:p>
    <w:p w14:paraId="2C762AB3" w14:textId="77777777"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 xml:space="preserve">The NRA is responsible for </w:t>
      </w:r>
      <w:proofErr w:type="spellStart"/>
      <w:r w:rsidRPr="00BD384B">
        <w:rPr>
          <w:rFonts w:ascii="Baskerville Old Face" w:eastAsia="Times New Roman" w:hAnsi="Baskerville Old Face"/>
          <w:sz w:val="24"/>
          <w:szCs w:val="24"/>
        </w:rPr>
        <w:t>mobilising</w:t>
      </w:r>
      <w:proofErr w:type="spellEnd"/>
      <w:r w:rsidRPr="00BD384B">
        <w:rPr>
          <w:rFonts w:ascii="Baskerville Old Face" w:eastAsia="Times New Roman" w:hAnsi="Baskerville Old Face"/>
          <w:sz w:val="24"/>
          <w:szCs w:val="24"/>
        </w:rPr>
        <w:t xml:space="preserve"> domestic revenue and facilitating international trade through Customs. Over the years, we have made notable progress in enhancing revenue collection and expanding fiscal space to support government spending and service delivery. At the same time, we have taken meaningful steps to simplify Customs procedures, reduce clearance times, and improve the business environment.</w:t>
      </w:r>
    </w:p>
    <w:p w14:paraId="4C50ECC5" w14:textId="4F8475A4"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 xml:space="preserve">In 2024, the NRA collected a total of </w:t>
      </w:r>
      <w:proofErr w:type="spellStart"/>
      <w:r w:rsidRPr="00BD384B">
        <w:rPr>
          <w:rFonts w:ascii="Baskerville Old Face" w:eastAsia="Times New Roman" w:hAnsi="Baskerville Old Face"/>
          <w:sz w:val="24"/>
          <w:szCs w:val="24"/>
        </w:rPr>
        <w:t>NLe</w:t>
      </w:r>
      <w:proofErr w:type="spellEnd"/>
      <w:r w:rsidRPr="00BD384B">
        <w:rPr>
          <w:rFonts w:ascii="Baskerville Old Face" w:eastAsia="Times New Roman" w:hAnsi="Baskerville Old Face"/>
          <w:sz w:val="24"/>
          <w:szCs w:val="24"/>
        </w:rPr>
        <w:t xml:space="preserve"> 14.560 billion in domestic revenue</w:t>
      </w:r>
      <w:r w:rsidR="00006ADA">
        <w:rPr>
          <w:rFonts w:ascii="Baskerville Old Face" w:eastAsia="Times New Roman" w:hAnsi="Baskerville Old Face"/>
          <w:sz w:val="24"/>
          <w:szCs w:val="24"/>
        </w:rPr>
        <w:t>, which was broadly on target</w:t>
      </w:r>
      <w:r w:rsidR="00B72454">
        <w:rPr>
          <w:rFonts w:ascii="Baskerville Old Face" w:eastAsia="Times New Roman" w:hAnsi="Baskerville Old Face"/>
          <w:sz w:val="24"/>
          <w:szCs w:val="24"/>
        </w:rPr>
        <w:t>, being short by merely 0.9%</w:t>
      </w:r>
      <w:r w:rsidRPr="00BD384B">
        <w:rPr>
          <w:rFonts w:ascii="Baskerville Old Face" w:eastAsia="Times New Roman" w:hAnsi="Baskerville Old Face"/>
          <w:sz w:val="24"/>
          <w:szCs w:val="24"/>
        </w:rPr>
        <w:t xml:space="preserve">. </w:t>
      </w:r>
      <w:r w:rsidR="002E5C21">
        <w:rPr>
          <w:rFonts w:ascii="Baskerville Old Face" w:eastAsia="Times New Roman" w:hAnsi="Baskerville Old Face"/>
          <w:sz w:val="24"/>
          <w:szCs w:val="24"/>
        </w:rPr>
        <w:t>This collection</w:t>
      </w:r>
      <w:r w:rsidRPr="00BD384B">
        <w:rPr>
          <w:rFonts w:ascii="Baskerville Old Face" w:eastAsia="Times New Roman" w:hAnsi="Baskerville Old Face"/>
          <w:sz w:val="24"/>
          <w:szCs w:val="24"/>
        </w:rPr>
        <w:t xml:space="preserve"> represents a significant year-on-year growth of 44.2% compared to the </w:t>
      </w:r>
      <w:proofErr w:type="spellStart"/>
      <w:r w:rsidRPr="00BD384B">
        <w:rPr>
          <w:rFonts w:ascii="Baskerville Old Face" w:eastAsia="Times New Roman" w:hAnsi="Baskerville Old Face"/>
          <w:sz w:val="24"/>
          <w:szCs w:val="24"/>
        </w:rPr>
        <w:t>NLe</w:t>
      </w:r>
      <w:proofErr w:type="spellEnd"/>
      <w:r w:rsidRPr="00BD384B">
        <w:rPr>
          <w:rFonts w:ascii="Baskerville Old Face" w:eastAsia="Times New Roman" w:hAnsi="Baskerville Old Face"/>
          <w:sz w:val="24"/>
          <w:szCs w:val="24"/>
        </w:rPr>
        <w:t xml:space="preserve"> 10.100 billion collected in 2023.</w:t>
      </w:r>
    </w:p>
    <w:p w14:paraId="57980FF1" w14:textId="77777777"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 xml:space="preserve">Guided by the 2023–2027 Strategic Plan, the Authority has continued to </w:t>
      </w:r>
      <w:proofErr w:type="spellStart"/>
      <w:r w:rsidRPr="00BD384B">
        <w:rPr>
          <w:rFonts w:ascii="Baskerville Old Face" w:eastAsia="Times New Roman" w:hAnsi="Baskerville Old Face"/>
          <w:sz w:val="24"/>
          <w:szCs w:val="24"/>
        </w:rPr>
        <w:t>modernise</w:t>
      </w:r>
      <w:proofErr w:type="spellEnd"/>
      <w:r w:rsidRPr="00BD384B">
        <w:rPr>
          <w:rFonts w:ascii="Baskerville Old Face" w:eastAsia="Times New Roman" w:hAnsi="Baskerville Old Face"/>
          <w:sz w:val="24"/>
          <w:szCs w:val="24"/>
        </w:rPr>
        <w:t xml:space="preserve"> its operations by expanding the use of integrated digital systems, automating key processes, and leveraging data analytics to improve compliance and service delivery. We have also strengthened collaboration with key stakeholders to promote a culture of integrity, cooperation, and continuous improvement.</w:t>
      </w:r>
    </w:p>
    <w:p w14:paraId="7FA86A3D" w14:textId="04B60E90"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 xml:space="preserve">Despite these achievements, the year was not without its challenges. </w:t>
      </w:r>
      <w:r w:rsidR="00BB7179">
        <w:rPr>
          <w:rFonts w:ascii="Baskerville Old Face" w:eastAsia="Times New Roman" w:hAnsi="Baskerville Old Face"/>
          <w:sz w:val="24"/>
          <w:szCs w:val="24"/>
        </w:rPr>
        <w:t>N</w:t>
      </w:r>
      <w:r w:rsidRPr="00BD384B">
        <w:rPr>
          <w:rFonts w:ascii="Baskerville Old Face" w:eastAsia="Times New Roman" w:hAnsi="Baskerville Old Face"/>
          <w:sz w:val="24"/>
          <w:szCs w:val="24"/>
        </w:rPr>
        <w:t xml:space="preserve">on-operational status of major mining companies and low compliance by State-Owned Enterprises affected our ability to </w:t>
      </w:r>
      <w:proofErr w:type="spellStart"/>
      <w:r w:rsidRPr="00BD384B">
        <w:rPr>
          <w:rFonts w:ascii="Baskerville Old Face" w:eastAsia="Times New Roman" w:hAnsi="Baskerville Old Face"/>
          <w:sz w:val="24"/>
          <w:szCs w:val="24"/>
        </w:rPr>
        <w:t>mobilise</w:t>
      </w:r>
      <w:proofErr w:type="spellEnd"/>
      <w:r w:rsidRPr="00BD384B">
        <w:rPr>
          <w:rFonts w:ascii="Baskerville Old Face" w:eastAsia="Times New Roman" w:hAnsi="Baskerville Old Face"/>
          <w:sz w:val="24"/>
          <w:szCs w:val="24"/>
        </w:rPr>
        <w:t xml:space="preserve"> additional revenue. Broader economic pressures, including high inflation and currency depreciation, further impacted government finances. Nonetheless, the dedication and resilience of our staff enabled us to meet these challenges and stay focused on our goals.</w:t>
      </w:r>
    </w:p>
    <w:p w14:paraId="7B009041" w14:textId="77777777"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Looking ahead, the NRA will build on the progress made in 202</w:t>
      </w:r>
      <w:r w:rsidRPr="008D327A">
        <w:rPr>
          <w:rFonts w:ascii="Baskerville Old Face" w:eastAsia="Times New Roman" w:hAnsi="Baskerville Old Face"/>
          <w:sz w:val="24"/>
          <w:szCs w:val="24"/>
        </w:rPr>
        <w:t>4</w:t>
      </w:r>
      <w:r w:rsidRPr="00BD384B">
        <w:rPr>
          <w:rFonts w:ascii="Baskerville Old Face" w:eastAsia="Times New Roman" w:hAnsi="Baskerville Old Face"/>
          <w:sz w:val="24"/>
          <w:szCs w:val="24"/>
        </w:rPr>
        <w:t xml:space="preserve"> to further enhance revenue mobilisation, improve taxpayer services, and support national development.</w:t>
      </w:r>
    </w:p>
    <w:p w14:paraId="5FAB159B" w14:textId="5788293C" w:rsidR="00270B00" w:rsidRPr="00BD384B" w:rsidRDefault="00270B00" w:rsidP="00270B00">
      <w:pPr>
        <w:spacing w:before="100" w:beforeAutospacing="1" w:after="100" w:afterAutospacing="1" w:line="240" w:lineRule="auto"/>
        <w:jc w:val="both"/>
        <w:rPr>
          <w:rFonts w:ascii="Baskerville Old Face" w:eastAsia="Times New Roman" w:hAnsi="Baskerville Old Face"/>
          <w:sz w:val="24"/>
          <w:szCs w:val="24"/>
        </w:rPr>
      </w:pPr>
      <w:r w:rsidRPr="00BD384B">
        <w:rPr>
          <w:rFonts w:ascii="Baskerville Old Face" w:eastAsia="Times New Roman" w:hAnsi="Baskerville Old Face"/>
          <w:sz w:val="24"/>
          <w:szCs w:val="24"/>
        </w:rPr>
        <w:t xml:space="preserve">I wish to express my sincere appreciation to the </w:t>
      </w:r>
      <w:r w:rsidRPr="008D327A">
        <w:rPr>
          <w:rFonts w:ascii="Baskerville Old Face" w:eastAsia="Times New Roman" w:hAnsi="Baskerville Old Face"/>
          <w:sz w:val="24"/>
          <w:szCs w:val="24"/>
        </w:rPr>
        <w:t>Ministry of Finance, the NRA Board of Directors, Senior Management Team</w:t>
      </w:r>
      <w:r w:rsidR="00452FDA">
        <w:rPr>
          <w:rFonts w:ascii="Baskerville Old Face" w:eastAsia="Times New Roman" w:hAnsi="Baskerville Old Face"/>
          <w:sz w:val="24"/>
          <w:szCs w:val="24"/>
        </w:rPr>
        <w:t xml:space="preserve"> of the NRA</w:t>
      </w:r>
      <w:r w:rsidRPr="008D327A">
        <w:rPr>
          <w:rFonts w:ascii="Baskerville Old Face" w:eastAsia="Times New Roman" w:hAnsi="Baskerville Old Face"/>
          <w:sz w:val="24"/>
          <w:szCs w:val="24"/>
        </w:rPr>
        <w:t xml:space="preserve">, </w:t>
      </w:r>
      <w:r w:rsidR="00770598">
        <w:rPr>
          <w:rFonts w:ascii="Baskerville Old Face" w:eastAsia="Times New Roman" w:hAnsi="Baskerville Old Face"/>
          <w:sz w:val="24"/>
          <w:szCs w:val="24"/>
        </w:rPr>
        <w:t xml:space="preserve">the </w:t>
      </w:r>
      <w:r w:rsidRPr="00BD384B">
        <w:rPr>
          <w:rFonts w:ascii="Baskerville Old Face" w:eastAsia="Times New Roman" w:hAnsi="Baskerville Old Face"/>
          <w:sz w:val="24"/>
          <w:szCs w:val="24"/>
        </w:rPr>
        <w:t xml:space="preserve">hardworking staff of the NRA, our development partners, and all stakeholders for their continued support. </w:t>
      </w:r>
      <w:r w:rsidR="00B82B24">
        <w:rPr>
          <w:rFonts w:ascii="Baskerville Old Face" w:eastAsia="Times New Roman" w:hAnsi="Baskerville Old Face"/>
          <w:sz w:val="24"/>
          <w:szCs w:val="24"/>
        </w:rPr>
        <w:t>With one team and one vision</w:t>
      </w:r>
      <w:r w:rsidRPr="00BD384B">
        <w:rPr>
          <w:rFonts w:ascii="Baskerville Old Face" w:eastAsia="Times New Roman" w:hAnsi="Baskerville Old Face"/>
          <w:sz w:val="24"/>
          <w:szCs w:val="24"/>
        </w:rPr>
        <w:t>, we will continue to strengthen revenue administration and contribute to a more prosperous Sierra Leone.</w:t>
      </w:r>
    </w:p>
    <w:p w14:paraId="67BB9FCC" w14:textId="0BB37D09" w:rsidR="00770598" w:rsidRDefault="00270B00" w:rsidP="00270B00">
      <w:pPr>
        <w:spacing w:before="100" w:beforeAutospacing="1" w:after="100" w:afterAutospacing="1" w:line="240" w:lineRule="auto"/>
        <w:rPr>
          <w:rFonts w:ascii="Baskerville Old Face" w:eastAsia="Times New Roman" w:hAnsi="Baskerville Old Face"/>
          <w:i/>
          <w:iCs/>
          <w:sz w:val="24"/>
          <w:szCs w:val="24"/>
        </w:rPr>
      </w:pPr>
      <w:r w:rsidRPr="00BD384B">
        <w:rPr>
          <w:rFonts w:ascii="Baskerville Old Face" w:eastAsia="Times New Roman" w:hAnsi="Baskerville Old Face"/>
          <w:b/>
          <w:bCs/>
          <w:sz w:val="24"/>
          <w:szCs w:val="24"/>
        </w:rPr>
        <w:t>Sincerely,</w:t>
      </w:r>
      <w:r w:rsidRPr="00BD384B">
        <w:rPr>
          <w:rFonts w:ascii="Baskerville Old Face" w:eastAsia="Times New Roman" w:hAnsi="Baskerville Old Face"/>
          <w:sz w:val="24"/>
          <w:szCs w:val="24"/>
        </w:rPr>
        <w:br/>
      </w:r>
      <w:r w:rsidR="00770598">
        <w:rPr>
          <w:rFonts w:ascii="Baskerville Old Face" w:eastAsia="Times New Roman" w:hAnsi="Baskerville Old Face"/>
          <w:i/>
          <w:iCs/>
          <w:sz w:val="24"/>
          <w:szCs w:val="24"/>
        </w:rPr>
        <w:t xml:space="preserve">Mrs. Jeneba </w:t>
      </w:r>
      <w:r w:rsidR="00D26F79">
        <w:rPr>
          <w:rFonts w:ascii="Baskerville Old Face" w:eastAsia="Times New Roman" w:hAnsi="Baskerville Old Face"/>
          <w:i/>
          <w:iCs/>
          <w:sz w:val="24"/>
          <w:szCs w:val="24"/>
        </w:rPr>
        <w:t xml:space="preserve">J. </w:t>
      </w:r>
      <w:r w:rsidR="00770598">
        <w:rPr>
          <w:rFonts w:ascii="Baskerville Old Face" w:eastAsia="Times New Roman" w:hAnsi="Baskerville Old Face"/>
          <w:i/>
          <w:iCs/>
          <w:sz w:val="24"/>
          <w:szCs w:val="24"/>
        </w:rPr>
        <w:t>Bangura</w:t>
      </w:r>
    </w:p>
    <w:p w14:paraId="21ACCA73" w14:textId="77777777" w:rsidR="00770598" w:rsidRDefault="00770598" w:rsidP="00270B00">
      <w:pPr>
        <w:spacing w:before="100" w:beforeAutospacing="1" w:after="100" w:afterAutospacing="1" w:line="240" w:lineRule="auto"/>
        <w:rPr>
          <w:rFonts w:ascii="Baskerville Old Face" w:eastAsia="Times New Roman" w:hAnsi="Baskerville Old Face"/>
          <w:i/>
          <w:iCs/>
          <w:sz w:val="24"/>
          <w:szCs w:val="24"/>
        </w:rPr>
      </w:pPr>
    </w:p>
    <w:p w14:paraId="10F52195" w14:textId="7CDF6721" w:rsidR="005314DE" w:rsidRDefault="00270B00" w:rsidP="00770598">
      <w:pPr>
        <w:spacing w:before="100" w:beforeAutospacing="1" w:after="100" w:afterAutospacing="1" w:line="240" w:lineRule="auto"/>
        <w:rPr>
          <w:rFonts w:ascii="Baskerville Old Face" w:eastAsia="Times New Roman" w:hAnsi="Baskerville Old Face"/>
          <w:i/>
          <w:iCs/>
          <w:sz w:val="24"/>
          <w:szCs w:val="24"/>
        </w:rPr>
      </w:pPr>
      <w:r w:rsidRPr="00BD384B">
        <w:rPr>
          <w:rFonts w:ascii="Baskerville Old Face" w:eastAsia="Times New Roman" w:hAnsi="Baskerville Old Face"/>
          <w:i/>
          <w:iCs/>
          <w:sz w:val="24"/>
          <w:szCs w:val="24"/>
        </w:rPr>
        <w:t>Commissioner-General</w:t>
      </w:r>
      <w:r w:rsidRPr="00BD384B">
        <w:rPr>
          <w:rFonts w:ascii="Baskerville Old Face" w:eastAsia="Times New Roman" w:hAnsi="Baskerville Old Face"/>
          <w:sz w:val="24"/>
          <w:szCs w:val="24"/>
        </w:rPr>
        <w:br/>
      </w:r>
      <w:r w:rsidRPr="00BD384B">
        <w:rPr>
          <w:rFonts w:ascii="Baskerville Old Face" w:eastAsia="Times New Roman" w:hAnsi="Baskerville Old Face"/>
          <w:i/>
          <w:iCs/>
          <w:sz w:val="24"/>
          <w:szCs w:val="24"/>
        </w:rPr>
        <w:t>National Revenue Authority</w:t>
      </w:r>
    </w:p>
    <w:p w14:paraId="1896FAAF" w14:textId="6C2E3B69" w:rsidR="00874155" w:rsidRPr="00414ACD" w:rsidRDefault="00874155" w:rsidP="00414ACD">
      <w:pPr>
        <w:pStyle w:val="Heading1"/>
        <w:jc w:val="center"/>
        <w:rPr>
          <w:rFonts w:ascii="Baskerville Old Face" w:hAnsi="Baskerville Old Face"/>
          <w:b/>
          <w:bCs/>
        </w:rPr>
      </w:pPr>
      <w:bookmarkStart w:id="4" w:name="_Toc198043903"/>
      <w:r w:rsidRPr="00414ACD">
        <w:rPr>
          <w:rFonts w:ascii="Baskerville Old Face" w:hAnsi="Baskerville Old Face"/>
          <w:b/>
          <w:bCs/>
        </w:rPr>
        <w:lastRenderedPageBreak/>
        <w:t>EXECUTIVE SUMMARY</w:t>
      </w:r>
      <w:bookmarkEnd w:id="4"/>
    </w:p>
    <w:p w14:paraId="666F673C" w14:textId="77777777" w:rsidR="00874155" w:rsidRPr="00911AAF" w:rsidRDefault="00874155"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The 2024 Annual Report provides a comprehensive overview of the National Revenue Authority’s (NRA) operations, highlighting key achievements, revenue performance, compliance levels, challenges, and strategic priorities for the coming year. It is a valuable resource for policymakers, taxpayers, government partners, and the general public who seek to understand the Authority’s work in </w:t>
      </w:r>
      <w:proofErr w:type="spellStart"/>
      <w:r w:rsidRPr="00911AAF">
        <w:rPr>
          <w:rFonts w:ascii="Baskerville Old Face" w:eastAsia="Times New Roman" w:hAnsi="Baskerville Old Face"/>
          <w:sz w:val="24"/>
          <w:szCs w:val="24"/>
        </w:rPr>
        <w:t>mobilising</w:t>
      </w:r>
      <w:proofErr w:type="spellEnd"/>
      <w:r w:rsidRPr="00911AAF">
        <w:rPr>
          <w:rFonts w:ascii="Baskerville Old Face" w:eastAsia="Times New Roman" w:hAnsi="Baskerville Old Face"/>
          <w:sz w:val="24"/>
          <w:szCs w:val="24"/>
        </w:rPr>
        <w:t xml:space="preserve"> domestic resources and strengthening the tax system to support Sierra Leone’s development.</w:t>
      </w:r>
    </w:p>
    <w:p w14:paraId="6D1113A5" w14:textId="77777777" w:rsidR="00874155" w:rsidRPr="0079747F" w:rsidRDefault="00874155" w:rsidP="0079747F">
      <w:pPr>
        <w:jc w:val="both"/>
        <w:rPr>
          <w:rFonts w:ascii="Baskerville Old Face" w:hAnsi="Baskerville Old Face"/>
          <w:b/>
          <w:bCs/>
          <w:sz w:val="24"/>
          <w:szCs w:val="24"/>
        </w:rPr>
      </w:pPr>
      <w:r w:rsidRPr="0079747F">
        <w:rPr>
          <w:rFonts w:ascii="Baskerville Old Face" w:hAnsi="Baskerville Old Face"/>
          <w:b/>
          <w:bCs/>
          <w:sz w:val="24"/>
          <w:szCs w:val="24"/>
        </w:rPr>
        <w:t>Implementation of the 2024 Operational Plan</w:t>
      </w:r>
    </w:p>
    <w:p w14:paraId="432B9E99" w14:textId="77777777" w:rsidR="00874155" w:rsidRPr="00911AAF" w:rsidRDefault="00874155"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The NRA’s 2024 Operational Plan consisted of 234 activities under six strategic goals. By year-end:</w:t>
      </w:r>
    </w:p>
    <w:p w14:paraId="7B701E95" w14:textId="53258A8D" w:rsidR="00874155" w:rsidRPr="00911AAF" w:rsidRDefault="004D7082" w:rsidP="00931C1A">
      <w:pPr>
        <w:numPr>
          <w:ilvl w:val="0"/>
          <w:numId w:val="20"/>
        </w:numPr>
        <w:spacing w:before="100" w:beforeAutospacing="1" w:after="100" w:afterAutospacing="1" w:line="240" w:lineRule="auto"/>
        <w:jc w:val="both"/>
        <w:rPr>
          <w:rFonts w:ascii="Baskerville Old Face" w:eastAsia="Times New Roman" w:hAnsi="Baskerville Old Face"/>
          <w:sz w:val="24"/>
          <w:szCs w:val="24"/>
        </w:rPr>
      </w:pPr>
      <w:r>
        <w:rPr>
          <w:rFonts w:ascii="Baskerville Old Face" w:eastAsia="Times New Roman" w:hAnsi="Baskerville Old Face"/>
          <w:sz w:val="24"/>
          <w:szCs w:val="24"/>
        </w:rPr>
        <w:t>92</w:t>
      </w:r>
      <w:r w:rsidR="00874155" w:rsidRPr="00911AAF">
        <w:rPr>
          <w:rFonts w:ascii="Baskerville Old Face" w:eastAsia="Times New Roman" w:hAnsi="Baskerville Old Face"/>
          <w:sz w:val="24"/>
          <w:szCs w:val="24"/>
        </w:rPr>
        <w:t xml:space="preserve"> activities (</w:t>
      </w:r>
      <w:r>
        <w:rPr>
          <w:rFonts w:ascii="Baskerville Old Face" w:eastAsia="Times New Roman" w:hAnsi="Baskerville Old Face"/>
          <w:sz w:val="24"/>
          <w:szCs w:val="24"/>
        </w:rPr>
        <w:t>40</w:t>
      </w:r>
      <w:r w:rsidR="00874155" w:rsidRPr="00911AAF">
        <w:rPr>
          <w:rFonts w:ascii="Baskerville Old Face" w:eastAsia="Times New Roman" w:hAnsi="Baskerville Old Face"/>
          <w:sz w:val="24"/>
          <w:szCs w:val="24"/>
        </w:rPr>
        <w:t>%) were fully completed</w:t>
      </w:r>
    </w:p>
    <w:p w14:paraId="17523384" w14:textId="1ACF2DD7" w:rsidR="00874155" w:rsidRPr="00911AAF" w:rsidRDefault="00874155" w:rsidP="00931C1A">
      <w:pPr>
        <w:numPr>
          <w:ilvl w:val="0"/>
          <w:numId w:val="20"/>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8</w:t>
      </w:r>
      <w:r w:rsidR="001847A2">
        <w:rPr>
          <w:rFonts w:ascii="Baskerville Old Face" w:eastAsia="Times New Roman" w:hAnsi="Baskerville Old Face"/>
          <w:sz w:val="24"/>
          <w:szCs w:val="24"/>
        </w:rPr>
        <w:t>3</w:t>
      </w:r>
      <w:r w:rsidRPr="00911AAF">
        <w:rPr>
          <w:rFonts w:ascii="Baskerville Old Face" w:eastAsia="Times New Roman" w:hAnsi="Baskerville Old Face"/>
          <w:sz w:val="24"/>
          <w:szCs w:val="24"/>
        </w:rPr>
        <w:t xml:space="preserve"> activities (3</w:t>
      </w:r>
      <w:r w:rsidR="001847A2">
        <w:rPr>
          <w:rFonts w:ascii="Baskerville Old Face" w:eastAsia="Times New Roman" w:hAnsi="Baskerville Old Face"/>
          <w:sz w:val="24"/>
          <w:szCs w:val="24"/>
        </w:rPr>
        <w:t>6</w:t>
      </w:r>
      <w:r w:rsidRPr="00911AAF">
        <w:rPr>
          <w:rFonts w:ascii="Baskerville Old Face" w:eastAsia="Times New Roman" w:hAnsi="Baskerville Old Face"/>
          <w:sz w:val="24"/>
          <w:szCs w:val="24"/>
        </w:rPr>
        <w:t>%) were partially completed</w:t>
      </w:r>
    </w:p>
    <w:p w14:paraId="478F0C52" w14:textId="329E8037" w:rsidR="00874155" w:rsidRPr="00911AAF" w:rsidRDefault="00D95BDB" w:rsidP="00931C1A">
      <w:pPr>
        <w:numPr>
          <w:ilvl w:val="0"/>
          <w:numId w:val="20"/>
        </w:numPr>
        <w:spacing w:before="100" w:beforeAutospacing="1" w:after="100" w:afterAutospacing="1" w:line="240" w:lineRule="auto"/>
        <w:jc w:val="both"/>
        <w:rPr>
          <w:rFonts w:ascii="Baskerville Old Face" w:eastAsia="Times New Roman" w:hAnsi="Baskerville Old Face"/>
          <w:sz w:val="24"/>
          <w:szCs w:val="24"/>
        </w:rPr>
      </w:pPr>
      <w:r>
        <w:rPr>
          <w:rFonts w:ascii="Baskerville Old Face" w:eastAsia="Times New Roman" w:hAnsi="Baskerville Old Face"/>
          <w:sz w:val="24"/>
          <w:szCs w:val="24"/>
        </w:rPr>
        <w:t>56</w:t>
      </w:r>
      <w:r w:rsidR="00874155" w:rsidRPr="00911AAF">
        <w:rPr>
          <w:rFonts w:ascii="Baskerville Old Face" w:eastAsia="Times New Roman" w:hAnsi="Baskerville Old Face"/>
          <w:sz w:val="24"/>
          <w:szCs w:val="24"/>
        </w:rPr>
        <w:t xml:space="preserve"> activities (</w:t>
      </w:r>
      <w:r w:rsidR="001847A2">
        <w:rPr>
          <w:rFonts w:ascii="Baskerville Old Face" w:eastAsia="Times New Roman" w:hAnsi="Baskerville Old Face"/>
          <w:sz w:val="24"/>
          <w:szCs w:val="24"/>
        </w:rPr>
        <w:t>24</w:t>
      </w:r>
      <w:r w:rsidR="00874155" w:rsidRPr="00911AAF">
        <w:rPr>
          <w:rFonts w:ascii="Baskerville Old Face" w:eastAsia="Times New Roman" w:hAnsi="Baskerville Old Face"/>
          <w:sz w:val="24"/>
          <w:szCs w:val="24"/>
        </w:rPr>
        <w:t>%) were not implemented and have been carried over to 2025</w:t>
      </w:r>
    </w:p>
    <w:p w14:paraId="55D87690" w14:textId="08C71080" w:rsidR="00874155" w:rsidRPr="00911AAF" w:rsidRDefault="00874155"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Out of 53 Key Performance Indicators (KPIs), 24 were fully met, 16 saw notable progress, while 5 were not achieved. Both internal and external factors contributed to delays in implementation, underscoring the need for better coordination and improved resource mobilisation.</w:t>
      </w:r>
    </w:p>
    <w:p w14:paraId="2E30F7EA" w14:textId="77777777" w:rsidR="0079747F" w:rsidRPr="0079747F" w:rsidRDefault="0079747F" w:rsidP="0079747F">
      <w:pPr>
        <w:jc w:val="both"/>
        <w:rPr>
          <w:rFonts w:ascii="Baskerville Old Face" w:hAnsi="Baskerville Old Face"/>
          <w:b/>
          <w:bCs/>
          <w:sz w:val="24"/>
          <w:szCs w:val="24"/>
        </w:rPr>
      </w:pPr>
      <w:r w:rsidRPr="0079747F">
        <w:rPr>
          <w:rFonts w:ascii="Baskerville Old Face" w:hAnsi="Baskerville Old Face"/>
          <w:b/>
          <w:bCs/>
          <w:sz w:val="24"/>
          <w:szCs w:val="24"/>
        </w:rPr>
        <w:t>Revenue Performance</w:t>
      </w:r>
    </w:p>
    <w:p w14:paraId="27A38734" w14:textId="3D11A914"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Despite a slight shortfall in </w:t>
      </w:r>
      <w:r w:rsidR="00452FDA">
        <w:rPr>
          <w:rFonts w:ascii="Baskerville Old Face" w:eastAsia="Times New Roman" w:hAnsi="Baskerville Old Face"/>
          <w:sz w:val="24"/>
          <w:szCs w:val="24"/>
        </w:rPr>
        <w:t xml:space="preserve">meeting </w:t>
      </w:r>
      <w:r w:rsidRPr="00911AAF">
        <w:rPr>
          <w:rFonts w:ascii="Baskerville Old Face" w:eastAsia="Times New Roman" w:hAnsi="Baskerville Old Face"/>
          <w:sz w:val="24"/>
          <w:szCs w:val="24"/>
        </w:rPr>
        <w:t>the annual target, revenue collection in 2024 demonstrated strong growth:</w:t>
      </w:r>
    </w:p>
    <w:p w14:paraId="47869C66" w14:textId="77777777" w:rsidR="0079747F" w:rsidRPr="00911AAF" w:rsidRDefault="0079747F" w:rsidP="00931C1A">
      <w:pPr>
        <w:numPr>
          <w:ilvl w:val="0"/>
          <w:numId w:val="21"/>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Total domestic revenue collected amounted to </w:t>
      </w:r>
      <w:proofErr w:type="spellStart"/>
      <w:r w:rsidRPr="00911AAF">
        <w:rPr>
          <w:rFonts w:ascii="Baskerville Old Face" w:eastAsia="Times New Roman" w:hAnsi="Baskerville Old Face"/>
          <w:sz w:val="24"/>
          <w:szCs w:val="24"/>
        </w:rPr>
        <w:t>NLe</w:t>
      </w:r>
      <w:proofErr w:type="spellEnd"/>
      <w:r w:rsidRPr="00911AAF">
        <w:rPr>
          <w:rFonts w:ascii="Baskerville Old Face" w:eastAsia="Times New Roman" w:hAnsi="Baskerville Old Face"/>
          <w:sz w:val="24"/>
          <w:szCs w:val="24"/>
        </w:rPr>
        <w:t xml:space="preserve"> 14.560 billion, a 44.2% increase from the </w:t>
      </w:r>
      <w:proofErr w:type="spellStart"/>
      <w:r w:rsidRPr="00911AAF">
        <w:rPr>
          <w:rFonts w:ascii="Baskerville Old Face" w:eastAsia="Times New Roman" w:hAnsi="Baskerville Old Face"/>
          <w:sz w:val="24"/>
          <w:szCs w:val="24"/>
        </w:rPr>
        <w:t>NLe</w:t>
      </w:r>
      <w:proofErr w:type="spellEnd"/>
      <w:r w:rsidRPr="00911AAF">
        <w:rPr>
          <w:rFonts w:ascii="Baskerville Old Face" w:eastAsia="Times New Roman" w:hAnsi="Baskerville Old Face"/>
          <w:sz w:val="24"/>
          <w:szCs w:val="24"/>
        </w:rPr>
        <w:t xml:space="preserve"> 10.100 billion collected in 2023.</w:t>
      </w:r>
    </w:p>
    <w:p w14:paraId="122ACBFA" w14:textId="505FEF11" w:rsidR="0079747F" w:rsidRPr="00911AAF" w:rsidRDefault="0079747F" w:rsidP="00931C1A">
      <w:pPr>
        <w:numPr>
          <w:ilvl w:val="0"/>
          <w:numId w:val="21"/>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This </w:t>
      </w:r>
      <w:r w:rsidR="00A52E57">
        <w:rPr>
          <w:rFonts w:ascii="Baskerville Old Face" w:eastAsia="Times New Roman" w:hAnsi="Baskerville Old Face"/>
          <w:sz w:val="24"/>
          <w:szCs w:val="24"/>
        </w:rPr>
        <w:t>collection was broad</w:t>
      </w:r>
      <w:r w:rsidR="009634D6">
        <w:rPr>
          <w:rFonts w:ascii="Baskerville Old Face" w:eastAsia="Times New Roman" w:hAnsi="Baskerville Old Face"/>
          <w:sz w:val="24"/>
          <w:szCs w:val="24"/>
        </w:rPr>
        <w:t xml:space="preserve">ly on target as it only fell short by 0.9% of the </w:t>
      </w:r>
      <w:r w:rsidRPr="00911AAF">
        <w:rPr>
          <w:rFonts w:ascii="Baskerville Old Face" w:eastAsia="Times New Roman" w:hAnsi="Baskerville Old Face"/>
          <w:sz w:val="24"/>
          <w:szCs w:val="24"/>
        </w:rPr>
        <w:t xml:space="preserve">revised annual target of </w:t>
      </w:r>
      <w:proofErr w:type="spellStart"/>
      <w:r w:rsidRPr="00911AAF">
        <w:rPr>
          <w:rFonts w:ascii="Baskerville Old Face" w:eastAsia="Times New Roman" w:hAnsi="Baskerville Old Face"/>
          <w:sz w:val="24"/>
          <w:szCs w:val="24"/>
        </w:rPr>
        <w:t>NLe</w:t>
      </w:r>
      <w:proofErr w:type="spellEnd"/>
      <w:r w:rsidRPr="00911AAF">
        <w:rPr>
          <w:rFonts w:ascii="Baskerville Old Face" w:eastAsia="Times New Roman" w:hAnsi="Baskerville Old Face"/>
          <w:sz w:val="24"/>
          <w:szCs w:val="24"/>
        </w:rPr>
        <w:t xml:space="preserve"> 14.690 billion</w:t>
      </w:r>
      <w:r w:rsidR="003469DF">
        <w:rPr>
          <w:rFonts w:ascii="Baskerville Old Face" w:eastAsia="Times New Roman" w:hAnsi="Baskerville Old Face"/>
          <w:sz w:val="24"/>
          <w:szCs w:val="24"/>
        </w:rPr>
        <w:t>.</w:t>
      </w:r>
      <w:r w:rsidRPr="00911AAF">
        <w:rPr>
          <w:rFonts w:ascii="Baskerville Old Face" w:eastAsia="Times New Roman" w:hAnsi="Baskerville Old Face"/>
          <w:sz w:val="24"/>
          <w:szCs w:val="24"/>
        </w:rPr>
        <w:t xml:space="preserve"> </w:t>
      </w:r>
    </w:p>
    <w:p w14:paraId="0EDFDDE9" w14:textId="77777777" w:rsidR="0079747F" w:rsidRPr="00911AAF" w:rsidRDefault="0079747F" w:rsidP="00931C1A">
      <w:pPr>
        <w:numPr>
          <w:ilvl w:val="0"/>
          <w:numId w:val="21"/>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Key gains were recorded in petroleum excise duties, income tax, and non-tax revenue.</w:t>
      </w:r>
    </w:p>
    <w:p w14:paraId="3D50EDF0" w14:textId="77777777" w:rsidR="0079747F" w:rsidRPr="00911AAF" w:rsidRDefault="0079747F" w:rsidP="00931C1A">
      <w:pPr>
        <w:numPr>
          <w:ilvl w:val="0"/>
          <w:numId w:val="21"/>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Duty waivers rose by 22.6% to </w:t>
      </w:r>
      <w:proofErr w:type="spellStart"/>
      <w:r w:rsidRPr="00911AAF">
        <w:rPr>
          <w:rFonts w:ascii="Baskerville Old Face" w:eastAsia="Times New Roman" w:hAnsi="Baskerville Old Face"/>
          <w:sz w:val="24"/>
          <w:szCs w:val="24"/>
        </w:rPr>
        <w:t>NLe</w:t>
      </w:r>
      <w:proofErr w:type="spellEnd"/>
      <w:r w:rsidRPr="00911AAF">
        <w:rPr>
          <w:rFonts w:ascii="Baskerville Old Face" w:eastAsia="Times New Roman" w:hAnsi="Baskerville Old Face"/>
          <w:sz w:val="24"/>
          <w:szCs w:val="24"/>
        </w:rPr>
        <w:t xml:space="preserve"> 1.294 billion, reducing the taxable base and revenue potential.</w:t>
      </w:r>
    </w:p>
    <w:p w14:paraId="245FD75E" w14:textId="77777777" w:rsidR="0079747F" w:rsidRPr="0079747F" w:rsidRDefault="0079747F" w:rsidP="0079747F">
      <w:pPr>
        <w:jc w:val="both"/>
        <w:rPr>
          <w:rFonts w:ascii="Baskerville Old Face" w:hAnsi="Baskerville Old Face"/>
          <w:b/>
          <w:bCs/>
          <w:sz w:val="24"/>
          <w:szCs w:val="24"/>
        </w:rPr>
      </w:pPr>
      <w:r w:rsidRPr="0079747F">
        <w:rPr>
          <w:rFonts w:ascii="Baskerville Old Face" w:hAnsi="Baskerville Old Face"/>
          <w:b/>
          <w:bCs/>
          <w:sz w:val="24"/>
          <w:szCs w:val="24"/>
        </w:rPr>
        <w:t>Tax Compliance</w:t>
      </w:r>
    </w:p>
    <w:p w14:paraId="0BD5FAE2" w14:textId="77777777"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Improving taxpayer compliance remains a core focus. Filing compliance improved in several tax offices:</w:t>
      </w:r>
    </w:p>
    <w:p w14:paraId="2B065963" w14:textId="77777777" w:rsidR="0079747F" w:rsidRPr="00911AAF" w:rsidRDefault="0079747F" w:rsidP="00931C1A">
      <w:pPr>
        <w:numPr>
          <w:ilvl w:val="0"/>
          <w:numId w:val="22"/>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The Large Taxpayers Office increased compliance from 79.3% (2023) to 83.3% (2024).</w:t>
      </w:r>
    </w:p>
    <w:p w14:paraId="2DA00807" w14:textId="77777777" w:rsidR="0079747F" w:rsidRPr="00911AAF" w:rsidRDefault="0079747F" w:rsidP="00931C1A">
      <w:pPr>
        <w:numPr>
          <w:ilvl w:val="0"/>
          <w:numId w:val="22"/>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Medium Taxpayers Office compliance rose from 54.6% to 66.2%.</w:t>
      </w:r>
    </w:p>
    <w:p w14:paraId="6F60BEF2" w14:textId="77777777" w:rsidR="0079747F" w:rsidRPr="00911AAF" w:rsidRDefault="0079747F" w:rsidP="00931C1A">
      <w:pPr>
        <w:numPr>
          <w:ilvl w:val="0"/>
          <w:numId w:val="22"/>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Corporate and Personal Income Taxes recorded average compliance rates of 79.8% and 78.2%, respectively.</w:t>
      </w:r>
    </w:p>
    <w:p w14:paraId="6D8A31E9" w14:textId="77777777" w:rsidR="0079747F" w:rsidRPr="00911AAF" w:rsidRDefault="0079747F" w:rsidP="00931C1A">
      <w:pPr>
        <w:numPr>
          <w:ilvl w:val="0"/>
          <w:numId w:val="22"/>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PAYE averaged 67.6%, while Withholding Tax (WHT) lagged at 34.1%, highlighting the need for targeted enforcement.</w:t>
      </w:r>
    </w:p>
    <w:p w14:paraId="5BCFC8F3" w14:textId="77777777" w:rsidR="0079747F" w:rsidRPr="0079747F" w:rsidRDefault="0079747F" w:rsidP="0079747F">
      <w:pPr>
        <w:jc w:val="both"/>
        <w:rPr>
          <w:rFonts w:ascii="Baskerville Old Face" w:hAnsi="Baskerville Old Face"/>
          <w:b/>
          <w:bCs/>
          <w:sz w:val="24"/>
          <w:szCs w:val="24"/>
        </w:rPr>
      </w:pPr>
      <w:r w:rsidRPr="0079747F">
        <w:rPr>
          <w:rFonts w:ascii="Baskerville Old Face" w:hAnsi="Baskerville Old Face"/>
          <w:b/>
          <w:bCs/>
          <w:sz w:val="24"/>
          <w:szCs w:val="24"/>
        </w:rPr>
        <w:lastRenderedPageBreak/>
        <w:t>ICT and Systems Enhancements</w:t>
      </w:r>
    </w:p>
    <w:p w14:paraId="4D5CEE37" w14:textId="77777777"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The NRA continued to improve its digital infrastructure:</w:t>
      </w:r>
    </w:p>
    <w:p w14:paraId="012B88F4" w14:textId="77777777" w:rsidR="0079747F" w:rsidRPr="00911AAF" w:rsidRDefault="0079747F"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Implemented the 2022 HS Tariff in ASYCUDA World.</w:t>
      </w:r>
    </w:p>
    <w:p w14:paraId="7E31AB5D" w14:textId="77777777" w:rsidR="0079747F" w:rsidRPr="00911AAF" w:rsidRDefault="0079747F"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Integrated mobile payment applications and configured tax systems in line with the Finance Acts of 2023 and 2024.</w:t>
      </w:r>
    </w:p>
    <w:p w14:paraId="52880DDD" w14:textId="77777777" w:rsidR="0079747F" w:rsidRPr="00911AAF" w:rsidRDefault="0079747F"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Developed a new NRA website and configured the hosting server.</w:t>
      </w:r>
    </w:p>
    <w:p w14:paraId="4888BF10" w14:textId="77777777" w:rsidR="0079747F" w:rsidRDefault="0079747F"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proofErr w:type="spellStart"/>
      <w:r w:rsidRPr="00911AAF">
        <w:rPr>
          <w:rFonts w:ascii="Baskerville Old Face" w:eastAsia="Times New Roman" w:hAnsi="Baskerville Old Face"/>
          <w:sz w:val="24"/>
          <w:szCs w:val="24"/>
        </w:rPr>
        <w:t>Finalised</w:t>
      </w:r>
      <w:proofErr w:type="spellEnd"/>
      <w:r w:rsidRPr="00911AAF">
        <w:rPr>
          <w:rFonts w:ascii="Baskerville Old Face" w:eastAsia="Times New Roman" w:hAnsi="Baskerville Old Face"/>
          <w:sz w:val="24"/>
          <w:szCs w:val="24"/>
        </w:rPr>
        <w:t xml:space="preserve"> a new financial reconciliation system and reviewed ITAS–Bank integration across all commercial banks.</w:t>
      </w:r>
    </w:p>
    <w:p w14:paraId="02064FCC" w14:textId="077FFD0A" w:rsidR="0025365A" w:rsidRDefault="006511FF"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r>
        <w:rPr>
          <w:rFonts w:ascii="Baskerville Old Face" w:eastAsia="Times New Roman" w:hAnsi="Baskerville Old Face"/>
          <w:sz w:val="24"/>
          <w:szCs w:val="24"/>
        </w:rPr>
        <w:t xml:space="preserve">Implemented Fuel Marking scheme and Product tracing </w:t>
      </w:r>
      <w:r w:rsidR="00546CDA">
        <w:rPr>
          <w:rFonts w:ascii="Baskerville Old Face" w:eastAsia="Times New Roman" w:hAnsi="Baskerville Old Face"/>
          <w:sz w:val="24"/>
          <w:szCs w:val="24"/>
        </w:rPr>
        <w:t>system to prevent smuggling</w:t>
      </w:r>
      <w:r w:rsidR="00926845">
        <w:rPr>
          <w:rFonts w:ascii="Baskerville Old Face" w:eastAsia="Times New Roman" w:hAnsi="Baskerville Old Face"/>
          <w:sz w:val="24"/>
          <w:szCs w:val="24"/>
        </w:rPr>
        <w:t xml:space="preserve"> of fuel of exercisable goods respectively.</w:t>
      </w:r>
    </w:p>
    <w:p w14:paraId="370F0BD5" w14:textId="6CED7AA4" w:rsidR="008F4558" w:rsidRPr="00911AAF" w:rsidRDefault="008F4558" w:rsidP="00931C1A">
      <w:pPr>
        <w:numPr>
          <w:ilvl w:val="0"/>
          <w:numId w:val="23"/>
        </w:numPr>
        <w:spacing w:before="100" w:beforeAutospacing="1" w:after="100" w:afterAutospacing="1" w:line="240" w:lineRule="auto"/>
        <w:jc w:val="both"/>
        <w:rPr>
          <w:rFonts w:ascii="Baskerville Old Face" w:eastAsia="Times New Roman" w:hAnsi="Baskerville Old Face"/>
          <w:sz w:val="24"/>
          <w:szCs w:val="24"/>
        </w:rPr>
      </w:pPr>
      <w:r>
        <w:rPr>
          <w:rFonts w:ascii="Baskerville Old Face" w:eastAsia="Times New Roman" w:hAnsi="Baskerville Old Face"/>
          <w:sz w:val="24"/>
          <w:szCs w:val="24"/>
        </w:rPr>
        <w:t xml:space="preserve">Automated the vehicle circulation levy collection and </w:t>
      </w:r>
      <w:r w:rsidR="00B85B57">
        <w:rPr>
          <w:rFonts w:ascii="Baskerville Old Face" w:eastAsia="Times New Roman" w:hAnsi="Baskerville Old Face"/>
          <w:sz w:val="24"/>
          <w:szCs w:val="24"/>
        </w:rPr>
        <w:t>payment</w:t>
      </w:r>
      <w:r w:rsidR="008062D4">
        <w:rPr>
          <w:rFonts w:ascii="Baskerville Old Face" w:eastAsia="Times New Roman" w:hAnsi="Baskerville Old Face"/>
          <w:sz w:val="24"/>
          <w:szCs w:val="24"/>
        </w:rPr>
        <w:t xml:space="preserve"> of income tax by commercial vehicle operators.</w:t>
      </w:r>
    </w:p>
    <w:p w14:paraId="6A2714E4" w14:textId="77777777" w:rsidR="0079747F" w:rsidRPr="0079747F" w:rsidRDefault="0079747F" w:rsidP="0079747F">
      <w:pPr>
        <w:jc w:val="both"/>
        <w:rPr>
          <w:rFonts w:ascii="Baskerville Old Face" w:hAnsi="Baskerville Old Face"/>
          <w:b/>
          <w:bCs/>
          <w:sz w:val="24"/>
          <w:szCs w:val="24"/>
        </w:rPr>
      </w:pPr>
      <w:r w:rsidRPr="0079747F">
        <w:rPr>
          <w:rFonts w:ascii="Baskerville Old Face" w:hAnsi="Baskerville Old Face"/>
          <w:b/>
          <w:bCs/>
          <w:sz w:val="24"/>
          <w:szCs w:val="24"/>
        </w:rPr>
        <w:t>Key Challenges in 2024</w:t>
      </w:r>
    </w:p>
    <w:p w14:paraId="7859595F" w14:textId="77777777"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Several issues limited the Authority’s ability to meet revenue targets:</w:t>
      </w:r>
    </w:p>
    <w:p w14:paraId="16C69CF5" w14:textId="77777777" w:rsidR="0079747F" w:rsidRPr="00911AAF" w:rsidRDefault="0079747F"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Increase in tax and customs exemptions reduced the tax base.</w:t>
      </w:r>
    </w:p>
    <w:p w14:paraId="5C8017D4" w14:textId="77777777" w:rsidR="0079747F" w:rsidRPr="00911AAF" w:rsidRDefault="0079747F"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Falling global prices for minerals, especially diamonds, impacted revenue from the extractive sector.</w:t>
      </w:r>
    </w:p>
    <w:p w14:paraId="391EFC07" w14:textId="310A6614" w:rsidR="0079747F" w:rsidRPr="00911AAF" w:rsidRDefault="0079747F"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Non-compliance by key State-Owned Enterprises (SOEs)</w:t>
      </w:r>
      <w:r w:rsidR="00FF771D">
        <w:rPr>
          <w:rFonts w:ascii="Baskerville Old Face" w:eastAsia="Times New Roman" w:hAnsi="Baskerville Old Face"/>
          <w:sz w:val="24"/>
          <w:szCs w:val="24"/>
        </w:rPr>
        <w:t xml:space="preserve"> </w:t>
      </w:r>
      <w:r w:rsidRPr="00911AAF">
        <w:rPr>
          <w:rFonts w:ascii="Baskerville Old Face" w:eastAsia="Times New Roman" w:hAnsi="Baskerville Old Face"/>
          <w:sz w:val="24"/>
          <w:szCs w:val="24"/>
        </w:rPr>
        <w:t>affected expected collections.</w:t>
      </w:r>
    </w:p>
    <w:p w14:paraId="74B7747A" w14:textId="77777777" w:rsidR="0079747F" w:rsidRPr="00911AAF" w:rsidRDefault="0079747F"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Several mining companies remained non-operational or underperformed.</w:t>
      </w:r>
    </w:p>
    <w:p w14:paraId="5EE0C256" w14:textId="77777777" w:rsidR="008E7E09" w:rsidRDefault="0079747F"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Delays in reversing </w:t>
      </w:r>
      <w:r w:rsidR="00C06A7B">
        <w:rPr>
          <w:rFonts w:ascii="Baskerville Old Face" w:eastAsia="Times New Roman" w:hAnsi="Baskerville Old Face"/>
          <w:sz w:val="24"/>
          <w:szCs w:val="24"/>
        </w:rPr>
        <w:t xml:space="preserve">Sierra Rutile Limited </w:t>
      </w:r>
      <w:r w:rsidRPr="00911AAF">
        <w:rPr>
          <w:rFonts w:ascii="Baskerville Old Face" w:eastAsia="Times New Roman" w:hAnsi="Baskerville Old Face"/>
          <w:sz w:val="24"/>
          <w:szCs w:val="24"/>
        </w:rPr>
        <w:t>concession agreements</w:t>
      </w:r>
      <w:r w:rsidR="00C06A7B">
        <w:rPr>
          <w:rFonts w:ascii="Baskerville Old Face" w:eastAsia="Times New Roman" w:hAnsi="Baskerville Old Face"/>
          <w:sz w:val="24"/>
          <w:szCs w:val="24"/>
        </w:rPr>
        <w:t>,</w:t>
      </w:r>
      <w:r w:rsidRPr="00911AAF">
        <w:rPr>
          <w:rFonts w:ascii="Baskerville Old Face" w:eastAsia="Times New Roman" w:hAnsi="Baskerville Old Face"/>
          <w:sz w:val="24"/>
          <w:szCs w:val="24"/>
        </w:rPr>
        <w:t xml:space="preserve"> and </w:t>
      </w:r>
    </w:p>
    <w:p w14:paraId="3CFC67A7" w14:textId="00D8D321" w:rsidR="0079747F" w:rsidRPr="00911AAF" w:rsidRDefault="00EF5F17" w:rsidP="00931C1A">
      <w:pPr>
        <w:numPr>
          <w:ilvl w:val="0"/>
          <w:numId w:val="24"/>
        </w:numPr>
        <w:spacing w:before="100" w:beforeAutospacing="1" w:after="100" w:afterAutospacing="1" w:line="240" w:lineRule="auto"/>
        <w:jc w:val="both"/>
        <w:rPr>
          <w:rFonts w:ascii="Baskerville Old Face" w:eastAsia="Times New Roman" w:hAnsi="Baskerville Old Face"/>
          <w:sz w:val="24"/>
          <w:szCs w:val="24"/>
        </w:rPr>
      </w:pPr>
      <w:r>
        <w:rPr>
          <w:rFonts w:ascii="Baskerville Old Face" w:eastAsia="Times New Roman" w:hAnsi="Baskerville Old Face"/>
          <w:sz w:val="24"/>
          <w:szCs w:val="24"/>
        </w:rPr>
        <w:t xml:space="preserve">Delay in </w:t>
      </w:r>
      <w:r w:rsidR="0079747F" w:rsidRPr="00911AAF">
        <w:rPr>
          <w:rFonts w:ascii="Baskerville Old Face" w:eastAsia="Times New Roman" w:hAnsi="Baskerville Old Face"/>
          <w:sz w:val="24"/>
          <w:szCs w:val="24"/>
        </w:rPr>
        <w:t>enforcing compliance hindered potential revenue gains.</w:t>
      </w:r>
    </w:p>
    <w:p w14:paraId="0BC8D957" w14:textId="77777777" w:rsidR="0079747F" w:rsidRPr="0079747F" w:rsidRDefault="0079747F" w:rsidP="0079747F">
      <w:pPr>
        <w:jc w:val="both"/>
        <w:rPr>
          <w:rFonts w:ascii="Baskerville Old Face" w:hAnsi="Baskerville Old Face"/>
          <w:b/>
          <w:bCs/>
          <w:sz w:val="24"/>
          <w:szCs w:val="24"/>
        </w:rPr>
      </w:pPr>
      <w:r w:rsidRPr="0079747F">
        <w:rPr>
          <w:rFonts w:ascii="Baskerville Old Face" w:hAnsi="Baskerville Old Face"/>
          <w:b/>
          <w:bCs/>
          <w:sz w:val="24"/>
          <w:szCs w:val="24"/>
        </w:rPr>
        <w:t>2025 Revenue and Compliance Outlook</w:t>
      </w:r>
    </w:p>
    <w:p w14:paraId="3346A377" w14:textId="7E447223"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The domestic revenue target for 2025 is set at </w:t>
      </w:r>
      <w:proofErr w:type="spellStart"/>
      <w:r w:rsidRPr="00911AAF">
        <w:rPr>
          <w:rFonts w:ascii="Baskerville Old Face" w:eastAsia="Times New Roman" w:hAnsi="Baskerville Old Face"/>
          <w:sz w:val="24"/>
          <w:szCs w:val="24"/>
        </w:rPr>
        <w:t>NLe</w:t>
      </w:r>
      <w:proofErr w:type="spellEnd"/>
      <w:r w:rsidRPr="00911AAF">
        <w:rPr>
          <w:rFonts w:ascii="Baskerville Old Face" w:eastAsia="Times New Roman" w:hAnsi="Baskerville Old Face"/>
          <w:sz w:val="24"/>
          <w:szCs w:val="24"/>
        </w:rPr>
        <w:t xml:space="preserve"> 18.9 billion, a 30% increase </w:t>
      </w:r>
      <w:r w:rsidR="00001032" w:rsidRPr="00001032">
        <w:rPr>
          <w:rFonts w:ascii="Baskerville Old Face" w:eastAsia="Times New Roman" w:hAnsi="Baskerville Old Face"/>
          <w:sz w:val="24"/>
          <w:szCs w:val="24"/>
        </w:rPr>
        <w:t>compared to the actual collection in</w:t>
      </w:r>
      <w:r w:rsidRPr="00911AAF">
        <w:rPr>
          <w:rFonts w:ascii="Baskerville Old Face" w:eastAsia="Times New Roman" w:hAnsi="Baskerville Old Face"/>
          <w:sz w:val="24"/>
          <w:szCs w:val="24"/>
        </w:rPr>
        <w:t xml:space="preserve"> 2024. To achieve this, the NRA will implement several reforms and strategic measures:</w:t>
      </w:r>
    </w:p>
    <w:p w14:paraId="37F9E34C" w14:textId="07A98D0D" w:rsidR="0079747F" w:rsidRPr="00001032" w:rsidRDefault="0079747F" w:rsidP="00001032">
      <w:pPr>
        <w:rPr>
          <w:rFonts w:ascii="Baskerville Old Face" w:hAnsi="Baskerville Old Face"/>
          <w:b/>
          <w:bCs/>
          <w:sz w:val="24"/>
          <w:szCs w:val="24"/>
        </w:rPr>
      </w:pPr>
      <w:r w:rsidRPr="00001032">
        <w:rPr>
          <w:rFonts w:ascii="Baskerville Old Face" w:hAnsi="Baskerville Old Face"/>
          <w:b/>
          <w:bCs/>
          <w:sz w:val="24"/>
          <w:szCs w:val="24"/>
        </w:rPr>
        <w:t>Key Revenue Measures</w:t>
      </w:r>
    </w:p>
    <w:p w14:paraId="0891B700" w14:textId="77777777" w:rsidR="0079747F" w:rsidRPr="00911AAF" w:rsidRDefault="0079747F" w:rsidP="00931C1A">
      <w:pPr>
        <w:numPr>
          <w:ilvl w:val="0"/>
          <w:numId w:val="25"/>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Broaden the Minimum Alternate Tax (MAT) to all sectors and enforce taxation of digital services.</w:t>
      </w:r>
    </w:p>
    <w:p w14:paraId="59262D0D" w14:textId="77777777" w:rsidR="0079747F" w:rsidRPr="00911AAF" w:rsidRDefault="0079747F" w:rsidP="00931C1A">
      <w:pPr>
        <w:numPr>
          <w:ilvl w:val="0"/>
          <w:numId w:val="25"/>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Enforce upfront GST collection from EDSA.</w:t>
      </w:r>
    </w:p>
    <w:p w14:paraId="289B3273" w14:textId="77777777" w:rsidR="0079747F" w:rsidRPr="00911AAF" w:rsidRDefault="0079747F" w:rsidP="00931C1A">
      <w:pPr>
        <w:numPr>
          <w:ilvl w:val="0"/>
          <w:numId w:val="25"/>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Introduce safe harbor pricing for iron ore exports starting February 2025.</w:t>
      </w:r>
    </w:p>
    <w:p w14:paraId="64EB40BD" w14:textId="77777777" w:rsidR="0079747F" w:rsidRPr="00911AAF" w:rsidRDefault="0079747F" w:rsidP="00931C1A">
      <w:pPr>
        <w:numPr>
          <w:ilvl w:val="0"/>
          <w:numId w:val="25"/>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Launch a Customs Revenue Taskforce and increase NRA presence at mining sites.</w:t>
      </w:r>
    </w:p>
    <w:p w14:paraId="301F8022" w14:textId="77777777" w:rsidR="0079747F" w:rsidRPr="00911AAF" w:rsidRDefault="0079747F" w:rsidP="00931C1A">
      <w:pPr>
        <w:numPr>
          <w:ilvl w:val="0"/>
          <w:numId w:val="25"/>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Collect arrears from key taxpayers and conclude pending audits.</w:t>
      </w:r>
    </w:p>
    <w:p w14:paraId="43835A4A" w14:textId="082B7EBB" w:rsidR="0079747F" w:rsidRPr="00911AAF" w:rsidRDefault="0079747F" w:rsidP="0079747F">
      <w:pPr>
        <w:spacing w:before="100" w:beforeAutospacing="1" w:after="100" w:afterAutospacing="1" w:line="240" w:lineRule="auto"/>
        <w:jc w:val="both"/>
        <w:outlineLvl w:val="3"/>
        <w:rPr>
          <w:rFonts w:ascii="Baskerville Old Face" w:eastAsia="Times New Roman" w:hAnsi="Baskerville Old Face"/>
          <w:b/>
          <w:bCs/>
          <w:sz w:val="24"/>
          <w:szCs w:val="24"/>
        </w:rPr>
      </w:pPr>
      <w:r w:rsidRPr="00911AAF">
        <w:rPr>
          <w:rFonts w:ascii="Baskerville Old Face" w:eastAsia="Times New Roman" w:hAnsi="Baskerville Old Face"/>
          <w:b/>
          <w:bCs/>
          <w:sz w:val="24"/>
          <w:szCs w:val="24"/>
        </w:rPr>
        <w:t>Compliance Improvement Plans</w:t>
      </w:r>
    </w:p>
    <w:p w14:paraId="212B9CBB"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Enforce new compliance provisions under the Finance Act 2025.</w:t>
      </w:r>
    </w:p>
    <w:p w14:paraId="21286F3A"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Use data analytics for risk-based audits.</w:t>
      </w:r>
    </w:p>
    <w:p w14:paraId="273FCDE0"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lastRenderedPageBreak/>
        <w:t>Develop specific compliance strategies for GST, large taxpayers, and high-net-worth individuals.</w:t>
      </w:r>
    </w:p>
    <w:p w14:paraId="55C9E0FE"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Expand taxpayer education and outreach programmes.</w:t>
      </w:r>
    </w:p>
    <w:p w14:paraId="3CC94937"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Establish regional taxpayer service centres and a dedicated tax court.</w:t>
      </w:r>
    </w:p>
    <w:p w14:paraId="110A8DC3" w14:textId="77777777" w:rsidR="0079747F" w:rsidRPr="00911AAF" w:rsidRDefault="0079747F" w:rsidP="00931C1A">
      <w:pPr>
        <w:numPr>
          <w:ilvl w:val="0"/>
          <w:numId w:val="26"/>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Undertake block registration of informal businesses in regional cities.</w:t>
      </w:r>
    </w:p>
    <w:p w14:paraId="5CED2FF4" w14:textId="0535A821" w:rsidR="0079747F" w:rsidRPr="00001032" w:rsidRDefault="0079747F" w:rsidP="00001032">
      <w:pPr>
        <w:rPr>
          <w:rFonts w:ascii="Baskerville Old Face" w:hAnsi="Baskerville Old Face"/>
          <w:b/>
          <w:bCs/>
          <w:sz w:val="24"/>
          <w:szCs w:val="24"/>
        </w:rPr>
      </w:pPr>
      <w:r w:rsidRPr="00001032">
        <w:rPr>
          <w:rFonts w:ascii="Baskerville Old Face" w:hAnsi="Baskerville Old Face"/>
          <w:b/>
          <w:bCs/>
          <w:sz w:val="24"/>
          <w:szCs w:val="24"/>
        </w:rPr>
        <w:t>Planned Reforms in Revenue Administration</w:t>
      </w:r>
    </w:p>
    <w:p w14:paraId="125593BD" w14:textId="12582C5F" w:rsidR="0079747F" w:rsidRPr="00911AAF" w:rsidRDefault="0079747F" w:rsidP="00931C1A">
      <w:pPr>
        <w:numPr>
          <w:ilvl w:val="0"/>
          <w:numId w:val="27"/>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Acquire </w:t>
      </w:r>
      <w:r w:rsidR="00CD66B6">
        <w:rPr>
          <w:rFonts w:ascii="Baskerville Old Face" w:eastAsia="Times New Roman" w:hAnsi="Baskerville Old Face"/>
          <w:sz w:val="24"/>
          <w:szCs w:val="24"/>
        </w:rPr>
        <w:t xml:space="preserve">more sophisticated and tested </w:t>
      </w:r>
      <w:r w:rsidR="002E3023">
        <w:rPr>
          <w:rFonts w:ascii="Baskerville Old Face" w:eastAsia="Times New Roman" w:hAnsi="Baskerville Old Face"/>
          <w:sz w:val="24"/>
          <w:szCs w:val="24"/>
        </w:rPr>
        <w:t>Electronic</w:t>
      </w:r>
      <w:r w:rsidR="00CD66B6">
        <w:rPr>
          <w:rFonts w:ascii="Baskerville Old Face" w:eastAsia="Times New Roman" w:hAnsi="Baskerville Old Face"/>
          <w:sz w:val="24"/>
          <w:szCs w:val="24"/>
        </w:rPr>
        <w:t xml:space="preserve"> Fiscal Devi</w:t>
      </w:r>
      <w:r w:rsidR="002E3023">
        <w:rPr>
          <w:rFonts w:ascii="Baskerville Old Face" w:eastAsia="Times New Roman" w:hAnsi="Baskerville Old Face"/>
          <w:sz w:val="24"/>
          <w:szCs w:val="24"/>
        </w:rPr>
        <w:t>ces</w:t>
      </w:r>
      <w:r w:rsidRPr="00911AAF">
        <w:rPr>
          <w:rFonts w:ascii="Baskerville Old Face" w:eastAsia="Times New Roman" w:hAnsi="Baskerville Old Face"/>
          <w:sz w:val="24"/>
          <w:szCs w:val="24"/>
        </w:rPr>
        <w:t xml:space="preserve"> to improve GST compliance.</w:t>
      </w:r>
    </w:p>
    <w:p w14:paraId="781162F1" w14:textId="77777777" w:rsidR="0079747F" w:rsidRPr="00911AAF" w:rsidRDefault="0079747F" w:rsidP="00931C1A">
      <w:pPr>
        <w:numPr>
          <w:ilvl w:val="0"/>
          <w:numId w:val="27"/>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Upgrade ASYCUDA to version 4.4 and automate all manual Customs processes.</w:t>
      </w:r>
    </w:p>
    <w:p w14:paraId="4E0DBAF9" w14:textId="77777777" w:rsidR="0079747F" w:rsidRPr="00911AAF" w:rsidRDefault="0079747F" w:rsidP="00931C1A">
      <w:pPr>
        <w:numPr>
          <w:ilvl w:val="0"/>
          <w:numId w:val="27"/>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Fully implement the Electronic Single Window and SIGMAT system for real-time tracking of cross-border trade.</w:t>
      </w:r>
    </w:p>
    <w:p w14:paraId="7FCAD35F" w14:textId="77777777" w:rsidR="0079747F" w:rsidRPr="00911AAF" w:rsidRDefault="0079747F" w:rsidP="00931C1A">
      <w:pPr>
        <w:numPr>
          <w:ilvl w:val="0"/>
          <w:numId w:val="27"/>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Phase out income tax concessions and strengthen enforcement of existing agreements.</w:t>
      </w:r>
    </w:p>
    <w:p w14:paraId="231BD973" w14:textId="40CC0DED" w:rsidR="0079747F" w:rsidRPr="00911AAF" w:rsidRDefault="0079747F" w:rsidP="00931C1A">
      <w:pPr>
        <w:numPr>
          <w:ilvl w:val="0"/>
          <w:numId w:val="27"/>
        </w:num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Expand data sources </w:t>
      </w:r>
      <w:r w:rsidR="00001032">
        <w:rPr>
          <w:rFonts w:ascii="Baskerville Old Face" w:eastAsia="Times New Roman" w:hAnsi="Baskerville Old Face"/>
          <w:sz w:val="24"/>
          <w:szCs w:val="24"/>
        </w:rPr>
        <w:t xml:space="preserve">and data warehouse </w:t>
      </w:r>
      <w:r w:rsidRPr="00911AAF">
        <w:rPr>
          <w:rFonts w:ascii="Baskerville Old Face" w:eastAsia="Times New Roman" w:hAnsi="Baskerville Old Face"/>
          <w:sz w:val="24"/>
          <w:szCs w:val="24"/>
        </w:rPr>
        <w:t xml:space="preserve">by integrating external platforms such as </w:t>
      </w:r>
      <w:r w:rsidR="00001032">
        <w:rPr>
          <w:rFonts w:ascii="Baskerville Old Face" w:eastAsia="Times New Roman" w:hAnsi="Baskerville Old Face"/>
          <w:sz w:val="24"/>
          <w:szCs w:val="24"/>
        </w:rPr>
        <w:t>Business Registration System</w:t>
      </w:r>
      <w:r w:rsidRPr="00911AAF">
        <w:rPr>
          <w:rFonts w:ascii="Baskerville Old Face" w:eastAsia="Times New Roman" w:hAnsi="Baskerville Old Face"/>
          <w:sz w:val="24"/>
          <w:szCs w:val="24"/>
        </w:rPr>
        <w:t xml:space="preserve">, </w:t>
      </w:r>
      <w:r w:rsidR="00001032" w:rsidRPr="00001032">
        <w:rPr>
          <w:rFonts w:ascii="Baskerville Old Face" w:eastAsia="Times New Roman" w:hAnsi="Baskerville Old Face"/>
          <w:sz w:val="24"/>
          <w:szCs w:val="24"/>
        </w:rPr>
        <w:t xml:space="preserve">E-procurement platforms, Land Information System, </w:t>
      </w:r>
      <w:r w:rsidRPr="00911AAF">
        <w:rPr>
          <w:rFonts w:ascii="Baskerville Old Face" w:eastAsia="Times New Roman" w:hAnsi="Baskerville Old Face"/>
          <w:sz w:val="24"/>
          <w:szCs w:val="24"/>
        </w:rPr>
        <w:t>IFMIS, and NASSIT.</w:t>
      </w:r>
    </w:p>
    <w:p w14:paraId="47A738AA" w14:textId="77777777" w:rsidR="0079747F" w:rsidRPr="00414ACD" w:rsidRDefault="0079747F" w:rsidP="00414ACD">
      <w:pPr>
        <w:rPr>
          <w:rFonts w:ascii="Baskerville Old Face" w:hAnsi="Baskerville Old Face"/>
          <w:b/>
          <w:bCs/>
          <w:sz w:val="24"/>
          <w:szCs w:val="24"/>
        </w:rPr>
      </w:pPr>
      <w:r w:rsidRPr="00414ACD">
        <w:rPr>
          <w:rFonts w:ascii="Baskerville Old Face" w:hAnsi="Baskerville Old Face"/>
          <w:b/>
          <w:bCs/>
          <w:sz w:val="24"/>
          <w:szCs w:val="24"/>
        </w:rPr>
        <w:t>Conclusion</w:t>
      </w:r>
    </w:p>
    <w:p w14:paraId="75359B2F" w14:textId="66732143"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 xml:space="preserve">The NRA remains focused on consolidating gains made in 2024 and pursuing a more ambitious reform agenda in 2025. By increasing revenue, promoting compliance, and </w:t>
      </w:r>
      <w:proofErr w:type="spellStart"/>
      <w:r w:rsidRPr="00911AAF">
        <w:rPr>
          <w:rFonts w:ascii="Baskerville Old Face" w:eastAsia="Times New Roman" w:hAnsi="Baskerville Old Face"/>
          <w:sz w:val="24"/>
          <w:szCs w:val="24"/>
        </w:rPr>
        <w:t>modernising</w:t>
      </w:r>
      <w:proofErr w:type="spellEnd"/>
      <w:r w:rsidRPr="00911AAF">
        <w:rPr>
          <w:rFonts w:ascii="Baskerville Old Face" w:eastAsia="Times New Roman" w:hAnsi="Baskerville Old Face"/>
          <w:sz w:val="24"/>
          <w:szCs w:val="24"/>
        </w:rPr>
        <w:t xml:space="preserve"> tax systems, the Authority aims to play a central role in strengthening Sierra Leone’s fiscal position and supporting national development.</w:t>
      </w:r>
    </w:p>
    <w:p w14:paraId="248F5A94" w14:textId="77777777" w:rsidR="0079747F" w:rsidRPr="00911AAF" w:rsidRDefault="0079747F" w:rsidP="0079747F">
      <w:pPr>
        <w:spacing w:before="100" w:beforeAutospacing="1" w:after="100" w:afterAutospacing="1" w:line="240" w:lineRule="auto"/>
        <w:jc w:val="both"/>
        <w:rPr>
          <w:rFonts w:ascii="Baskerville Old Face" w:eastAsia="Times New Roman" w:hAnsi="Baskerville Old Face"/>
          <w:sz w:val="24"/>
          <w:szCs w:val="24"/>
        </w:rPr>
      </w:pPr>
      <w:r w:rsidRPr="00911AAF">
        <w:rPr>
          <w:rFonts w:ascii="Baskerville Old Face" w:eastAsia="Times New Roman" w:hAnsi="Baskerville Old Face"/>
          <w:sz w:val="24"/>
          <w:szCs w:val="24"/>
        </w:rPr>
        <w:t>Through digital transformation, stronger partnerships, and a renewed focus on service delivery and transparency, the NRA is committed to building a fair, efficient, and resilient revenue administration system that empowers the country’s future.</w:t>
      </w:r>
    </w:p>
    <w:p w14:paraId="4AB52B07"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47C1471D"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5256C6F4"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28F789CC"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5A48C3AE"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26D726C4"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4087991B" w14:textId="77777777" w:rsidR="00874155" w:rsidRDefault="00874155" w:rsidP="00770598">
      <w:pPr>
        <w:spacing w:before="100" w:beforeAutospacing="1" w:after="100" w:afterAutospacing="1" w:line="240" w:lineRule="auto"/>
        <w:rPr>
          <w:rFonts w:ascii="Baskerville Old Face" w:eastAsia="Times New Roman" w:hAnsi="Baskerville Old Face"/>
          <w:i/>
          <w:iCs/>
          <w:sz w:val="24"/>
          <w:szCs w:val="24"/>
        </w:rPr>
      </w:pPr>
    </w:p>
    <w:p w14:paraId="49657BC0" w14:textId="77777777" w:rsidR="0081775E" w:rsidRDefault="0081775E" w:rsidP="00770598">
      <w:pPr>
        <w:spacing w:before="100" w:beforeAutospacing="1" w:after="100" w:afterAutospacing="1" w:line="240" w:lineRule="auto"/>
        <w:rPr>
          <w:rFonts w:ascii="Baskerville Old Face" w:eastAsia="Times New Roman" w:hAnsi="Baskerville Old Face"/>
          <w:i/>
          <w:iCs/>
          <w:sz w:val="24"/>
          <w:szCs w:val="24"/>
        </w:rPr>
      </w:pPr>
    </w:p>
    <w:p w14:paraId="79CB97D7" w14:textId="77777777" w:rsidR="0081775E" w:rsidRDefault="0081775E" w:rsidP="00770598">
      <w:pPr>
        <w:spacing w:before="100" w:beforeAutospacing="1" w:after="100" w:afterAutospacing="1" w:line="240" w:lineRule="auto"/>
        <w:rPr>
          <w:rFonts w:ascii="Baskerville Old Face" w:eastAsia="Times New Roman" w:hAnsi="Baskerville Old Face"/>
          <w:i/>
          <w:iCs/>
          <w:sz w:val="24"/>
          <w:szCs w:val="24"/>
        </w:rPr>
      </w:pPr>
    </w:p>
    <w:p w14:paraId="453CD74E" w14:textId="77777777" w:rsidR="00874155" w:rsidRPr="00770598" w:rsidRDefault="00874155" w:rsidP="00770598">
      <w:pPr>
        <w:spacing w:before="100" w:beforeAutospacing="1" w:after="100" w:afterAutospacing="1" w:line="240" w:lineRule="auto"/>
        <w:rPr>
          <w:rFonts w:ascii="Baskerville Old Face" w:eastAsia="Times New Roman" w:hAnsi="Baskerville Old Face"/>
          <w:sz w:val="24"/>
          <w:szCs w:val="24"/>
        </w:rPr>
      </w:pPr>
    </w:p>
    <w:p w14:paraId="23F02852" w14:textId="0C0D48C6" w:rsidR="00625BF5" w:rsidRPr="00520DD2" w:rsidRDefault="00625BF5" w:rsidP="00520DD2">
      <w:pPr>
        <w:pStyle w:val="Heading1"/>
        <w:jc w:val="center"/>
        <w:rPr>
          <w:rFonts w:ascii="Baskerville Old Face" w:hAnsi="Baskerville Old Face"/>
          <w:b/>
          <w:bCs/>
          <w:lang w:val="en-GB"/>
        </w:rPr>
      </w:pPr>
      <w:bookmarkStart w:id="5" w:name="_Toc198043904"/>
      <w:r w:rsidRPr="00DF6C11">
        <w:rPr>
          <w:rFonts w:ascii="Baskerville Old Face" w:hAnsi="Baskerville Old Face"/>
          <w:b/>
          <w:bCs/>
          <w:highlight w:val="yellow"/>
          <w:lang w:val="en-GB"/>
        </w:rPr>
        <w:t>CHAPTER ONE</w:t>
      </w:r>
      <w:bookmarkEnd w:id="5"/>
    </w:p>
    <w:p w14:paraId="4F479AD8" w14:textId="18C17A2A" w:rsidR="00625BF5" w:rsidRPr="00520DD2" w:rsidRDefault="00395E0D" w:rsidP="00520DD2">
      <w:pPr>
        <w:pStyle w:val="Heading1"/>
        <w:rPr>
          <w:rFonts w:ascii="Baskerville Old Face" w:hAnsi="Baskerville Old Face"/>
          <w:b/>
          <w:bCs/>
          <w:lang w:val="en-GB"/>
        </w:rPr>
      </w:pPr>
      <w:bookmarkStart w:id="6" w:name="_Toc198043905"/>
      <w:r w:rsidRPr="00520DD2">
        <w:rPr>
          <w:rFonts w:ascii="Baskerville Old Face" w:hAnsi="Baskerville Old Face"/>
          <w:b/>
          <w:bCs/>
          <w:lang w:val="en-GB"/>
        </w:rPr>
        <w:t xml:space="preserve">1.0 </w:t>
      </w:r>
      <w:r w:rsidR="00625BF5" w:rsidRPr="00520DD2">
        <w:rPr>
          <w:rFonts w:ascii="Baskerville Old Face" w:hAnsi="Baskerville Old Face"/>
          <w:b/>
          <w:bCs/>
          <w:lang w:val="en-GB"/>
        </w:rPr>
        <w:t>INTRODUCTION</w:t>
      </w:r>
      <w:bookmarkEnd w:id="6"/>
    </w:p>
    <w:p w14:paraId="7C1C7A93" w14:textId="094DF682" w:rsidR="00A175AD" w:rsidRPr="00A25123" w:rsidRDefault="00A175AD" w:rsidP="00A175AD">
      <w:pPr>
        <w:spacing w:line="276" w:lineRule="auto"/>
        <w:jc w:val="both"/>
        <w:rPr>
          <w:rFonts w:ascii="Baskerville Old Face" w:hAnsi="Baskerville Old Face" w:cs="Times New Roman"/>
          <w:kern w:val="0"/>
          <w:sz w:val="24"/>
          <w:szCs w:val="24"/>
          <w14:ligatures w14:val="none"/>
        </w:rPr>
      </w:pPr>
      <w:r w:rsidRPr="00A25123">
        <w:rPr>
          <w:rFonts w:ascii="Baskerville Old Face" w:hAnsi="Baskerville Old Face" w:cs="Times New Roman"/>
          <w:kern w:val="0"/>
          <w:sz w:val="24"/>
          <w:szCs w:val="24"/>
          <w14:ligatures w14:val="none"/>
        </w:rPr>
        <w:t>In pursuit of its mandate to strengthen domestic resource mobili</w:t>
      </w:r>
      <w:r w:rsidR="00C86C0B">
        <w:rPr>
          <w:rFonts w:ascii="Baskerville Old Face" w:hAnsi="Baskerville Old Face" w:cs="Times New Roman"/>
          <w:kern w:val="0"/>
          <w:sz w:val="24"/>
          <w:szCs w:val="24"/>
          <w14:ligatures w14:val="none"/>
        </w:rPr>
        <w:t>s</w:t>
      </w:r>
      <w:r w:rsidRPr="00A25123">
        <w:rPr>
          <w:rFonts w:ascii="Baskerville Old Face" w:hAnsi="Baskerville Old Face" w:cs="Times New Roman"/>
          <w:kern w:val="0"/>
          <w:sz w:val="24"/>
          <w:szCs w:val="24"/>
          <w14:ligatures w14:val="none"/>
        </w:rPr>
        <w:t xml:space="preserve">ation and support national development, the National Revenue Authority (NRA) has continued to evolve as a modern, technology-driven institution. Established in 2002 under the National Revenue Authority Act—amended in 2022 to reflect current administrative needs—the NRA serves as the </w:t>
      </w:r>
      <w:r w:rsidR="00C86C0B">
        <w:rPr>
          <w:rFonts w:ascii="Baskerville Old Face" w:hAnsi="Baskerville Old Face" w:cs="Times New Roman"/>
          <w:kern w:val="0"/>
          <w:sz w:val="24"/>
          <w:szCs w:val="24"/>
          <w14:ligatures w14:val="none"/>
        </w:rPr>
        <w:t>institution</w:t>
      </w:r>
      <w:r w:rsidRPr="00A25123">
        <w:rPr>
          <w:rFonts w:ascii="Baskerville Old Face" w:hAnsi="Baskerville Old Face" w:cs="Times New Roman"/>
          <w:kern w:val="0"/>
          <w:sz w:val="24"/>
          <w:szCs w:val="24"/>
          <w14:ligatures w14:val="none"/>
        </w:rPr>
        <w:t xml:space="preserve"> responsible for assessing, collecting, and enforcing tax and non-tax revenues on behalf of the Government of Sierra Leone.</w:t>
      </w:r>
      <w:r w:rsidR="00026F9C">
        <w:rPr>
          <w:rFonts w:ascii="Baskerville Old Face" w:hAnsi="Baskerville Old Face" w:cs="Times New Roman"/>
          <w:kern w:val="0"/>
          <w:sz w:val="24"/>
          <w:szCs w:val="24"/>
          <w14:ligatures w14:val="none"/>
        </w:rPr>
        <w:t xml:space="preserve"> </w:t>
      </w:r>
    </w:p>
    <w:p w14:paraId="6B975628" w14:textId="6A35E7A2" w:rsidR="00A175AD" w:rsidRPr="00A25123" w:rsidRDefault="00B8743A" w:rsidP="00A175AD">
      <w:pPr>
        <w:spacing w:line="276" w:lineRule="auto"/>
        <w:jc w:val="both"/>
        <w:rPr>
          <w:rFonts w:ascii="Baskerville Old Face" w:hAnsi="Baskerville Old Face" w:cs="Times New Roman"/>
          <w:kern w:val="0"/>
          <w:sz w:val="24"/>
          <w:szCs w:val="24"/>
          <w14:ligatures w14:val="none"/>
        </w:rPr>
      </w:pPr>
      <w:r>
        <w:rPr>
          <w:rFonts w:ascii="Baskerville Old Face" w:hAnsi="Baskerville Old Face" w:cs="Times New Roman"/>
          <w:kern w:val="0"/>
          <w:sz w:val="24"/>
          <w:szCs w:val="24"/>
          <w14:ligatures w14:val="none"/>
        </w:rPr>
        <w:t>For o</w:t>
      </w:r>
      <w:r w:rsidR="00A175AD" w:rsidRPr="00A25123">
        <w:rPr>
          <w:rFonts w:ascii="Baskerville Old Face" w:hAnsi="Baskerville Old Face" w:cs="Times New Roman"/>
          <w:kern w:val="0"/>
          <w:sz w:val="24"/>
          <w:szCs w:val="24"/>
          <w14:ligatures w14:val="none"/>
        </w:rPr>
        <w:t xml:space="preserve">ver two decades, the NRA </w:t>
      </w:r>
      <w:r>
        <w:rPr>
          <w:rFonts w:ascii="Baskerville Old Face" w:hAnsi="Baskerville Old Face" w:cs="Times New Roman"/>
          <w:kern w:val="0"/>
          <w:sz w:val="24"/>
          <w:szCs w:val="24"/>
          <w14:ligatures w14:val="none"/>
        </w:rPr>
        <w:t>has remained</w:t>
      </w:r>
      <w:r w:rsidR="00A175AD" w:rsidRPr="00A25123">
        <w:rPr>
          <w:rFonts w:ascii="Baskerville Old Face" w:hAnsi="Baskerville Old Face" w:cs="Times New Roman"/>
          <w:kern w:val="0"/>
          <w:sz w:val="24"/>
          <w:szCs w:val="24"/>
          <w14:ligatures w14:val="none"/>
        </w:rPr>
        <w:t xml:space="preserve"> committed to building a robust and transparent revenue system anchored in integrity, compliance, and innovation. The Authority’s responsibilities extend beyond revenue collection to include the promotion of voluntary compliance, </w:t>
      </w:r>
      <w:r>
        <w:rPr>
          <w:rFonts w:ascii="Baskerville Old Face" w:hAnsi="Baskerville Old Face" w:cs="Times New Roman"/>
          <w:kern w:val="0"/>
          <w:sz w:val="24"/>
          <w:szCs w:val="24"/>
          <w14:ligatures w14:val="none"/>
        </w:rPr>
        <w:t xml:space="preserve">facilitating legitimate trade, and safeguarding </w:t>
      </w:r>
      <w:r w:rsidR="00A175AD" w:rsidRPr="00A25123">
        <w:rPr>
          <w:rFonts w:ascii="Baskerville Old Face" w:hAnsi="Baskerville Old Face" w:cs="Times New Roman"/>
          <w:kern w:val="0"/>
          <w:sz w:val="24"/>
          <w:szCs w:val="24"/>
          <w14:ligatures w14:val="none"/>
        </w:rPr>
        <w:t>Sierra Leone’s economic borders.</w:t>
      </w:r>
    </w:p>
    <w:p w14:paraId="27D12702" w14:textId="77777777" w:rsidR="00A175AD" w:rsidRPr="00A25123" w:rsidRDefault="00A175AD" w:rsidP="00A175AD">
      <w:pPr>
        <w:spacing w:line="276" w:lineRule="auto"/>
        <w:jc w:val="both"/>
        <w:rPr>
          <w:rFonts w:ascii="Baskerville Old Face" w:hAnsi="Baskerville Old Face" w:cs="Times New Roman"/>
          <w:kern w:val="0"/>
          <w:sz w:val="24"/>
          <w:szCs w:val="24"/>
          <w14:ligatures w14:val="none"/>
        </w:rPr>
      </w:pPr>
      <w:r w:rsidRPr="00A25123">
        <w:rPr>
          <w:rFonts w:ascii="Baskerville Old Face" w:hAnsi="Baskerville Old Face" w:cs="Times New Roman"/>
          <w:kern w:val="0"/>
          <w:sz w:val="24"/>
          <w:szCs w:val="24"/>
          <w14:ligatures w14:val="none"/>
        </w:rPr>
        <w:t>The year 2024 represents a critical phase in the implementation of the NRA’s Strategic Plan (2023–2027)—a blueprint that underscores the use of digital solutions and data-driven decision-making to enhance efficiency and accountability across all revenue streams. Informed by national and global development frameworks, including the MTNDP, SDGs, and the MTRS, this Strategic Plan articulates a forward-looking vision of institutional transformation.</w:t>
      </w:r>
    </w:p>
    <w:p w14:paraId="1DD22F8D" w14:textId="581BE3E1" w:rsidR="00A175AD" w:rsidRPr="00A25123" w:rsidRDefault="00A175AD" w:rsidP="00A175AD">
      <w:pPr>
        <w:spacing w:line="276" w:lineRule="auto"/>
        <w:jc w:val="both"/>
        <w:rPr>
          <w:rFonts w:ascii="Baskerville Old Face" w:hAnsi="Baskerville Old Face" w:cs="Times New Roman"/>
          <w:kern w:val="0"/>
          <w:sz w:val="24"/>
          <w:szCs w:val="24"/>
          <w14:ligatures w14:val="none"/>
        </w:rPr>
      </w:pPr>
      <w:r w:rsidRPr="00A25123">
        <w:rPr>
          <w:rFonts w:ascii="Baskerville Old Face" w:hAnsi="Baskerville Old Face" w:cs="Times New Roman"/>
          <w:kern w:val="0"/>
          <w:sz w:val="24"/>
          <w:szCs w:val="24"/>
          <w14:ligatures w14:val="none"/>
        </w:rPr>
        <w:t>Building on foundational reforms implemented during the 2018–2022 period, the NRA has deepened the use of integrated digital platforms such as ASYCUDA World, ITAS, Customs Electronic Single Window, Electronic Cash Registers, and Mobile Payment App. These tools have improved operational efficiency, expanded the taxpayer base, and enhanced service delivery to citizens and businesses.</w:t>
      </w:r>
    </w:p>
    <w:p w14:paraId="2376F410" w14:textId="77777777" w:rsidR="00A175AD" w:rsidRPr="00A175AD" w:rsidRDefault="00A175AD" w:rsidP="00A175AD">
      <w:pPr>
        <w:spacing w:line="276" w:lineRule="auto"/>
        <w:jc w:val="both"/>
        <w:rPr>
          <w:rFonts w:ascii="Baskerville Old Face" w:hAnsi="Baskerville Old Face" w:cs="Times New Roman"/>
          <w:kern w:val="0"/>
          <w:sz w:val="24"/>
          <w:szCs w:val="24"/>
          <w14:ligatures w14:val="none"/>
        </w:rPr>
      </w:pPr>
      <w:r w:rsidRPr="00A25123">
        <w:rPr>
          <w:rFonts w:ascii="Baskerville Old Face" w:hAnsi="Baskerville Old Face" w:cs="Times New Roman"/>
          <w:kern w:val="0"/>
          <w:sz w:val="24"/>
          <w:szCs w:val="24"/>
          <w14:ligatures w14:val="none"/>
        </w:rPr>
        <w:t>In 2024, the Authority focused on consolidating gains from recent reforms, improving taxpayer services, and strengthening compliance monitoring. This Annual Report reflects both the progress made and the challenges faced during the year, offering insights into how the Authority is positioning itself to respond to evolving domestic and global economic dynamics.</w:t>
      </w:r>
    </w:p>
    <w:p w14:paraId="257DDA5D" w14:textId="5D6FAB78" w:rsidR="00A175AD" w:rsidRPr="00A175AD" w:rsidRDefault="00A175AD" w:rsidP="00A175AD">
      <w:pPr>
        <w:spacing w:line="240" w:lineRule="auto"/>
        <w:jc w:val="both"/>
        <w:rPr>
          <w:rFonts w:ascii="Baskerville Old Face" w:hAnsi="Baskerville Old Face" w:cs="Times New Roman"/>
          <w:kern w:val="0"/>
          <w:sz w:val="24"/>
          <w:szCs w:val="24"/>
          <w14:ligatures w14:val="none"/>
        </w:rPr>
      </w:pPr>
      <w:r w:rsidRPr="00A175AD">
        <w:rPr>
          <w:rFonts w:ascii="Baskerville Old Face" w:hAnsi="Baskerville Old Face" w:cs="Times New Roman"/>
          <w:kern w:val="0"/>
          <w:sz w:val="24"/>
          <w:szCs w:val="24"/>
          <w14:ligatures w14:val="none"/>
        </w:rPr>
        <w:t>The report is organi</w:t>
      </w:r>
      <w:r w:rsidR="00A13B9E">
        <w:rPr>
          <w:rFonts w:ascii="Baskerville Old Face" w:hAnsi="Baskerville Old Face" w:cs="Times New Roman"/>
          <w:kern w:val="0"/>
          <w:sz w:val="24"/>
          <w:szCs w:val="24"/>
          <w14:ligatures w14:val="none"/>
        </w:rPr>
        <w:t>s</w:t>
      </w:r>
      <w:r w:rsidRPr="00A175AD">
        <w:rPr>
          <w:rFonts w:ascii="Baskerville Old Face" w:hAnsi="Baskerville Old Face" w:cs="Times New Roman"/>
          <w:kern w:val="0"/>
          <w:sz w:val="24"/>
          <w:szCs w:val="24"/>
          <w14:ligatures w14:val="none"/>
        </w:rPr>
        <w:t>ed into five chapters:</w:t>
      </w:r>
    </w:p>
    <w:p w14:paraId="682EDF60" w14:textId="701C86FB" w:rsidR="00A175AD" w:rsidRPr="00A175AD" w:rsidRDefault="00A175AD" w:rsidP="00931C1A">
      <w:pPr>
        <w:pStyle w:val="ListParagraph"/>
        <w:numPr>
          <w:ilvl w:val="0"/>
          <w:numId w:val="4"/>
        </w:numPr>
        <w:spacing w:line="276" w:lineRule="auto"/>
        <w:jc w:val="both"/>
        <w:rPr>
          <w:rFonts w:ascii="Baskerville Old Face" w:hAnsi="Baskerville Old Face" w:cs="Times New Roman"/>
          <w:kern w:val="0"/>
          <w:sz w:val="24"/>
          <w:szCs w:val="24"/>
          <w14:ligatures w14:val="none"/>
        </w:rPr>
      </w:pPr>
      <w:r w:rsidRPr="00936F64">
        <w:rPr>
          <w:rFonts w:ascii="Baskerville Old Face" w:hAnsi="Baskerville Old Face" w:cs="Times New Roman"/>
          <w:b/>
          <w:bCs/>
          <w:kern w:val="0"/>
          <w:sz w:val="24"/>
          <w:szCs w:val="24"/>
          <w14:ligatures w14:val="none"/>
        </w:rPr>
        <w:t>Chapter 1</w:t>
      </w:r>
      <w:r w:rsidRPr="00A175AD">
        <w:rPr>
          <w:rFonts w:ascii="Baskerville Old Face" w:hAnsi="Baskerville Old Face" w:cs="Times New Roman"/>
          <w:kern w:val="0"/>
          <w:sz w:val="24"/>
          <w:szCs w:val="24"/>
          <w14:ligatures w14:val="none"/>
        </w:rPr>
        <w:t xml:space="preserve"> outlines the institutional context, including governance, strategic direction, and organi</w:t>
      </w:r>
      <w:r w:rsidR="00A13B9E">
        <w:rPr>
          <w:rFonts w:ascii="Baskerville Old Face" w:hAnsi="Baskerville Old Face" w:cs="Times New Roman"/>
          <w:kern w:val="0"/>
          <w:sz w:val="24"/>
          <w:szCs w:val="24"/>
          <w14:ligatures w14:val="none"/>
        </w:rPr>
        <w:t>s</w:t>
      </w:r>
      <w:r w:rsidRPr="00A175AD">
        <w:rPr>
          <w:rFonts w:ascii="Baskerville Old Face" w:hAnsi="Baskerville Old Face" w:cs="Times New Roman"/>
          <w:kern w:val="0"/>
          <w:sz w:val="24"/>
          <w:szCs w:val="24"/>
          <w14:ligatures w14:val="none"/>
        </w:rPr>
        <w:t>ational structure;</w:t>
      </w:r>
    </w:p>
    <w:p w14:paraId="693C4B8D" w14:textId="77777777" w:rsidR="00A175AD" w:rsidRPr="00A175AD" w:rsidRDefault="00A175AD" w:rsidP="00931C1A">
      <w:pPr>
        <w:pStyle w:val="ListParagraph"/>
        <w:numPr>
          <w:ilvl w:val="0"/>
          <w:numId w:val="4"/>
        </w:numPr>
        <w:spacing w:line="276" w:lineRule="auto"/>
        <w:jc w:val="both"/>
        <w:rPr>
          <w:rFonts w:ascii="Baskerville Old Face" w:hAnsi="Baskerville Old Face" w:cs="Times New Roman"/>
          <w:kern w:val="0"/>
          <w:sz w:val="24"/>
          <w:szCs w:val="24"/>
          <w14:ligatures w14:val="none"/>
        </w:rPr>
      </w:pPr>
      <w:r w:rsidRPr="00936F64">
        <w:rPr>
          <w:rFonts w:ascii="Baskerville Old Face" w:hAnsi="Baskerville Old Face" w:cs="Times New Roman"/>
          <w:b/>
          <w:bCs/>
          <w:kern w:val="0"/>
          <w:sz w:val="24"/>
          <w:szCs w:val="24"/>
          <w14:ligatures w14:val="none"/>
        </w:rPr>
        <w:t>Chapters 2 and 3</w:t>
      </w:r>
      <w:r w:rsidRPr="00A175AD">
        <w:rPr>
          <w:rFonts w:ascii="Baskerville Old Face" w:hAnsi="Baskerville Old Face" w:cs="Times New Roman"/>
          <w:kern w:val="0"/>
          <w:sz w:val="24"/>
          <w:szCs w:val="24"/>
          <w14:ligatures w14:val="none"/>
        </w:rPr>
        <w:t xml:space="preserve"> examine revenue and non-revenue performance outcomes;</w:t>
      </w:r>
    </w:p>
    <w:p w14:paraId="492B4CB8" w14:textId="77777777" w:rsidR="00A175AD" w:rsidRPr="00A175AD" w:rsidRDefault="00A175AD" w:rsidP="00931C1A">
      <w:pPr>
        <w:pStyle w:val="ListParagraph"/>
        <w:numPr>
          <w:ilvl w:val="0"/>
          <w:numId w:val="4"/>
        </w:numPr>
        <w:spacing w:line="276" w:lineRule="auto"/>
        <w:jc w:val="both"/>
        <w:rPr>
          <w:rFonts w:ascii="Baskerville Old Face" w:hAnsi="Baskerville Old Face" w:cs="Times New Roman"/>
          <w:kern w:val="0"/>
          <w:sz w:val="24"/>
          <w:szCs w:val="24"/>
          <w14:ligatures w14:val="none"/>
        </w:rPr>
      </w:pPr>
      <w:r w:rsidRPr="00936F64">
        <w:rPr>
          <w:rFonts w:ascii="Baskerville Old Face" w:hAnsi="Baskerville Old Face" w:cs="Times New Roman"/>
          <w:b/>
          <w:bCs/>
          <w:kern w:val="0"/>
          <w:sz w:val="24"/>
          <w:szCs w:val="24"/>
          <w14:ligatures w14:val="none"/>
        </w:rPr>
        <w:t>Chapter 4</w:t>
      </w:r>
      <w:r w:rsidRPr="00A175AD">
        <w:rPr>
          <w:rFonts w:ascii="Baskerville Old Face" w:hAnsi="Baskerville Old Face" w:cs="Times New Roman"/>
          <w:kern w:val="0"/>
          <w:sz w:val="24"/>
          <w:szCs w:val="24"/>
          <w14:ligatures w14:val="none"/>
        </w:rPr>
        <w:t xml:space="preserve"> presents statistical and operational highlights; and</w:t>
      </w:r>
    </w:p>
    <w:p w14:paraId="1D2B0949" w14:textId="77777777" w:rsidR="00A175AD" w:rsidRPr="00A175AD" w:rsidRDefault="00A175AD" w:rsidP="00931C1A">
      <w:pPr>
        <w:pStyle w:val="ListParagraph"/>
        <w:numPr>
          <w:ilvl w:val="0"/>
          <w:numId w:val="4"/>
        </w:numPr>
        <w:spacing w:line="276" w:lineRule="auto"/>
        <w:jc w:val="both"/>
        <w:rPr>
          <w:rFonts w:ascii="Baskerville Old Face" w:hAnsi="Baskerville Old Face" w:cs="Times New Roman"/>
          <w:kern w:val="0"/>
          <w:sz w:val="24"/>
          <w:szCs w:val="24"/>
          <w14:ligatures w14:val="none"/>
        </w:rPr>
      </w:pPr>
      <w:r w:rsidRPr="00936F64">
        <w:rPr>
          <w:rFonts w:ascii="Baskerville Old Face" w:hAnsi="Baskerville Old Face" w:cs="Times New Roman"/>
          <w:b/>
          <w:bCs/>
          <w:kern w:val="0"/>
          <w:sz w:val="24"/>
          <w:szCs w:val="24"/>
          <w14:ligatures w14:val="none"/>
        </w:rPr>
        <w:t>Chapter 5</w:t>
      </w:r>
      <w:r w:rsidRPr="00A175AD">
        <w:rPr>
          <w:rFonts w:ascii="Baskerville Old Face" w:hAnsi="Baskerville Old Face" w:cs="Times New Roman"/>
          <w:kern w:val="0"/>
          <w:sz w:val="24"/>
          <w:szCs w:val="24"/>
          <w14:ligatures w14:val="none"/>
        </w:rPr>
        <w:t xml:space="preserve"> explores forward-looking strategies to enhance revenue mobilisation and fiscal sustainability in 2025.</w:t>
      </w:r>
    </w:p>
    <w:p w14:paraId="170FF237" w14:textId="77777777" w:rsidR="00A175AD" w:rsidRPr="00A175AD" w:rsidRDefault="00A175AD" w:rsidP="00A175AD">
      <w:pPr>
        <w:spacing w:line="276" w:lineRule="auto"/>
        <w:jc w:val="both"/>
        <w:rPr>
          <w:rFonts w:ascii="Baskerville Old Face" w:hAnsi="Baskerville Old Face" w:cs="Times New Roman"/>
          <w:kern w:val="0"/>
          <w:sz w:val="24"/>
          <w:szCs w:val="24"/>
          <w14:ligatures w14:val="none"/>
        </w:rPr>
      </w:pPr>
      <w:r w:rsidRPr="00A175AD">
        <w:rPr>
          <w:rFonts w:ascii="Baskerville Old Face" w:hAnsi="Baskerville Old Face" w:cs="Times New Roman"/>
          <w:kern w:val="0"/>
          <w:sz w:val="24"/>
          <w:szCs w:val="24"/>
          <w14:ligatures w14:val="none"/>
        </w:rPr>
        <w:lastRenderedPageBreak/>
        <w:t>Through this report, the NRA reaffirms its commitment to transparency, innovation, and service excellence in support of Sierra Leone’s national development goals.</w:t>
      </w:r>
    </w:p>
    <w:p w14:paraId="6C938D18" w14:textId="534EFF07" w:rsidR="001B4D26" w:rsidRPr="00520DD2" w:rsidRDefault="00395E0D" w:rsidP="00C03BAC">
      <w:pPr>
        <w:pStyle w:val="Heading2"/>
        <w:rPr>
          <w:rFonts w:ascii="Baskerville Old Face" w:hAnsi="Baskerville Old Face"/>
          <w:b/>
          <w:bCs/>
        </w:rPr>
      </w:pPr>
      <w:bookmarkStart w:id="7" w:name="_Toc198043906"/>
      <w:r w:rsidRPr="00520DD2">
        <w:rPr>
          <w:rFonts w:ascii="Baskerville Old Face" w:hAnsi="Baskerville Old Face"/>
          <w:b/>
          <w:bCs/>
          <w:lang w:val="en-GB"/>
        </w:rPr>
        <w:t xml:space="preserve">1.1 </w:t>
      </w:r>
      <w:r w:rsidR="001B4D26" w:rsidRPr="00520DD2">
        <w:rPr>
          <w:rFonts w:ascii="Baskerville Old Face" w:hAnsi="Baskerville Old Face"/>
          <w:b/>
          <w:bCs/>
          <w:lang w:val="en-GB"/>
        </w:rPr>
        <w:t>NRA CORPORATE STATEMENT</w:t>
      </w:r>
      <w:bookmarkEnd w:id="7"/>
    </w:p>
    <w:p w14:paraId="7398B898" w14:textId="14D877BC" w:rsidR="001B4D26" w:rsidRDefault="001B4D26" w:rsidP="00AB5A20">
      <w:pPr>
        <w:spacing w:line="276"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The vision, mission</w:t>
      </w:r>
      <w:r w:rsidR="00C548A1">
        <w:rPr>
          <w:rFonts w:ascii="Baskerville Old Face" w:hAnsi="Baskerville Old Face" w:cs="Times New Roman"/>
          <w:kern w:val="0"/>
          <w:sz w:val="24"/>
          <w:szCs w:val="24"/>
          <w:lang w:val="en-GB"/>
          <w14:ligatures w14:val="none"/>
        </w:rPr>
        <w:t>,</w:t>
      </w:r>
      <w:r w:rsidRPr="00285F16">
        <w:rPr>
          <w:rFonts w:ascii="Baskerville Old Face" w:hAnsi="Baskerville Old Face" w:cs="Times New Roman"/>
          <w:kern w:val="0"/>
          <w:sz w:val="24"/>
          <w:szCs w:val="24"/>
          <w:lang w:val="en-GB"/>
          <w14:ligatures w14:val="none"/>
        </w:rPr>
        <w:t xml:space="preserve"> and mandate of the </w:t>
      </w:r>
      <w:r w:rsidR="00632CB1">
        <w:rPr>
          <w:rFonts w:ascii="Baskerville Old Face" w:hAnsi="Baskerville Old Face" w:cs="Times New Roman"/>
          <w:kern w:val="0"/>
          <w:sz w:val="24"/>
          <w:szCs w:val="24"/>
          <w:lang w:val="en-GB"/>
          <w14:ligatures w14:val="none"/>
        </w:rPr>
        <w:t>NRA</w:t>
      </w:r>
      <w:r w:rsidRPr="00285F16">
        <w:rPr>
          <w:rFonts w:ascii="Baskerville Old Face" w:hAnsi="Baskerville Old Face" w:cs="Times New Roman"/>
          <w:kern w:val="0"/>
          <w:sz w:val="24"/>
          <w:szCs w:val="24"/>
          <w:lang w:val="en-GB"/>
          <w14:ligatures w14:val="none"/>
        </w:rPr>
        <w:t xml:space="preserve"> are expressed </w:t>
      </w:r>
      <w:r w:rsidR="00664639">
        <w:rPr>
          <w:rFonts w:ascii="Baskerville Old Face" w:hAnsi="Baskerville Old Face" w:cs="Times New Roman"/>
          <w:kern w:val="0"/>
          <w:sz w:val="24"/>
          <w:szCs w:val="24"/>
          <w:lang w:val="en-GB"/>
          <w14:ligatures w14:val="none"/>
        </w:rPr>
        <w:t xml:space="preserve">in Figure 1. </w:t>
      </w:r>
    </w:p>
    <w:p w14:paraId="765FC3DF" w14:textId="5553560A" w:rsidR="00766021" w:rsidRPr="0068040E" w:rsidRDefault="00766021" w:rsidP="00766021">
      <w:pPr>
        <w:pStyle w:val="Caption"/>
        <w:rPr>
          <w:rFonts w:ascii="Baskerville Old Face" w:hAnsi="Baskerville Old Face" w:cs="Times New Roman"/>
          <w:b/>
          <w:bCs/>
          <w:kern w:val="0"/>
          <w:sz w:val="24"/>
          <w:szCs w:val="24"/>
          <w:lang w:val="en-GB"/>
          <w14:ligatures w14:val="none"/>
        </w:rPr>
      </w:pPr>
      <w:bookmarkStart w:id="8" w:name="_Toc198044047"/>
      <w:r w:rsidRPr="0068040E">
        <w:rPr>
          <w:rFonts w:ascii="Baskerville Old Face" w:hAnsi="Baskerville Old Face"/>
          <w:b/>
          <w:bCs/>
          <w:sz w:val="24"/>
          <w:szCs w:val="24"/>
        </w:rPr>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0068040E" w:rsidRPr="0068040E">
        <w:rPr>
          <w:rFonts w:ascii="Baskerville Old Face" w:hAnsi="Baskerville Old Face"/>
          <w:b/>
          <w:bCs/>
          <w:noProof/>
          <w:sz w:val="24"/>
          <w:szCs w:val="24"/>
        </w:rPr>
        <w:t>1</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The Vision, Mission, and Mandate of the NRA</w:t>
      </w:r>
      <w:r w:rsidRPr="0068040E">
        <w:rPr>
          <w:rFonts w:ascii="Baskerville Old Face" w:hAnsi="Baskerville Old Face" w:cs="Times New Roman"/>
          <w:b/>
          <w:bCs/>
          <w:i w:val="0"/>
          <w:iCs w:val="0"/>
          <w:noProof/>
          <w:sz w:val="24"/>
          <w:szCs w:val="24"/>
        </w:rPr>
        <mc:AlternateContent>
          <mc:Choice Requires="wps">
            <w:drawing>
              <wp:anchor distT="0" distB="0" distL="114300" distR="114300" simplePos="0" relativeHeight="251667456" behindDoc="0" locked="0" layoutInCell="1" allowOverlap="1" wp14:anchorId="2D5343BC" wp14:editId="465DCE1E">
                <wp:simplePos x="0" y="0"/>
                <wp:positionH relativeFrom="column">
                  <wp:posOffset>-282271</wp:posOffset>
                </wp:positionH>
                <wp:positionV relativeFrom="paragraph">
                  <wp:posOffset>268135</wp:posOffset>
                </wp:positionV>
                <wp:extent cx="7045036" cy="1828800"/>
                <wp:effectExtent l="0" t="0" r="22860" b="19050"/>
                <wp:wrapNone/>
                <wp:docPr id="1706639395" name="Flowchart: Alternate Process 13"/>
                <wp:cNvGraphicFramePr/>
                <a:graphic xmlns:a="http://schemas.openxmlformats.org/drawingml/2006/main">
                  <a:graphicData uri="http://schemas.microsoft.com/office/word/2010/wordprocessingShape">
                    <wps:wsp>
                      <wps:cNvSpPr/>
                      <wps:spPr>
                        <a:xfrm>
                          <a:off x="0" y="0"/>
                          <a:ext cx="7045036" cy="1828800"/>
                        </a:xfrm>
                        <a:prstGeom prst="flowChartAlternate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23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position:absolute;margin-left:-22.25pt;margin-top:21.1pt;width:554.7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" filled="f" strokecolor="#09101d [484]" strokeweight="1pt"/>
            </w:pict>
          </mc:Fallback>
        </mc:AlternateContent>
      </w:r>
      <w:bookmarkEnd w:id="8"/>
    </w:p>
    <w:p w14:paraId="35F336EB" w14:textId="67410425" w:rsidR="00945AF8" w:rsidRPr="00285F16" w:rsidRDefault="00664639" w:rsidP="00AB5A20">
      <w:pPr>
        <w:spacing w:line="240" w:lineRule="auto"/>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1312" behindDoc="0" locked="0" layoutInCell="1" allowOverlap="1" wp14:anchorId="7B8E084E" wp14:editId="2DE5B5DA">
                <wp:simplePos x="0" y="0"/>
                <wp:positionH relativeFrom="column">
                  <wp:posOffset>2103120</wp:posOffset>
                </wp:positionH>
                <wp:positionV relativeFrom="paragraph">
                  <wp:posOffset>78105</wp:posOffset>
                </wp:positionV>
                <wp:extent cx="2286000" cy="1630680"/>
                <wp:effectExtent l="0" t="0" r="19050" b="26670"/>
                <wp:wrapNone/>
                <wp:docPr id="1406486584"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2">
                            <a:lumMod val="60000"/>
                            <a:lumOff val="40000"/>
                          </a:schemeClr>
                        </a:solidFill>
                        <a:ln w="12700" cap="flat" cmpd="sng" algn="ctr">
                          <a:solidFill>
                            <a:srgbClr val="4472C4">
                              <a:shade val="15000"/>
                            </a:srgbClr>
                          </a:solidFill>
                          <a:prstDash val="solid"/>
                          <a:miter lim="800000"/>
                        </a:ln>
                        <a:effectLst/>
                      </wps:spPr>
                      <wps:txb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084E" id="Rectangle 9" o:spid="_x0000_s1026" style="position:absolute;margin-left:165.6pt;margin-top:6.15pt;width:180pt;height:1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" fillcolor="#f4b083 [1941]" strokecolor="#172c51" strokeweight="1pt">
                <v:textbo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v:textbox>
              </v:rect>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663360" behindDoc="0" locked="0" layoutInCell="1" allowOverlap="1" wp14:anchorId="5D6297CE" wp14:editId="3488AA48">
                <wp:simplePos x="0" y="0"/>
                <wp:positionH relativeFrom="margin">
                  <wp:posOffset>4381500</wp:posOffset>
                </wp:positionH>
                <wp:positionV relativeFrom="paragraph">
                  <wp:posOffset>78105</wp:posOffset>
                </wp:positionV>
                <wp:extent cx="2286000" cy="1630680"/>
                <wp:effectExtent l="0" t="0" r="19050" b="26670"/>
                <wp:wrapNone/>
                <wp:docPr id="1869639"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2">
                            <a:lumMod val="20000"/>
                            <a:lumOff val="80000"/>
                          </a:schemeClr>
                        </a:solidFill>
                        <a:ln w="12700" cap="flat" cmpd="sng" algn="ctr">
                          <a:solidFill>
                            <a:srgbClr val="4472C4">
                              <a:shade val="15000"/>
                            </a:srgbClr>
                          </a:solidFill>
                          <a:prstDash val="solid"/>
                          <a:miter lim="800000"/>
                        </a:ln>
                        <a:effectLst/>
                      </wps:spPr>
                      <wps:txb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97CE" id="_x0000_s1027" style="position:absolute;margin-left:345pt;margin-top:6.15pt;width:180pt;height:1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" fillcolor="#fbe4d5 [661]" strokecolor="#172c51" strokeweight="1pt">
                <v:textbo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v:textbox>
                <w10:wrap anchorx="margin"/>
              </v:rect>
            </w:pict>
          </mc:Fallback>
        </mc:AlternateContent>
      </w:r>
      <w:r w:rsidR="00E676B5" w:rsidRPr="00285F16">
        <w:rPr>
          <w:rFonts w:ascii="Baskerville Old Face" w:hAnsi="Baskerville Old Face" w:cs="Times New Roman"/>
          <w:noProof/>
          <w:sz w:val="24"/>
          <w:szCs w:val="24"/>
        </w:rPr>
        <mc:AlternateContent>
          <mc:Choice Requires="wps">
            <w:drawing>
              <wp:anchor distT="0" distB="0" distL="114300" distR="114300" simplePos="0" relativeHeight="251659264" behindDoc="0" locked="0" layoutInCell="1" allowOverlap="1" wp14:anchorId="336B65D6" wp14:editId="7F331B06">
                <wp:simplePos x="0" y="0"/>
                <wp:positionH relativeFrom="column">
                  <wp:posOffset>-175260</wp:posOffset>
                </wp:positionH>
                <wp:positionV relativeFrom="paragraph">
                  <wp:posOffset>78105</wp:posOffset>
                </wp:positionV>
                <wp:extent cx="2286000" cy="1630680"/>
                <wp:effectExtent l="0" t="0" r="19050" b="26670"/>
                <wp:wrapNone/>
                <wp:docPr id="841952386"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65D6" id="_x0000_s1028" style="position:absolute;margin-left:-13.8pt;margin-top:6.15pt;width:180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" fillcolor="#bdd6ee [1304]" strokecolor="#09101d [484]" strokeweight="1pt">
                <v:textbo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4384" behindDoc="0" locked="0" layoutInCell="1" allowOverlap="1" wp14:anchorId="133776E6" wp14:editId="23A2ACA2">
                <wp:simplePos x="0" y="0"/>
                <wp:positionH relativeFrom="column">
                  <wp:posOffset>4419600</wp:posOffset>
                </wp:positionH>
                <wp:positionV relativeFrom="paragraph">
                  <wp:posOffset>274955</wp:posOffset>
                </wp:positionV>
                <wp:extent cx="2194560" cy="274320"/>
                <wp:effectExtent l="0" t="0" r="15240" b="11430"/>
                <wp:wrapNone/>
                <wp:docPr id="26641454" name="Rectangle 10"/>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accent4">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76E6" id="Rectangle 10" o:spid="_x0000_s1029" style="position:absolute;margin-left:348pt;margin-top:21.65pt;width:172.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" fillcolor="#bf8f00 [2407]" strokecolor="black [3213]" strokeweight="1pt">
                <v:textbo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6432" behindDoc="0" locked="0" layoutInCell="1" allowOverlap="1" wp14:anchorId="1B46F6B8" wp14:editId="5E982C52">
                <wp:simplePos x="0" y="0"/>
                <wp:positionH relativeFrom="column">
                  <wp:posOffset>-134620</wp:posOffset>
                </wp:positionH>
                <wp:positionV relativeFrom="paragraph">
                  <wp:posOffset>325755</wp:posOffset>
                </wp:positionV>
                <wp:extent cx="2194560" cy="274320"/>
                <wp:effectExtent l="0" t="0" r="15240" b="11430"/>
                <wp:wrapNone/>
                <wp:docPr id="1106027861" name="Rectangle 12"/>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accent4">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F6B8" id="Rectangle 12" o:spid="_x0000_s1030" style="position:absolute;margin-left:-10.6pt;margin-top:25.65pt;width:17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" fillcolor="#bf8f00 [2407]" strokecolor="#09101d [484]" strokeweight="1pt">
                <v:textbo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v:textbox>
              </v:rect>
            </w:pict>
          </mc:Fallback>
        </mc:AlternateContent>
      </w:r>
    </w:p>
    <w:p w14:paraId="77C67889" w14:textId="14D59DCE" w:rsidR="00945AF8" w:rsidRPr="00285F16" w:rsidRDefault="00625BF5" w:rsidP="00945AF8">
      <w:pPr>
        <w:tabs>
          <w:tab w:val="left" w:pos="1173"/>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5408" behindDoc="0" locked="0" layoutInCell="1" allowOverlap="1" wp14:anchorId="1691AC4B" wp14:editId="32C58550">
                <wp:simplePos x="0" y="0"/>
                <wp:positionH relativeFrom="column">
                  <wp:posOffset>2149475</wp:posOffset>
                </wp:positionH>
                <wp:positionV relativeFrom="paragraph">
                  <wp:posOffset>28344</wp:posOffset>
                </wp:positionV>
                <wp:extent cx="2194560" cy="270510"/>
                <wp:effectExtent l="0" t="0" r="15240" b="15240"/>
                <wp:wrapNone/>
                <wp:docPr id="295350573" name="Rectangle 11"/>
                <wp:cNvGraphicFramePr/>
                <a:graphic xmlns:a="http://schemas.openxmlformats.org/drawingml/2006/main">
                  <a:graphicData uri="http://schemas.microsoft.com/office/word/2010/wordprocessingShape">
                    <wps:wsp>
                      <wps:cNvSpPr/>
                      <wps:spPr>
                        <a:xfrm>
                          <a:off x="0" y="0"/>
                          <a:ext cx="2194560" cy="270510"/>
                        </a:xfrm>
                        <a:prstGeom prst="rect">
                          <a:avLst/>
                        </a:prstGeom>
                        <a:solidFill>
                          <a:schemeClr val="accent4">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1AC4B" id="Rectangle 11" o:spid="_x0000_s1031" style="position:absolute;margin-left:169.25pt;margin-top:2.25pt;width:172.8pt;height:2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" fillcolor="#bf8f00 [2407]" strokecolor="black [3213]" strokeweight="1pt">
                <v:textbo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v:textbox>
              </v:rect>
            </w:pict>
          </mc:Fallback>
        </mc:AlternateContent>
      </w:r>
      <w:r w:rsidR="00945AF8" w:rsidRPr="00285F16">
        <w:rPr>
          <w:rFonts w:ascii="Baskerville Old Face" w:hAnsi="Baskerville Old Face" w:cs="Times New Roman"/>
          <w:sz w:val="24"/>
          <w:szCs w:val="24"/>
        </w:rPr>
        <w:tab/>
      </w:r>
    </w:p>
    <w:p w14:paraId="377676DC" w14:textId="129B560A" w:rsidR="00945AF8" w:rsidRPr="00285F16" w:rsidRDefault="00945AF8" w:rsidP="00945AF8">
      <w:pPr>
        <w:rPr>
          <w:rFonts w:ascii="Baskerville Old Face" w:hAnsi="Baskerville Old Face" w:cs="Times New Roman"/>
          <w:sz w:val="24"/>
          <w:szCs w:val="24"/>
        </w:rPr>
      </w:pPr>
    </w:p>
    <w:p w14:paraId="4FF3402C" w14:textId="301C031A" w:rsidR="00945AF8" w:rsidRPr="00285F16" w:rsidRDefault="00945AF8" w:rsidP="00945AF8">
      <w:pPr>
        <w:rPr>
          <w:rFonts w:ascii="Baskerville Old Face" w:hAnsi="Baskerville Old Face" w:cs="Times New Roman"/>
          <w:sz w:val="24"/>
          <w:szCs w:val="24"/>
        </w:rPr>
      </w:pPr>
    </w:p>
    <w:p w14:paraId="6EF80C11" w14:textId="77777777" w:rsidR="00945AF8" w:rsidRPr="00285F16" w:rsidRDefault="00945AF8" w:rsidP="00945AF8">
      <w:pPr>
        <w:rPr>
          <w:rFonts w:ascii="Baskerville Old Face" w:hAnsi="Baskerville Old Face" w:cs="Times New Roman"/>
          <w:sz w:val="24"/>
          <w:szCs w:val="24"/>
        </w:rPr>
      </w:pPr>
    </w:p>
    <w:p w14:paraId="6FBFD5AE" w14:textId="77777777" w:rsidR="00945AF8" w:rsidRPr="00285F16" w:rsidRDefault="00945AF8" w:rsidP="00945AF8">
      <w:pPr>
        <w:rPr>
          <w:rFonts w:ascii="Baskerville Old Face" w:hAnsi="Baskerville Old Face" w:cs="Times New Roman"/>
          <w:sz w:val="24"/>
          <w:szCs w:val="24"/>
        </w:rPr>
      </w:pPr>
    </w:p>
    <w:p w14:paraId="09DB280E" w14:textId="6CAB7D01" w:rsidR="00945AF8" w:rsidRPr="00285F16" w:rsidRDefault="00945AF8" w:rsidP="00945AF8">
      <w:pPr>
        <w:rPr>
          <w:rFonts w:ascii="Baskerville Old Face" w:hAnsi="Baskerville Old Face" w:cs="Times New Roman"/>
          <w:sz w:val="24"/>
          <w:szCs w:val="24"/>
        </w:rPr>
      </w:pPr>
    </w:p>
    <w:p w14:paraId="0084B215" w14:textId="29F06C0D" w:rsidR="00AB5A20" w:rsidRDefault="00AB5A20" w:rsidP="00664639">
      <w:pPr>
        <w:tabs>
          <w:tab w:val="left" w:pos="3093"/>
        </w:tabs>
        <w:spacing w:line="240" w:lineRule="auto"/>
        <w:rPr>
          <w:rFonts w:ascii="Baskerville Old Face" w:hAnsi="Baskerville Old Face" w:cs="Times New Roman"/>
          <w:sz w:val="24"/>
          <w:szCs w:val="24"/>
        </w:rPr>
      </w:pPr>
      <w:r w:rsidRPr="00285F16">
        <w:rPr>
          <w:rFonts w:ascii="Baskerville Old Face" w:hAnsi="Baskerville Old Face" w:cs="Times New Roman"/>
          <w:sz w:val="24"/>
          <w:szCs w:val="24"/>
        </w:rPr>
        <w:t>The activities of the NRA are guided by the following core values</w:t>
      </w:r>
      <w:r w:rsidR="00664639">
        <w:rPr>
          <w:rFonts w:ascii="Baskerville Old Face" w:hAnsi="Baskerville Old Face" w:cs="Times New Roman"/>
          <w:sz w:val="24"/>
          <w:szCs w:val="24"/>
        </w:rPr>
        <w:t xml:space="preserve"> highlighted in Figure 2.</w:t>
      </w:r>
    </w:p>
    <w:p w14:paraId="38CDF217" w14:textId="218307D7" w:rsidR="00AB5A20" w:rsidRPr="0068040E" w:rsidRDefault="00766021" w:rsidP="00766021">
      <w:pPr>
        <w:pStyle w:val="Caption"/>
        <w:rPr>
          <w:rFonts w:ascii="Baskerville Old Face" w:hAnsi="Baskerville Old Face" w:cs="Times New Roman"/>
          <w:b/>
          <w:bCs/>
          <w:i w:val="0"/>
          <w:iCs w:val="0"/>
          <w:sz w:val="24"/>
          <w:szCs w:val="24"/>
        </w:rPr>
      </w:pPr>
      <w:bookmarkStart w:id="9" w:name="_Toc198044048"/>
      <w:r w:rsidRPr="0068040E">
        <w:rPr>
          <w:rFonts w:ascii="Baskerville Old Face" w:hAnsi="Baskerville Old Face"/>
          <w:b/>
          <w:bCs/>
          <w:sz w:val="24"/>
          <w:szCs w:val="24"/>
        </w:rPr>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0068040E" w:rsidRPr="0068040E">
        <w:rPr>
          <w:rFonts w:ascii="Baskerville Old Face" w:hAnsi="Baskerville Old Face"/>
          <w:b/>
          <w:bCs/>
          <w:noProof/>
          <w:sz w:val="24"/>
          <w:szCs w:val="24"/>
        </w:rPr>
        <w:t>2</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NRA’s Core Values</w:t>
      </w:r>
      <w:r w:rsidR="00AB5A20" w:rsidRPr="0068040E">
        <w:rPr>
          <w:rFonts w:ascii="Baskerville Old Face" w:hAnsi="Baskerville Old Face" w:cs="Times New Roman"/>
          <w:b/>
          <w:bCs/>
          <w:i w:val="0"/>
          <w:iCs w:val="0"/>
          <w:noProof/>
          <w:sz w:val="24"/>
          <w:szCs w:val="24"/>
        </w:rPr>
        <mc:AlternateContent>
          <mc:Choice Requires="wps">
            <w:drawing>
              <wp:anchor distT="0" distB="0" distL="114300" distR="114300" simplePos="0" relativeHeight="251705344" behindDoc="0" locked="0" layoutInCell="1" allowOverlap="1" wp14:anchorId="26F63F44" wp14:editId="4FE5CBAD">
                <wp:simplePos x="0" y="0"/>
                <wp:positionH relativeFrom="column">
                  <wp:posOffset>-33867</wp:posOffset>
                </wp:positionH>
                <wp:positionV relativeFrom="paragraph">
                  <wp:posOffset>179917</wp:posOffset>
                </wp:positionV>
                <wp:extent cx="6561667" cy="5266266"/>
                <wp:effectExtent l="0" t="0" r="10795" b="10795"/>
                <wp:wrapNone/>
                <wp:docPr id="1595646252" name="Rectangle 23"/>
                <wp:cNvGraphicFramePr/>
                <a:graphic xmlns:a="http://schemas.openxmlformats.org/drawingml/2006/main">
                  <a:graphicData uri="http://schemas.microsoft.com/office/word/2010/wordprocessingShape">
                    <wps:wsp>
                      <wps:cNvSpPr/>
                      <wps:spPr>
                        <a:xfrm>
                          <a:off x="0" y="0"/>
                          <a:ext cx="6561667" cy="526626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C719A" id="Rectangle 23" o:spid="_x0000_s1026" style="position:absolute;margin-left:-2.65pt;margin-top:14.15pt;width:516.65pt;height:414.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" filled="f" strokecolor="#172c51" strokeweight="1pt"/>
            </w:pict>
          </mc:Fallback>
        </mc:AlternateContent>
      </w:r>
      <w:r w:rsidR="00AB5A20" w:rsidRPr="0068040E">
        <w:rPr>
          <w:rFonts w:ascii="Baskerville Old Face" w:hAnsi="Baskerville Old Face" w:cs="Times New Roman"/>
          <w:b/>
          <w:bCs/>
          <w:i w:val="0"/>
          <w:iCs w:val="0"/>
          <w:noProof/>
          <w:sz w:val="24"/>
          <w:szCs w:val="24"/>
        </w:rPr>
        <mc:AlternateContent>
          <mc:Choice Requires="wps">
            <w:drawing>
              <wp:anchor distT="0" distB="0" distL="114300" distR="114300" simplePos="0" relativeHeight="251698176" behindDoc="0" locked="0" layoutInCell="1" allowOverlap="1" wp14:anchorId="3DC379A0" wp14:editId="0F1DB76F">
                <wp:simplePos x="0" y="0"/>
                <wp:positionH relativeFrom="margin">
                  <wp:posOffset>109855</wp:posOffset>
                </wp:positionH>
                <wp:positionV relativeFrom="paragraph">
                  <wp:posOffset>236220</wp:posOffset>
                </wp:positionV>
                <wp:extent cx="6324600" cy="5130800"/>
                <wp:effectExtent l="0" t="0" r="19050" b="12700"/>
                <wp:wrapNone/>
                <wp:docPr id="1479938269" name="Oval 19"/>
                <wp:cNvGraphicFramePr/>
                <a:graphic xmlns:a="http://schemas.openxmlformats.org/drawingml/2006/main">
                  <a:graphicData uri="http://schemas.microsoft.com/office/word/2010/wordprocessingShape">
                    <wps:wsp>
                      <wps:cNvSpPr/>
                      <wps:spPr>
                        <a:xfrm>
                          <a:off x="0" y="0"/>
                          <a:ext cx="6324600" cy="51308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379A0" id="Oval 19" o:spid="_x0000_s1032" style="position:absolute;margin-left:8.65pt;margin-top:18.6pt;width:498pt;height:4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" fillcolor="#4472c4" strokecolor="#172c51" strokeweight="1pt">
                <v:stroke joinstyle="miter"/>
                <v:textbo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v:textbox>
                <w10:wrap anchorx="margin"/>
              </v:oval>
            </w:pict>
          </mc:Fallback>
        </mc:AlternateContent>
      </w:r>
      <w:bookmarkEnd w:id="9"/>
    </w:p>
    <w:p w14:paraId="4FCD2CFA" w14:textId="77777777" w:rsidR="00AB5A20" w:rsidRPr="00285F16" w:rsidRDefault="00AB5A20" w:rsidP="00AB5A20">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99200" behindDoc="0" locked="0" layoutInCell="1" allowOverlap="1" wp14:anchorId="0212DBAB" wp14:editId="2881E765">
                <wp:simplePos x="0" y="0"/>
                <wp:positionH relativeFrom="margin">
                  <wp:posOffset>2091055</wp:posOffset>
                </wp:positionH>
                <wp:positionV relativeFrom="paragraph">
                  <wp:posOffset>3810</wp:posOffset>
                </wp:positionV>
                <wp:extent cx="2011680" cy="2194560"/>
                <wp:effectExtent l="0" t="0" r="26670" b="15240"/>
                <wp:wrapNone/>
                <wp:docPr id="63211603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92D050"/>
                        </a:solidFill>
                        <a:ln w="12700" cap="flat" cmpd="sng" algn="ctr">
                          <a:solidFill>
                            <a:srgbClr val="4472C4">
                              <a:shade val="15000"/>
                            </a:srgbClr>
                          </a:solidFill>
                          <a:prstDash val="solid"/>
                          <a:miter lim="800000"/>
                        </a:ln>
                        <a:effectLst/>
                      </wps:spPr>
                      <wps:txb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2DBAB" id="Oval 21" o:spid="_x0000_s1033" style="position:absolute;margin-left:164.65pt;margin-top:.3pt;width:158.4pt;height:172.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" fillcolor="#92d050" strokecolor="#172c51" strokeweight="1pt">
                <v:stroke joinstyle="miter"/>
                <v:textbo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v:textbox>
                <w10:wrap anchorx="margin"/>
              </v:oval>
            </w:pict>
          </mc:Fallback>
        </mc:AlternateContent>
      </w:r>
    </w:p>
    <w:p w14:paraId="0D435DBF"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1248" behindDoc="0" locked="0" layoutInCell="1" allowOverlap="1" wp14:anchorId="1A96D0FB" wp14:editId="26DBFC03">
                <wp:simplePos x="0" y="0"/>
                <wp:positionH relativeFrom="column">
                  <wp:posOffset>3775710</wp:posOffset>
                </wp:positionH>
                <wp:positionV relativeFrom="paragraph">
                  <wp:posOffset>192828</wp:posOffset>
                </wp:positionV>
                <wp:extent cx="2011680" cy="2194560"/>
                <wp:effectExtent l="0" t="0" r="26670" b="15240"/>
                <wp:wrapNone/>
                <wp:docPr id="2114622121"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ED7D31">
                            <a:lumMod val="50000"/>
                          </a:srgbClr>
                        </a:solidFill>
                        <a:ln w="12700" cap="flat" cmpd="sng" algn="ctr">
                          <a:solidFill>
                            <a:srgbClr val="4472C4">
                              <a:shade val="15000"/>
                            </a:srgbClr>
                          </a:solidFill>
                          <a:prstDash val="solid"/>
                          <a:miter lim="800000"/>
                        </a:ln>
                        <a:effectLst/>
                      </wps:spPr>
                      <wps:txb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6D0FB" id="_x0000_s1034" style="position:absolute;margin-left:297.3pt;margin-top:15.2pt;width:158.4pt;height:17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" fillcolor="#843c0c" strokecolor="#172c51" strokeweight="1pt">
                <v:stroke joinstyle="miter"/>
                <v:textbo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v:textbox>
              </v:oval>
            </w:pict>
          </mc:Fallback>
        </mc:AlternateContent>
      </w:r>
    </w:p>
    <w:p w14:paraId="6C702394"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3296" behindDoc="0" locked="0" layoutInCell="1" allowOverlap="1" wp14:anchorId="605FB5DC" wp14:editId="52D0B0A8">
                <wp:simplePos x="0" y="0"/>
                <wp:positionH relativeFrom="column">
                  <wp:posOffset>498898</wp:posOffset>
                </wp:positionH>
                <wp:positionV relativeFrom="paragraph">
                  <wp:posOffset>118533</wp:posOffset>
                </wp:positionV>
                <wp:extent cx="2011680" cy="2194560"/>
                <wp:effectExtent l="0" t="0" r="26670" b="15240"/>
                <wp:wrapNone/>
                <wp:docPr id="490393414"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00B0F0"/>
                        </a:solidFill>
                        <a:ln w="12700" cap="flat" cmpd="sng" algn="ctr">
                          <a:solidFill>
                            <a:srgbClr val="4472C4">
                              <a:shade val="15000"/>
                            </a:srgbClr>
                          </a:solidFill>
                          <a:prstDash val="solid"/>
                          <a:miter lim="800000"/>
                        </a:ln>
                        <a:effectLst/>
                      </wps:spPr>
                      <wps:txb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FB5DC" id="_x0000_s1035" style="position:absolute;margin-left:39.3pt;margin-top:9.35pt;width:158.4pt;height:17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" fillcolor="#00b0f0" strokecolor="#172c51" strokeweight="1pt">
                <v:stroke joinstyle="miter"/>
                <v:textbo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v:textbox>
              </v:oval>
            </w:pict>
          </mc:Fallback>
        </mc:AlternateContent>
      </w:r>
    </w:p>
    <w:p w14:paraId="2511D1A3" w14:textId="77777777" w:rsidR="00AB5A20" w:rsidRPr="00285F16" w:rsidRDefault="00AB5A20" w:rsidP="00AB5A20">
      <w:pPr>
        <w:tabs>
          <w:tab w:val="left" w:pos="7467"/>
        </w:tabs>
        <w:rPr>
          <w:rFonts w:ascii="Baskerville Old Face" w:hAnsi="Baskerville Old Face" w:cs="Times New Roman"/>
          <w:sz w:val="24"/>
          <w:szCs w:val="24"/>
        </w:rPr>
      </w:pPr>
    </w:p>
    <w:p w14:paraId="37A43135" w14:textId="77777777" w:rsidR="00AB5A20" w:rsidRPr="00285F16" w:rsidRDefault="00AB5A20" w:rsidP="00AB5A20">
      <w:pPr>
        <w:tabs>
          <w:tab w:val="left" w:pos="7467"/>
        </w:tabs>
        <w:rPr>
          <w:rFonts w:ascii="Baskerville Old Face" w:hAnsi="Baskerville Old Face" w:cs="Times New Roman"/>
          <w:sz w:val="24"/>
          <w:szCs w:val="24"/>
        </w:rPr>
      </w:pPr>
    </w:p>
    <w:p w14:paraId="310093AC" w14:textId="77777777" w:rsidR="00AB5A20" w:rsidRPr="00285F16" w:rsidRDefault="00AB5A20" w:rsidP="00AB5A20">
      <w:pPr>
        <w:tabs>
          <w:tab w:val="left" w:pos="7467"/>
        </w:tabs>
        <w:rPr>
          <w:rFonts w:ascii="Baskerville Old Face" w:hAnsi="Baskerville Old Face" w:cs="Times New Roman"/>
          <w:sz w:val="24"/>
          <w:szCs w:val="24"/>
        </w:rPr>
      </w:pPr>
    </w:p>
    <w:p w14:paraId="7E2E0A04" w14:textId="77777777" w:rsidR="00AB5A20" w:rsidRPr="00285F16" w:rsidRDefault="00AB5A20" w:rsidP="00AB5A20">
      <w:pPr>
        <w:tabs>
          <w:tab w:val="left" w:pos="7467"/>
        </w:tabs>
        <w:rPr>
          <w:rFonts w:ascii="Baskerville Old Face" w:hAnsi="Baskerville Old Face" w:cs="Times New Roman"/>
          <w:sz w:val="24"/>
          <w:szCs w:val="24"/>
        </w:rPr>
      </w:pPr>
    </w:p>
    <w:p w14:paraId="4743482B"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2272" behindDoc="0" locked="0" layoutInCell="1" allowOverlap="1" wp14:anchorId="2B1600EA" wp14:editId="062DC95C">
                <wp:simplePos x="0" y="0"/>
                <wp:positionH relativeFrom="margin">
                  <wp:align>right</wp:align>
                </wp:positionH>
                <wp:positionV relativeFrom="paragraph">
                  <wp:posOffset>199601</wp:posOffset>
                </wp:positionV>
                <wp:extent cx="2099733" cy="2226733"/>
                <wp:effectExtent l="0" t="0" r="15240" b="21590"/>
                <wp:wrapNone/>
                <wp:docPr id="388461447" name="Oval 21"/>
                <wp:cNvGraphicFramePr/>
                <a:graphic xmlns:a="http://schemas.openxmlformats.org/drawingml/2006/main">
                  <a:graphicData uri="http://schemas.microsoft.com/office/word/2010/wordprocessingShape">
                    <wps:wsp>
                      <wps:cNvSpPr/>
                      <wps:spPr>
                        <a:xfrm>
                          <a:off x="0" y="0"/>
                          <a:ext cx="2099733" cy="2226733"/>
                        </a:xfrm>
                        <a:prstGeom prst="ellipse">
                          <a:avLst/>
                        </a:prstGeom>
                        <a:solidFill>
                          <a:srgbClr val="FFC000">
                            <a:lumMod val="50000"/>
                          </a:srgbClr>
                        </a:solidFill>
                        <a:ln w="12700" cap="flat" cmpd="sng" algn="ctr">
                          <a:solidFill>
                            <a:srgbClr val="4472C4">
                              <a:shade val="15000"/>
                            </a:srgbClr>
                          </a:solidFill>
                          <a:prstDash val="solid"/>
                          <a:miter lim="800000"/>
                        </a:ln>
                        <a:effectLst/>
                      </wps:spPr>
                      <wps:txb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00EA" id="_x0000_s1036" style="position:absolute;margin-left:114.15pt;margin-top:15.7pt;width:165.35pt;height:175.3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" fillcolor="#7f6000" strokecolor="#172c51" strokeweight="1pt">
                <v:stroke joinstyle="miter"/>
                <v:textbo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v:textbox>
                <w10:wrap anchorx="margin"/>
              </v:oval>
            </w:pict>
          </mc:Fallback>
        </mc:AlternateContent>
      </w:r>
    </w:p>
    <w:p w14:paraId="7B347841"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0224" behindDoc="0" locked="0" layoutInCell="1" allowOverlap="1" wp14:anchorId="25927251" wp14:editId="7E38411F">
                <wp:simplePos x="0" y="0"/>
                <wp:positionH relativeFrom="column">
                  <wp:posOffset>2310765</wp:posOffset>
                </wp:positionH>
                <wp:positionV relativeFrom="paragraph">
                  <wp:posOffset>520700</wp:posOffset>
                </wp:positionV>
                <wp:extent cx="2011680" cy="2194560"/>
                <wp:effectExtent l="0" t="0" r="26670" b="15240"/>
                <wp:wrapNone/>
                <wp:docPr id="197952876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ysClr val="window" lastClr="FFFFFF">
                            <a:lumMod val="50000"/>
                          </a:sysClr>
                        </a:solidFill>
                        <a:ln w="12700" cap="flat" cmpd="sng" algn="ctr">
                          <a:solidFill>
                            <a:srgbClr val="4472C4">
                              <a:shade val="15000"/>
                            </a:srgbClr>
                          </a:solidFill>
                          <a:prstDash val="solid"/>
                          <a:miter lim="800000"/>
                        </a:ln>
                        <a:effectLst/>
                      </wps:spPr>
                      <wps:txb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27251" id="_x0000_s1037" style="position:absolute;margin-left:181.95pt;margin-top:41pt;width:158.4pt;height:17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" fillcolor="#7f7f7f" strokecolor="#172c51" strokeweight="1pt">
                <v:stroke joinstyle="miter"/>
                <v:textbo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v:textbox>
              </v:oval>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4320" behindDoc="0" locked="0" layoutInCell="1" allowOverlap="1" wp14:anchorId="4F274F34" wp14:editId="32164AFE">
                <wp:simplePos x="0" y="0"/>
                <wp:positionH relativeFrom="margin">
                  <wp:posOffset>727710</wp:posOffset>
                </wp:positionH>
                <wp:positionV relativeFrom="paragraph">
                  <wp:posOffset>81280</wp:posOffset>
                </wp:positionV>
                <wp:extent cx="2011680" cy="2194560"/>
                <wp:effectExtent l="0" t="0" r="26670" b="15240"/>
                <wp:wrapNone/>
                <wp:docPr id="442702720"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FFC000"/>
                        </a:solidFill>
                        <a:ln w="12700" cap="flat" cmpd="sng" algn="ctr">
                          <a:solidFill>
                            <a:srgbClr val="4472C4">
                              <a:shade val="15000"/>
                            </a:srgbClr>
                          </a:solidFill>
                          <a:prstDash val="solid"/>
                          <a:miter lim="800000"/>
                        </a:ln>
                        <a:effectLst/>
                      </wps:spPr>
                      <wps:txb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74F34" id="_x0000_s1038" style="position:absolute;margin-left:57.3pt;margin-top:6.4pt;width:158.4pt;height:17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" fillcolor="#ffc000" strokecolor="#172c51" strokeweight="1pt">
                <v:stroke joinstyle="miter"/>
                <v:textbo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v:textbox>
                <w10:wrap anchorx="margin"/>
              </v:oval>
            </w:pict>
          </mc:Fallback>
        </mc:AlternateContent>
      </w:r>
    </w:p>
    <w:p w14:paraId="6FEBD03E" w14:textId="77777777" w:rsidR="008D2DA5" w:rsidRPr="00285F16" w:rsidRDefault="008D2DA5" w:rsidP="000E4D6C">
      <w:pPr>
        <w:rPr>
          <w:rFonts w:ascii="Baskerville Old Face" w:hAnsi="Baskerville Old Face" w:cs="Times New Roman"/>
          <w:sz w:val="24"/>
          <w:szCs w:val="24"/>
        </w:rPr>
      </w:pPr>
    </w:p>
    <w:p w14:paraId="66DD66CE" w14:textId="038925C6" w:rsidR="008D2DA5" w:rsidRPr="00285F16" w:rsidRDefault="008D2DA5" w:rsidP="000E4D6C">
      <w:pPr>
        <w:rPr>
          <w:rFonts w:ascii="Baskerville Old Face" w:hAnsi="Baskerville Old Face" w:cs="Times New Roman"/>
          <w:sz w:val="24"/>
          <w:szCs w:val="24"/>
        </w:rPr>
      </w:pPr>
    </w:p>
    <w:p w14:paraId="4C86A979" w14:textId="77777777" w:rsidR="008D2DA5" w:rsidRPr="00285F16" w:rsidRDefault="008D2DA5" w:rsidP="000E4D6C">
      <w:pPr>
        <w:rPr>
          <w:rFonts w:ascii="Baskerville Old Face" w:hAnsi="Baskerville Old Face" w:cs="Times New Roman"/>
          <w:sz w:val="24"/>
          <w:szCs w:val="24"/>
        </w:rPr>
      </w:pPr>
    </w:p>
    <w:p w14:paraId="25792BEE" w14:textId="77777777" w:rsidR="008D2DA5" w:rsidRPr="00285F16" w:rsidRDefault="008D2DA5" w:rsidP="000E4D6C">
      <w:pPr>
        <w:rPr>
          <w:rFonts w:ascii="Baskerville Old Face" w:hAnsi="Baskerville Old Face" w:cs="Times New Roman"/>
          <w:sz w:val="24"/>
          <w:szCs w:val="24"/>
        </w:rPr>
      </w:pPr>
    </w:p>
    <w:p w14:paraId="23CAC2D0" w14:textId="77777777" w:rsidR="008D2DA5" w:rsidRPr="00285F16" w:rsidRDefault="008D2DA5" w:rsidP="000E4D6C">
      <w:pPr>
        <w:rPr>
          <w:rFonts w:ascii="Baskerville Old Face" w:hAnsi="Baskerville Old Face" w:cs="Times New Roman"/>
          <w:sz w:val="24"/>
          <w:szCs w:val="24"/>
        </w:rPr>
      </w:pPr>
    </w:p>
    <w:p w14:paraId="08E8EAC3" w14:textId="77777777" w:rsidR="008D2DA5" w:rsidRPr="00285F16" w:rsidRDefault="008D2DA5" w:rsidP="000E4D6C">
      <w:pPr>
        <w:rPr>
          <w:rFonts w:ascii="Baskerville Old Face" w:hAnsi="Baskerville Old Face" w:cs="Times New Roman"/>
          <w:sz w:val="24"/>
          <w:szCs w:val="24"/>
        </w:rPr>
      </w:pPr>
    </w:p>
    <w:p w14:paraId="3C9B83FC" w14:textId="77777777" w:rsidR="008D2DA5" w:rsidRPr="00285F16" w:rsidRDefault="008D2DA5" w:rsidP="000E4D6C">
      <w:pPr>
        <w:rPr>
          <w:rFonts w:ascii="Baskerville Old Face" w:hAnsi="Baskerville Old Face" w:cs="Times New Roman"/>
          <w:sz w:val="24"/>
          <w:szCs w:val="24"/>
        </w:rPr>
      </w:pPr>
    </w:p>
    <w:p w14:paraId="017E7911" w14:textId="77777777" w:rsidR="00C03BAC" w:rsidRDefault="00C03BAC" w:rsidP="000E4D6C">
      <w:pPr>
        <w:rPr>
          <w:rFonts w:ascii="Baskerville Old Face" w:hAnsi="Baskerville Old Face" w:cs="Times New Roman"/>
          <w:b/>
          <w:bCs/>
          <w:sz w:val="24"/>
          <w:szCs w:val="24"/>
        </w:rPr>
      </w:pPr>
    </w:p>
    <w:p w14:paraId="23136656" w14:textId="62CD5A38" w:rsidR="008D2DA5" w:rsidRPr="00520DD2" w:rsidRDefault="00395E0D" w:rsidP="00C03BAC">
      <w:pPr>
        <w:pStyle w:val="Heading2"/>
        <w:rPr>
          <w:rFonts w:ascii="Baskerville Old Face" w:hAnsi="Baskerville Old Face"/>
          <w:b/>
          <w:bCs/>
        </w:rPr>
      </w:pPr>
      <w:bookmarkStart w:id="10" w:name="_Toc198043907"/>
      <w:r w:rsidRPr="00520DD2">
        <w:rPr>
          <w:rFonts w:ascii="Baskerville Old Face" w:hAnsi="Baskerville Old Face"/>
          <w:b/>
          <w:bCs/>
        </w:rPr>
        <w:t xml:space="preserve">1.2 </w:t>
      </w:r>
      <w:r w:rsidR="00DE1932" w:rsidRPr="00520DD2">
        <w:rPr>
          <w:rFonts w:ascii="Baskerville Old Face" w:hAnsi="Baskerville Old Face"/>
          <w:b/>
          <w:bCs/>
        </w:rPr>
        <w:t xml:space="preserve">GOVERNANCE </w:t>
      </w:r>
      <w:r w:rsidR="00F6443D" w:rsidRPr="00520DD2">
        <w:rPr>
          <w:rFonts w:ascii="Baskerville Old Face" w:hAnsi="Baskerville Old Face"/>
          <w:b/>
          <w:bCs/>
        </w:rPr>
        <w:t>STRUCTURE</w:t>
      </w:r>
      <w:bookmarkEnd w:id="10"/>
    </w:p>
    <w:p w14:paraId="3FE4AE61" w14:textId="62C1FFB6" w:rsidR="00F6443D" w:rsidRPr="00A25123" w:rsidRDefault="00F6443D" w:rsidP="00F6443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The governance of the NRA is </w:t>
      </w:r>
      <w:r w:rsidR="00777324">
        <w:rPr>
          <w:rFonts w:ascii="Baskerville Old Face" w:eastAsia="Times New Roman" w:hAnsi="Baskerville Old Face" w:cs="Times New Roman"/>
          <w:kern w:val="0"/>
          <w:sz w:val="24"/>
          <w:szCs w:val="24"/>
          <w14:ligatures w14:val="none"/>
        </w:rPr>
        <w:t>based</w:t>
      </w:r>
      <w:r w:rsidRPr="00A25123">
        <w:rPr>
          <w:rFonts w:ascii="Baskerville Old Face" w:eastAsia="Times New Roman" w:hAnsi="Baskerville Old Face" w:cs="Times New Roman"/>
          <w:kern w:val="0"/>
          <w:sz w:val="24"/>
          <w:szCs w:val="24"/>
          <w14:ligatures w14:val="none"/>
        </w:rPr>
        <w:t xml:space="preserve"> </w:t>
      </w:r>
      <w:r w:rsidR="00777324">
        <w:rPr>
          <w:rFonts w:ascii="Baskerville Old Face" w:eastAsia="Times New Roman" w:hAnsi="Baskerville Old Face" w:cs="Times New Roman"/>
          <w:kern w:val="0"/>
          <w:sz w:val="24"/>
          <w:szCs w:val="24"/>
          <w14:ligatures w14:val="none"/>
        </w:rPr>
        <w:t>on</w:t>
      </w:r>
      <w:r w:rsidRPr="00A25123">
        <w:rPr>
          <w:rFonts w:ascii="Baskerville Old Face" w:eastAsia="Times New Roman" w:hAnsi="Baskerville Old Face" w:cs="Times New Roman"/>
          <w:kern w:val="0"/>
          <w:sz w:val="24"/>
          <w:szCs w:val="24"/>
          <w14:ligatures w14:val="none"/>
        </w:rPr>
        <w:t xml:space="preserve"> the principles of accountability, oversight, and strategic leadership. The Authority operates under the supervisory purview of the Ministry of Finance, with policy and strategic direction provided by a Board of Directors as established under the NRA Act of 2002, </w:t>
      </w:r>
      <w:r w:rsidR="00777324">
        <w:rPr>
          <w:rFonts w:ascii="Baskerville Old Face" w:eastAsia="Times New Roman" w:hAnsi="Baskerville Old Face" w:cs="Times New Roman"/>
          <w:kern w:val="0"/>
          <w:sz w:val="24"/>
          <w:szCs w:val="24"/>
          <w14:ligatures w14:val="none"/>
        </w:rPr>
        <w:t xml:space="preserve">as </w:t>
      </w:r>
      <w:r w:rsidRPr="00A25123">
        <w:rPr>
          <w:rFonts w:ascii="Baskerville Old Face" w:eastAsia="Times New Roman" w:hAnsi="Baskerville Old Face" w:cs="Times New Roman"/>
          <w:kern w:val="0"/>
          <w:sz w:val="24"/>
          <w:szCs w:val="24"/>
          <w14:ligatures w14:val="none"/>
        </w:rPr>
        <w:t>amended in 2022.</w:t>
      </w:r>
    </w:p>
    <w:p w14:paraId="76011C77" w14:textId="43AC311B" w:rsidR="00F6443D" w:rsidRPr="004268A6" w:rsidRDefault="00F6443D" w:rsidP="00F6443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4268A6">
        <w:rPr>
          <w:rFonts w:ascii="Baskerville Old Face" w:eastAsia="Times New Roman" w:hAnsi="Baskerville Old Face" w:cs="Times New Roman"/>
          <w:kern w:val="0"/>
          <w:sz w:val="24"/>
          <w:szCs w:val="24"/>
          <w14:ligatures w14:val="none"/>
        </w:rPr>
        <w:t>The Board plays a central role in guiding the Authority’s vision and ensuring strong corporate governance. It is chaired by an appointed Chairperson and includes the following members:</w:t>
      </w:r>
    </w:p>
    <w:p w14:paraId="14066212" w14:textId="77777777"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The </w:t>
      </w:r>
      <w:r w:rsidRPr="008239C4">
        <w:rPr>
          <w:rFonts w:ascii="Baskerville Old Face" w:eastAsia="Times New Roman" w:hAnsi="Baskerville Old Face" w:cs="Times New Roman"/>
          <w:b/>
          <w:bCs/>
          <w:kern w:val="0"/>
          <w:sz w:val="24"/>
          <w:szCs w:val="24"/>
          <w14:ligatures w14:val="none"/>
        </w:rPr>
        <w:t>Financial Secretary</w:t>
      </w:r>
    </w:p>
    <w:p w14:paraId="652674E5" w14:textId="729D34FA"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The </w:t>
      </w:r>
      <w:r w:rsidRPr="008239C4">
        <w:rPr>
          <w:rFonts w:ascii="Baskerville Old Face" w:eastAsia="Times New Roman" w:hAnsi="Baskerville Old Face" w:cs="Times New Roman"/>
          <w:b/>
          <w:bCs/>
          <w:kern w:val="0"/>
          <w:sz w:val="24"/>
          <w:szCs w:val="24"/>
          <w14:ligatures w14:val="none"/>
        </w:rPr>
        <w:t>Governor of the Bank of Sierra Leone</w:t>
      </w:r>
    </w:p>
    <w:p w14:paraId="0F5F60F1" w14:textId="77777777"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The </w:t>
      </w:r>
      <w:r w:rsidRPr="008239C4">
        <w:rPr>
          <w:rFonts w:ascii="Baskerville Old Face" w:eastAsia="Times New Roman" w:hAnsi="Baskerville Old Face" w:cs="Times New Roman"/>
          <w:b/>
          <w:bCs/>
          <w:kern w:val="0"/>
          <w:sz w:val="24"/>
          <w:szCs w:val="24"/>
          <w14:ligatures w14:val="none"/>
        </w:rPr>
        <w:t>Commissioner-General of the NRA</w:t>
      </w:r>
    </w:p>
    <w:p w14:paraId="5916B8AB" w14:textId="455D342E"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The </w:t>
      </w:r>
      <w:r w:rsidRPr="008239C4">
        <w:rPr>
          <w:rFonts w:ascii="Baskerville Old Face" w:eastAsia="Times New Roman" w:hAnsi="Baskerville Old Face" w:cs="Times New Roman"/>
          <w:b/>
          <w:bCs/>
          <w:kern w:val="0"/>
          <w:sz w:val="24"/>
          <w:szCs w:val="24"/>
          <w14:ligatures w14:val="none"/>
        </w:rPr>
        <w:t>Permanent Secretary, Ministry of Trade and Industry</w:t>
      </w:r>
    </w:p>
    <w:p w14:paraId="12580A23" w14:textId="77777777"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One </w:t>
      </w:r>
      <w:r w:rsidRPr="008239C4">
        <w:rPr>
          <w:rFonts w:ascii="Baskerville Old Face" w:eastAsia="Times New Roman" w:hAnsi="Baskerville Old Face" w:cs="Times New Roman"/>
          <w:b/>
          <w:bCs/>
          <w:kern w:val="0"/>
          <w:sz w:val="24"/>
          <w:szCs w:val="24"/>
          <w14:ligatures w14:val="none"/>
        </w:rPr>
        <w:t>tax expert</w:t>
      </w:r>
    </w:p>
    <w:p w14:paraId="309EE738" w14:textId="6E3F6D7B"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One </w:t>
      </w:r>
      <w:r w:rsidRPr="008239C4">
        <w:rPr>
          <w:rFonts w:ascii="Baskerville Old Face" w:eastAsia="Times New Roman" w:hAnsi="Baskerville Old Face" w:cs="Times New Roman"/>
          <w:b/>
          <w:bCs/>
          <w:kern w:val="0"/>
          <w:sz w:val="24"/>
          <w:szCs w:val="24"/>
          <w14:ligatures w14:val="none"/>
        </w:rPr>
        <w:t>economist</w:t>
      </w:r>
    </w:p>
    <w:p w14:paraId="5B191D6B" w14:textId="77777777" w:rsidR="00F6443D" w:rsidRPr="008239C4" w:rsidRDefault="00F6443D" w:rsidP="00931C1A">
      <w:pPr>
        <w:pStyle w:val="ListParagraph"/>
        <w:numPr>
          <w:ilvl w:val="0"/>
          <w:numId w:val="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One </w:t>
      </w:r>
      <w:r w:rsidRPr="008239C4">
        <w:rPr>
          <w:rFonts w:ascii="Baskerville Old Face" w:eastAsia="Times New Roman" w:hAnsi="Baskerville Old Face" w:cs="Times New Roman"/>
          <w:b/>
          <w:bCs/>
          <w:kern w:val="0"/>
          <w:sz w:val="24"/>
          <w:szCs w:val="24"/>
          <w14:ligatures w14:val="none"/>
        </w:rPr>
        <w:t>legal practitioner</w:t>
      </w:r>
    </w:p>
    <w:p w14:paraId="6D8A760C" w14:textId="77777777" w:rsidR="00F6443D" w:rsidRPr="00A25123" w:rsidRDefault="00F6443D" w:rsidP="00F6443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While the Financial Secretary, the Bank Governor, the Commissioner-General, and the Permanent Secretary are statutory members, the remaining appointments are made by the President of the Republic of Sierra Leone. Appointed members serve a three-year term, renewable once, in line with the provisions of the amended NRA Act.</w:t>
      </w:r>
    </w:p>
    <w:p w14:paraId="73DFA4F0" w14:textId="77777777" w:rsidR="00F6443D" w:rsidRPr="00A25123" w:rsidRDefault="00F6443D" w:rsidP="00F6443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Operational management of the NRA is entrusted to the Commissioner-General, who leads a Senior Management Team (SMT) comprising:</w:t>
      </w:r>
    </w:p>
    <w:p w14:paraId="65C791AF" w14:textId="77777777" w:rsidR="00F6443D" w:rsidRPr="008239C4" w:rsidRDefault="00F6443D" w:rsidP="00931C1A">
      <w:pPr>
        <w:pStyle w:val="ListParagraph"/>
        <w:numPr>
          <w:ilvl w:val="0"/>
          <w:numId w:val="6"/>
        </w:num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 xml:space="preserve">Two </w:t>
      </w:r>
      <w:r w:rsidRPr="008239C4">
        <w:rPr>
          <w:rFonts w:ascii="Baskerville Old Face" w:eastAsia="Times New Roman" w:hAnsi="Baskerville Old Face" w:cs="Times New Roman"/>
          <w:b/>
          <w:bCs/>
          <w:kern w:val="0"/>
          <w:sz w:val="24"/>
          <w:szCs w:val="24"/>
          <w14:ligatures w14:val="none"/>
        </w:rPr>
        <w:t>Deputy Commissioner-Generals</w:t>
      </w:r>
    </w:p>
    <w:p w14:paraId="342CC236" w14:textId="77777777" w:rsidR="00F6443D" w:rsidRPr="008239C4" w:rsidRDefault="00F6443D" w:rsidP="00931C1A">
      <w:pPr>
        <w:pStyle w:val="ListParagraph"/>
        <w:numPr>
          <w:ilvl w:val="0"/>
          <w:numId w:val="6"/>
        </w:num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b/>
          <w:bCs/>
          <w:kern w:val="0"/>
          <w:sz w:val="24"/>
          <w:szCs w:val="24"/>
          <w14:ligatures w14:val="none"/>
        </w:rPr>
        <w:t>Commissioners and Directors</w:t>
      </w:r>
      <w:r w:rsidRPr="008239C4">
        <w:rPr>
          <w:rFonts w:ascii="Baskerville Old Face" w:eastAsia="Times New Roman" w:hAnsi="Baskerville Old Face" w:cs="Times New Roman"/>
          <w:kern w:val="0"/>
          <w:sz w:val="24"/>
          <w:szCs w:val="24"/>
          <w14:ligatures w14:val="none"/>
        </w:rPr>
        <w:t xml:space="preserve">, along with their </w:t>
      </w:r>
      <w:r w:rsidRPr="008239C4">
        <w:rPr>
          <w:rFonts w:ascii="Baskerville Old Face" w:eastAsia="Times New Roman" w:hAnsi="Baskerville Old Face" w:cs="Times New Roman"/>
          <w:b/>
          <w:bCs/>
          <w:kern w:val="0"/>
          <w:sz w:val="24"/>
          <w:szCs w:val="24"/>
          <w14:ligatures w14:val="none"/>
        </w:rPr>
        <w:t>Deputies</w:t>
      </w:r>
    </w:p>
    <w:p w14:paraId="34237114" w14:textId="77777777" w:rsidR="00F6443D" w:rsidRPr="008239C4" w:rsidRDefault="00F6443D" w:rsidP="00931C1A">
      <w:pPr>
        <w:pStyle w:val="ListParagraph"/>
        <w:numPr>
          <w:ilvl w:val="0"/>
          <w:numId w:val="6"/>
        </w:num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Advisors to the Commissioner-General and Deputy Commissioner-Generals</w:t>
      </w:r>
    </w:p>
    <w:p w14:paraId="4EB5CF7A" w14:textId="77777777" w:rsidR="00F6443D" w:rsidRPr="008239C4" w:rsidRDefault="00F6443D" w:rsidP="00931C1A">
      <w:pPr>
        <w:pStyle w:val="ListParagraph"/>
        <w:numPr>
          <w:ilvl w:val="0"/>
          <w:numId w:val="6"/>
        </w:num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8239C4">
        <w:rPr>
          <w:rFonts w:ascii="Baskerville Old Face" w:eastAsia="Times New Roman" w:hAnsi="Baskerville Old Face" w:cs="Times New Roman"/>
          <w:kern w:val="0"/>
          <w:sz w:val="24"/>
          <w:szCs w:val="24"/>
          <w14:ligatures w14:val="none"/>
        </w:rPr>
        <w:t>Executive Assistant to the Office of the Commissioner-General</w:t>
      </w:r>
    </w:p>
    <w:p w14:paraId="2FE5528A" w14:textId="77777777" w:rsidR="00F6443D" w:rsidRPr="004268A6" w:rsidRDefault="00F6443D" w:rsidP="00F6443D">
      <w:p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4268A6">
        <w:rPr>
          <w:rFonts w:ascii="Baskerville Old Face" w:eastAsia="Times New Roman" w:hAnsi="Baskerville Old Face" w:cs="Times New Roman"/>
          <w:kern w:val="0"/>
          <w:sz w:val="24"/>
          <w:szCs w:val="24"/>
          <w14:ligatures w14:val="none"/>
        </w:rPr>
        <w:t>The Board appoints the Deputy Commissioner-Generals, while other senior positions are filled by the Commissioner-General, subject to Board approval.</w:t>
      </w:r>
    </w:p>
    <w:p w14:paraId="0B9C3C19" w14:textId="77777777" w:rsidR="00F6443D" w:rsidRPr="004268A6" w:rsidRDefault="00F6443D" w:rsidP="00F6443D">
      <w:p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4268A6">
        <w:rPr>
          <w:rFonts w:ascii="Baskerville Old Face" w:eastAsia="Times New Roman" w:hAnsi="Baskerville Old Face" w:cs="Times New Roman"/>
          <w:kern w:val="0"/>
          <w:sz w:val="24"/>
          <w:szCs w:val="24"/>
          <w14:ligatures w14:val="none"/>
        </w:rPr>
        <w:t>This governance framework ensures that the NRA operates with a balance of autonomy and oversight, enabling it to efficiently deliver on its mandate while aligning with national policy objectives.</w:t>
      </w:r>
    </w:p>
    <w:p w14:paraId="39F536A8" w14:textId="77777777" w:rsidR="00285F16" w:rsidRDefault="00285F16" w:rsidP="0001617B">
      <w:pPr>
        <w:spacing w:line="360" w:lineRule="auto"/>
        <w:jc w:val="both"/>
        <w:rPr>
          <w:rFonts w:ascii="Baskerville Old Face" w:hAnsi="Baskerville Old Face" w:cs="Times New Roman"/>
          <w:sz w:val="24"/>
          <w:szCs w:val="24"/>
        </w:rPr>
      </w:pPr>
    </w:p>
    <w:p w14:paraId="6F3EABCD" w14:textId="77777777" w:rsidR="0068040E" w:rsidRDefault="0068040E" w:rsidP="0001617B">
      <w:pPr>
        <w:spacing w:line="360" w:lineRule="auto"/>
        <w:jc w:val="both"/>
        <w:rPr>
          <w:rFonts w:ascii="Baskerville Old Face" w:hAnsi="Baskerville Old Face" w:cs="Times New Roman"/>
          <w:sz w:val="24"/>
          <w:szCs w:val="24"/>
        </w:rPr>
      </w:pPr>
    </w:p>
    <w:p w14:paraId="2BE70D12" w14:textId="77777777" w:rsidR="0068040E" w:rsidRDefault="0068040E" w:rsidP="0001617B">
      <w:pPr>
        <w:spacing w:line="360" w:lineRule="auto"/>
        <w:jc w:val="both"/>
        <w:rPr>
          <w:rFonts w:ascii="Baskerville Old Face" w:hAnsi="Baskerville Old Face" w:cs="Times New Roman"/>
          <w:sz w:val="24"/>
          <w:szCs w:val="24"/>
        </w:rPr>
      </w:pPr>
    </w:p>
    <w:p w14:paraId="5BAC096E" w14:textId="0C5DB727" w:rsidR="009E1378" w:rsidRPr="0068040E" w:rsidRDefault="00766021" w:rsidP="00766021">
      <w:pPr>
        <w:pStyle w:val="Caption"/>
        <w:rPr>
          <w:rFonts w:ascii="Baskerville Old Face" w:hAnsi="Baskerville Old Face" w:cs="Times New Roman"/>
          <w:b/>
          <w:bCs/>
          <w:i w:val="0"/>
          <w:iCs w:val="0"/>
          <w:kern w:val="0"/>
          <w:sz w:val="24"/>
          <w:szCs w:val="24"/>
          <w:lang w:val="en-GB"/>
          <w14:ligatures w14:val="none"/>
        </w:rPr>
      </w:pPr>
      <w:bookmarkStart w:id="11" w:name="_Toc198044049"/>
      <w:r w:rsidRPr="0068040E">
        <w:rPr>
          <w:rFonts w:ascii="Baskerville Old Face" w:hAnsi="Baskerville Old Face"/>
          <w:b/>
          <w:bCs/>
          <w:sz w:val="24"/>
          <w:szCs w:val="24"/>
        </w:rPr>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0068040E" w:rsidRPr="0068040E">
        <w:rPr>
          <w:rFonts w:ascii="Baskerville Old Face" w:hAnsi="Baskerville Old Face"/>
          <w:b/>
          <w:bCs/>
          <w:noProof/>
          <w:sz w:val="24"/>
          <w:szCs w:val="24"/>
        </w:rPr>
        <w:t>3</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NRA Organogram</w:t>
      </w:r>
      <w:r w:rsidR="006D734B" w:rsidRPr="0068040E">
        <w:rPr>
          <w:rFonts w:ascii="Baskerville Old Face" w:hAnsi="Baskerville Old Face" w:cs="Times New Roman"/>
          <w:b/>
          <w:bCs/>
          <w:noProof/>
          <w:sz w:val="24"/>
          <w:szCs w:val="24"/>
        </w:rPr>
        <mc:AlternateContent>
          <mc:Choice Requires="wps">
            <w:drawing>
              <wp:anchor distT="0" distB="0" distL="114300" distR="114300" simplePos="0" relativeHeight="251727872" behindDoc="0" locked="0" layoutInCell="1" allowOverlap="1" wp14:anchorId="1999986D" wp14:editId="7F3EF6D7">
                <wp:simplePos x="0" y="0"/>
                <wp:positionH relativeFrom="column">
                  <wp:posOffset>-449580</wp:posOffset>
                </wp:positionH>
                <wp:positionV relativeFrom="paragraph">
                  <wp:posOffset>299085</wp:posOffset>
                </wp:positionV>
                <wp:extent cx="7186295" cy="5962015"/>
                <wp:effectExtent l="0" t="0" r="14605" b="19685"/>
                <wp:wrapNone/>
                <wp:docPr id="22" name="Rectangle 22"/>
                <wp:cNvGraphicFramePr/>
                <a:graphic xmlns:a="http://schemas.openxmlformats.org/drawingml/2006/main">
                  <a:graphicData uri="http://schemas.microsoft.com/office/word/2010/wordprocessingShape">
                    <wps:wsp>
                      <wps:cNvSpPr/>
                      <wps:spPr>
                        <a:xfrm>
                          <a:off x="0" y="0"/>
                          <a:ext cx="7186295" cy="5962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1FABF" id="Rectangle 22" o:spid="_x0000_s1026" style="position:absolute;margin-left:-35.4pt;margin-top:23.55pt;width:565.85pt;height:46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" filled="f" strokecolor="#1f3763 [1604]" strokeweight="1pt"/>
            </w:pict>
          </mc:Fallback>
        </mc:AlternateContent>
      </w:r>
      <w:bookmarkEnd w:id="11"/>
    </w:p>
    <w:bookmarkStart w:id="12" w:name="_Hlk127271187"/>
    <w:bookmarkStart w:id="13" w:name="_Hlk127271267"/>
    <w:p w14:paraId="07B9EE9A" w14:textId="6EC1728D"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7392" behindDoc="0" locked="0" layoutInCell="1" allowOverlap="1" wp14:anchorId="2A830A6C" wp14:editId="00339234">
                <wp:simplePos x="0" y="0"/>
                <wp:positionH relativeFrom="column">
                  <wp:posOffset>1468076</wp:posOffset>
                </wp:positionH>
                <wp:positionV relativeFrom="paragraph">
                  <wp:posOffset>148442</wp:posOffset>
                </wp:positionV>
                <wp:extent cx="3167926" cy="404037"/>
                <wp:effectExtent l="0" t="0" r="13970" b="15240"/>
                <wp:wrapNone/>
                <wp:docPr id="2" name="Flowchart: Terminator 2"/>
                <wp:cNvGraphicFramePr/>
                <a:graphic xmlns:a="http://schemas.openxmlformats.org/drawingml/2006/main">
                  <a:graphicData uri="http://schemas.microsoft.com/office/word/2010/wordprocessingShape">
                    <wps:wsp>
                      <wps:cNvSpPr/>
                      <wps:spPr>
                        <a:xfrm>
                          <a:off x="0" y="0"/>
                          <a:ext cx="3167926" cy="404037"/>
                        </a:xfrm>
                        <a:prstGeom prst="flowChartTerminator">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0A6C" id="_x0000_t116" coordsize="21600,21600" o:spt="116" path="m3475,qx,10800,3475,21600l18125,21600qx21600,10800,18125,xe">
                <v:stroke joinstyle="miter"/>
                <v:path gradientshapeok="t" o:connecttype="rect" textboxrect="1018,3163,20582,18437"/>
              </v:shapetype>
              <v:shape id="Flowchart: Terminator 2" o:spid="_x0000_s1039" type="#_x0000_t116" style="position:absolute;margin-left:115.6pt;margin-top:11.7pt;width:249.45pt;height:3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" fillcolor="#002060" strokecolor="#1f3763 [1604]" strokeweight="1pt">
                <v:textbo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v:textbox>
              </v:shape>
            </w:pict>
          </mc:Fallback>
        </mc:AlternateContent>
      </w:r>
    </w:p>
    <w:p w14:paraId="03034D3C" w14:textId="2170CA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5280" behindDoc="0" locked="0" layoutInCell="1" allowOverlap="1" wp14:anchorId="5287760A" wp14:editId="7ACD4CCF">
                <wp:simplePos x="0" y="0"/>
                <wp:positionH relativeFrom="column">
                  <wp:posOffset>1365250</wp:posOffset>
                </wp:positionH>
                <wp:positionV relativeFrom="paragraph">
                  <wp:posOffset>53340</wp:posOffset>
                </wp:positionV>
                <wp:extent cx="9144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91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81CF" id="Straight Connector 2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2pt" to="11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" strokecolor="black [3200]" strokeweight="1.5pt">
                <v:stroke joinstyle="miter"/>
              </v:lin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4256" behindDoc="0" locked="0" layoutInCell="1" allowOverlap="1" wp14:anchorId="557C7482" wp14:editId="7F13EA8E">
                <wp:simplePos x="0" y="0"/>
                <wp:positionH relativeFrom="column">
                  <wp:posOffset>1369060</wp:posOffset>
                </wp:positionH>
                <wp:positionV relativeFrom="paragraph">
                  <wp:posOffset>56515</wp:posOffset>
                </wp:positionV>
                <wp:extent cx="0" cy="1280160"/>
                <wp:effectExtent l="76200" t="0" r="95250" b="53340"/>
                <wp:wrapNone/>
                <wp:docPr id="25" name="Straight Arrow Connector 25"/>
                <wp:cNvGraphicFramePr/>
                <a:graphic xmlns:a="http://schemas.openxmlformats.org/drawingml/2006/main">
                  <a:graphicData uri="http://schemas.microsoft.com/office/word/2010/wordprocessingShape">
                    <wps:wsp>
                      <wps:cNvCnPr/>
                      <wps:spPr>
                        <a:xfrm>
                          <a:off x="0" y="0"/>
                          <a:ext cx="0" cy="1280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0B601" id="_x0000_t32" coordsize="21600,21600" o:spt="32" o:oned="t" path="m,l21600,21600e" filled="f">
                <v:path arrowok="t" fillok="f" o:connecttype="none"/>
                <o:lock v:ext="edit" shapetype="t"/>
              </v:shapetype>
              <v:shape id="Straight Arrow Connector 25" o:spid="_x0000_s1026" type="#_x0000_t32" style="position:absolute;margin-left:107.8pt;margin-top:4.45pt;width:0;height:10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" strokecolor="black [3200]" strokeweight="1.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1184" behindDoc="0" locked="0" layoutInCell="1" allowOverlap="1" wp14:anchorId="68EDEFA9" wp14:editId="0B1020C2">
                <wp:simplePos x="0" y="0"/>
                <wp:positionH relativeFrom="margin">
                  <wp:posOffset>6079357</wp:posOffset>
                </wp:positionH>
                <wp:positionV relativeFrom="paragraph">
                  <wp:posOffset>210837</wp:posOffset>
                </wp:positionV>
                <wp:extent cx="924989" cy="260379"/>
                <wp:effectExtent l="8255" t="0" r="17145" b="17145"/>
                <wp:wrapNone/>
                <wp:docPr id="55" name="Text Box 55"/>
                <wp:cNvGraphicFramePr/>
                <a:graphic xmlns:a="http://schemas.openxmlformats.org/drawingml/2006/main">
                  <a:graphicData uri="http://schemas.microsoft.com/office/word/2010/wordprocessingShape">
                    <wps:wsp>
                      <wps:cNvSpPr txBox="1"/>
                      <wps:spPr>
                        <a:xfrm rot="16200000">
                          <a:off x="0" y="0"/>
                          <a:ext cx="924989" cy="260379"/>
                        </a:xfrm>
                        <a:prstGeom prst="rect">
                          <a:avLst/>
                        </a:prstGeom>
                        <a:solidFill>
                          <a:sysClr val="window" lastClr="FFFFFF"/>
                        </a:solidFill>
                        <a:ln w="6350">
                          <a:solidFill>
                            <a:prstClr val="black"/>
                          </a:solidFill>
                        </a:ln>
                      </wps:spPr>
                      <wps:txb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EFA9" id="_x0000_t202" coordsize="21600,21600" o:spt="202" path="m,l,21600r21600,l21600,xe">
                <v:stroke joinstyle="miter"/>
                <v:path gradientshapeok="t" o:connecttype="rect"/>
              </v:shapetype>
              <v:shape id="Text Box 55" o:spid="_x0000_s1040" type="#_x0000_t202" style="position:absolute;margin-left:478.7pt;margin-top:16.6pt;width:72.85pt;height:20.5pt;rotation:-9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" fillcolor="window" strokeweight=".5pt">
                <v:textbo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8416" behindDoc="0" locked="0" layoutInCell="1" allowOverlap="1" wp14:anchorId="04C55758" wp14:editId="21B48C88">
                <wp:simplePos x="0" y="0"/>
                <wp:positionH relativeFrom="column">
                  <wp:posOffset>4843335</wp:posOffset>
                </wp:positionH>
                <wp:positionV relativeFrom="paragraph">
                  <wp:posOffset>141605</wp:posOffset>
                </wp:positionV>
                <wp:extent cx="1413066" cy="361315"/>
                <wp:effectExtent l="0" t="0" r="15875" b="19685"/>
                <wp:wrapNone/>
                <wp:docPr id="3" name="Flowchart: Terminator 3"/>
                <wp:cNvGraphicFramePr/>
                <a:graphic xmlns:a="http://schemas.openxmlformats.org/drawingml/2006/main">
                  <a:graphicData uri="http://schemas.microsoft.com/office/word/2010/wordprocessingShape">
                    <wps:wsp>
                      <wps:cNvSpPr/>
                      <wps:spPr>
                        <a:xfrm>
                          <a:off x="0" y="0"/>
                          <a:ext cx="1413066" cy="361315"/>
                        </a:xfrm>
                        <a:prstGeom prst="flowChartTerminator">
                          <a:avLst/>
                        </a:prstGeom>
                        <a:solidFill>
                          <a:schemeClr val="bg2">
                            <a:lumMod val="50000"/>
                          </a:schemeClr>
                        </a:solidFill>
                        <a:ln w="12700" cap="flat" cmpd="sng" algn="ctr">
                          <a:solidFill>
                            <a:srgbClr val="4472C4">
                              <a:shade val="50000"/>
                            </a:srgbClr>
                          </a:solidFill>
                          <a:prstDash val="solid"/>
                          <a:miter lim="800000"/>
                        </a:ln>
                        <a:effectLst/>
                      </wps:spPr>
                      <wps:txb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5758" id="Flowchart: Terminator 3" o:spid="_x0000_s1041" type="#_x0000_t116" style="position:absolute;margin-left:381.35pt;margin-top:11.15pt;width:111.25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" fillcolor="#747070 [1614]" strokecolor="#2f528f" strokeweight="1pt">
                <v:textbo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2992" behindDoc="0" locked="0" layoutInCell="1" allowOverlap="1" wp14:anchorId="268014C6" wp14:editId="1AA9C1D4">
                <wp:simplePos x="0" y="0"/>
                <wp:positionH relativeFrom="column">
                  <wp:posOffset>4643252</wp:posOffset>
                </wp:positionH>
                <wp:positionV relativeFrom="paragraph">
                  <wp:posOffset>34884</wp:posOffset>
                </wp:positionV>
                <wp:extent cx="190005" cy="319405"/>
                <wp:effectExtent l="0" t="0" r="38735" b="99695"/>
                <wp:wrapNone/>
                <wp:docPr id="38" name="Connector: Elbow 38"/>
                <wp:cNvGraphicFramePr/>
                <a:graphic xmlns:a="http://schemas.openxmlformats.org/drawingml/2006/main">
                  <a:graphicData uri="http://schemas.microsoft.com/office/word/2010/wordprocessingShape">
                    <wps:wsp>
                      <wps:cNvCnPr/>
                      <wps:spPr>
                        <a:xfrm>
                          <a:off x="0" y="0"/>
                          <a:ext cx="190005" cy="319405"/>
                        </a:xfrm>
                        <a:prstGeom prst="bentConnector3">
                          <a:avLst>
                            <a:gd name="adj1" fmla="val 318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26AE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8" o:spid="_x0000_s1026" type="#_x0000_t34" style="position:absolute;margin-left:365.6pt;margin-top:2.75pt;width:14.95pt;height:2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" adj="6881" strokecolor="#4472c4 [3204]" strokeweight=".5pt">
                <v:stroke endarrow="block"/>
              </v:shape>
            </w:pict>
          </mc:Fallback>
        </mc:AlternateContent>
      </w:r>
    </w:p>
    <w:p w14:paraId="30B6AE9F" w14:textId="77777777" w:rsidR="009E1378" w:rsidRPr="00285F16" w:rsidRDefault="009E1378" w:rsidP="009E1378">
      <w:pPr>
        <w:rPr>
          <w:rFonts w:ascii="Baskerville Old Face" w:hAnsi="Baskerville Old Face" w:cs="Times New Roman"/>
          <w:sz w:val="24"/>
          <w:szCs w:val="24"/>
        </w:rPr>
      </w:pPr>
    </w:p>
    <w:bookmarkEnd w:id="12"/>
    <w:p w14:paraId="6B55C99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9440" behindDoc="0" locked="0" layoutInCell="1" allowOverlap="1" wp14:anchorId="7D7DA9F2" wp14:editId="614318F8">
                <wp:simplePos x="0" y="0"/>
                <wp:positionH relativeFrom="column">
                  <wp:posOffset>1650365</wp:posOffset>
                </wp:positionH>
                <wp:positionV relativeFrom="paragraph">
                  <wp:posOffset>93345</wp:posOffset>
                </wp:positionV>
                <wp:extent cx="2926080" cy="457200"/>
                <wp:effectExtent l="0" t="0" r="26670" b="19050"/>
                <wp:wrapNone/>
                <wp:docPr id="4" name="Flowchart: Terminator 4"/>
                <wp:cNvGraphicFramePr/>
                <a:graphic xmlns:a="http://schemas.openxmlformats.org/drawingml/2006/main">
                  <a:graphicData uri="http://schemas.microsoft.com/office/word/2010/wordprocessingShape">
                    <wps:wsp>
                      <wps:cNvSpPr/>
                      <wps:spPr>
                        <a:xfrm>
                          <a:off x="0" y="0"/>
                          <a:ext cx="292608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A9F2" id="Flowchart: Terminator 4" o:spid="_x0000_s1042" type="#_x0000_t116" style="position:absolute;margin-left:129.95pt;margin-top:7.35pt;width:230.4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" fillcolor="#2f5597" strokecolor="#2f528f" strokeweight="1pt">
                <v:textbo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v:textbox>
              </v:shape>
            </w:pict>
          </mc:Fallback>
        </mc:AlternateContent>
      </w:r>
    </w:p>
    <w:p w14:paraId="5524007F" w14:textId="2AF3B4B5"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9920" behindDoc="0" locked="0" layoutInCell="1" allowOverlap="1" wp14:anchorId="2CE5DF08" wp14:editId="43EA17E6">
                <wp:simplePos x="0" y="0"/>
                <wp:positionH relativeFrom="margin">
                  <wp:posOffset>1242060</wp:posOffset>
                </wp:positionH>
                <wp:positionV relativeFrom="paragraph">
                  <wp:posOffset>31115</wp:posOffset>
                </wp:positionV>
                <wp:extent cx="381000" cy="922020"/>
                <wp:effectExtent l="38100" t="0" r="19050" b="87630"/>
                <wp:wrapNone/>
                <wp:docPr id="35" name="Connector: Elbow 35"/>
                <wp:cNvGraphicFramePr/>
                <a:graphic xmlns:a="http://schemas.openxmlformats.org/drawingml/2006/main">
                  <a:graphicData uri="http://schemas.microsoft.com/office/word/2010/wordprocessingShape">
                    <wps:wsp>
                      <wps:cNvCnPr/>
                      <wps:spPr>
                        <a:xfrm flipH="1">
                          <a:off x="0" y="0"/>
                          <a:ext cx="381000" cy="922020"/>
                        </a:xfrm>
                        <a:prstGeom prst="bentConnector3">
                          <a:avLst>
                            <a:gd name="adj1" fmla="val 2747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DCBFC" id="Connector: Elbow 35" o:spid="_x0000_s1026" type="#_x0000_t34" style="position:absolute;margin-left:97.8pt;margin-top:2.45pt;width:30pt;height:72.6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" adj="5934" strokecolor="#4472c4" strokeweight=".5pt">
                <v:stroke endarrow="block"/>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8896" behindDoc="0" locked="0" layoutInCell="1" allowOverlap="1" wp14:anchorId="598D2231" wp14:editId="62684FBB">
                <wp:simplePos x="0" y="0"/>
                <wp:positionH relativeFrom="column">
                  <wp:posOffset>4531360</wp:posOffset>
                </wp:positionH>
                <wp:positionV relativeFrom="paragraph">
                  <wp:posOffset>30480</wp:posOffset>
                </wp:positionV>
                <wp:extent cx="274320" cy="891540"/>
                <wp:effectExtent l="0" t="0" r="30480" b="99060"/>
                <wp:wrapNone/>
                <wp:docPr id="33" name="Connector: Elbow 33"/>
                <wp:cNvGraphicFramePr/>
                <a:graphic xmlns:a="http://schemas.openxmlformats.org/drawingml/2006/main">
                  <a:graphicData uri="http://schemas.microsoft.com/office/word/2010/wordprocessingShape">
                    <wps:wsp>
                      <wps:cNvCnPr/>
                      <wps:spPr>
                        <a:xfrm>
                          <a:off x="0" y="0"/>
                          <a:ext cx="274320" cy="8915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513D9" id="Connector: Elbow 33" o:spid="_x0000_s1026" type="#_x0000_t34" style="position:absolute;margin-left:356.8pt;margin-top:2.4pt;width:21.6pt;height:7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" strokecolor="#4472c4 [3204]" strokeweight=".5pt">
                <v:stroke endarrow="block"/>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7632" behindDoc="0" locked="0" layoutInCell="1" allowOverlap="1" wp14:anchorId="50C4C316" wp14:editId="277CFDA8">
                <wp:simplePos x="0" y="0"/>
                <wp:positionH relativeFrom="margin">
                  <wp:posOffset>-172085</wp:posOffset>
                </wp:positionH>
                <wp:positionV relativeFrom="paragraph">
                  <wp:posOffset>335280</wp:posOffset>
                </wp:positionV>
                <wp:extent cx="1391920" cy="361315"/>
                <wp:effectExtent l="0" t="0" r="17780" b="19685"/>
                <wp:wrapNone/>
                <wp:docPr id="12" name="Flowchart: Terminator 12"/>
                <wp:cNvGraphicFramePr/>
                <a:graphic xmlns:a="http://schemas.openxmlformats.org/drawingml/2006/main">
                  <a:graphicData uri="http://schemas.microsoft.com/office/word/2010/wordprocessingShape">
                    <wps:wsp>
                      <wps:cNvSpPr/>
                      <wps:spPr>
                        <a:xfrm>
                          <a:off x="0" y="0"/>
                          <a:ext cx="1391920"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C316" id="Flowchart: Terminator 12" o:spid="_x0000_s1043" type="#_x0000_t116" style="position:absolute;margin-left:-13.55pt;margin-top:26.4pt;width:109.6pt;height:28.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" fillcolor="#823b0b [1605]" strokecolor="#2f528f" strokeweight="1pt">
                <v:textbo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v:textbox>
                <w10:wrap anchorx="margin"/>
              </v:shape>
            </w:pict>
          </mc:Fallback>
        </mc:AlternateContent>
      </w:r>
    </w:p>
    <w:p w14:paraId="6133E32C" w14:textId="662842BE" w:rsidR="009E1378" w:rsidRPr="00285F16" w:rsidRDefault="009E1378" w:rsidP="009E1378">
      <w:pPr>
        <w:tabs>
          <w:tab w:val="left" w:pos="1982"/>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0944" behindDoc="0" locked="0" layoutInCell="1" allowOverlap="1" wp14:anchorId="44FB05FE" wp14:editId="3A8B2D20">
                <wp:simplePos x="0" y="0"/>
                <wp:positionH relativeFrom="column">
                  <wp:posOffset>1203960</wp:posOffset>
                </wp:positionH>
                <wp:positionV relativeFrom="paragraph">
                  <wp:posOffset>187325</wp:posOffset>
                </wp:positionV>
                <wp:extent cx="304800"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253CD" id="Straight Arrow Connector 36" o:spid="_x0000_s1026" type="#_x0000_t32" style="position:absolute;margin-left:94.8pt;margin-top:14.75pt;width:24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1968" behindDoc="0" locked="0" layoutInCell="1" allowOverlap="1" wp14:anchorId="011BE7A2" wp14:editId="319560F2">
                <wp:simplePos x="0" y="0"/>
                <wp:positionH relativeFrom="column">
                  <wp:posOffset>4677410</wp:posOffset>
                </wp:positionH>
                <wp:positionV relativeFrom="paragraph">
                  <wp:posOffset>155575</wp:posOffset>
                </wp:positionV>
                <wp:extent cx="140335" cy="0"/>
                <wp:effectExtent l="0" t="76200" r="12065" b="95250"/>
                <wp:wrapNone/>
                <wp:docPr id="37" name="Straight Arrow Connector 37"/>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3BD3B" id="Straight Arrow Connector 37" o:spid="_x0000_s1026" type="#_x0000_t32" style="position:absolute;margin-left:368.3pt;margin-top:12.25pt;width:11.05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0160" behindDoc="0" locked="0" layoutInCell="1" allowOverlap="1" wp14:anchorId="41A28E47" wp14:editId="14391908">
                <wp:simplePos x="0" y="0"/>
                <wp:positionH relativeFrom="margin">
                  <wp:posOffset>6069273</wp:posOffset>
                </wp:positionH>
                <wp:positionV relativeFrom="paragraph">
                  <wp:posOffset>199386</wp:posOffset>
                </wp:positionV>
                <wp:extent cx="946479" cy="294640"/>
                <wp:effectExtent l="1905" t="0" r="27305" b="27305"/>
                <wp:wrapNone/>
                <wp:docPr id="54" name="Text Box 54"/>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8E47" id="Text Box 54" o:spid="_x0000_s1044" type="#_x0000_t202" style="position:absolute;margin-left:477.9pt;margin-top:15.7pt;width:74.55pt;height:23.2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" fillcolor="window" strokeweight=".5pt">
                <v:textbo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6608" behindDoc="0" locked="0" layoutInCell="1" allowOverlap="1" wp14:anchorId="6D81F636" wp14:editId="2DCF5933">
                <wp:simplePos x="0" y="0"/>
                <wp:positionH relativeFrom="margin">
                  <wp:posOffset>4797631</wp:posOffset>
                </wp:positionH>
                <wp:positionV relativeFrom="paragraph">
                  <wp:posOffset>8799</wp:posOffset>
                </wp:positionV>
                <wp:extent cx="1436914" cy="361315"/>
                <wp:effectExtent l="0" t="0" r="11430" b="19685"/>
                <wp:wrapNone/>
                <wp:docPr id="11" name="Flowchart: Terminator 11"/>
                <wp:cNvGraphicFramePr/>
                <a:graphic xmlns:a="http://schemas.openxmlformats.org/drawingml/2006/main">
                  <a:graphicData uri="http://schemas.microsoft.com/office/word/2010/wordprocessingShape">
                    <wps:wsp>
                      <wps:cNvSpPr/>
                      <wps:spPr>
                        <a:xfrm>
                          <a:off x="0" y="0"/>
                          <a:ext cx="1436914"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F636" id="Flowchart: Terminator 11" o:spid="_x0000_s1045" type="#_x0000_t116" style="position:absolute;margin-left:377.75pt;margin-top:.7pt;width:113.15pt;height:28.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" fillcolor="#823b0b [1605]" strokecolor="#2f528f" strokeweight="1pt">
                <v:textbo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v:textbox>
                <w10:wrap anchorx="margin"/>
              </v:shape>
            </w:pict>
          </mc:Fallback>
        </mc:AlternateContent>
      </w:r>
      <w:r w:rsidRPr="00285F16">
        <w:rPr>
          <w:rFonts w:ascii="Baskerville Old Face" w:hAnsi="Baskerville Old Face" w:cs="Times New Roman"/>
          <w:sz w:val="24"/>
          <w:szCs w:val="24"/>
        </w:rPr>
        <w:tab/>
      </w:r>
    </w:p>
    <w:p w14:paraId="1E9F036D" w14:textId="5AE56ED9"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11488" behindDoc="0" locked="0" layoutInCell="1" allowOverlap="1" wp14:anchorId="05BA2167" wp14:editId="09B60241">
                <wp:simplePos x="0" y="0"/>
                <wp:positionH relativeFrom="column">
                  <wp:posOffset>1584960</wp:posOffset>
                </wp:positionH>
                <wp:positionV relativeFrom="paragraph">
                  <wp:posOffset>8255</wp:posOffset>
                </wp:positionV>
                <wp:extent cx="3017520" cy="457200"/>
                <wp:effectExtent l="0" t="0" r="11430" b="19050"/>
                <wp:wrapNone/>
                <wp:docPr id="6" name="Flowchart: Terminator 6"/>
                <wp:cNvGraphicFramePr/>
                <a:graphic xmlns:a="http://schemas.openxmlformats.org/drawingml/2006/main">
                  <a:graphicData uri="http://schemas.microsoft.com/office/word/2010/wordprocessingShape">
                    <wps:wsp>
                      <wps:cNvSpPr/>
                      <wps:spPr>
                        <a:xfrm>
                          <a:off x="0" y="0"/>
                          <a:ext cx="301752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2167" id="Flowchart: Terminator 6" o:spid="_x0000_s1046" type="#_x0000_t116" style="position:absolute;margin-left:124.8pt;margin-top:.65pt;width:237.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" fillcolor="#2f5597" strokecolor="#2f528f" strokeweight="1pt">
                <v:textbo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5584" behindDoc="0" locked="0" layoutInCell="1" allowOverlap="1" wp14:anchorId="069DBC71" wp14:editId="6C52F664">
                <wp:simplePos x="0" y="0"/>
                <wp:positionH relativeFrom="margin">
                  <wp:posOffset>-130629</wp:posOffset>
                </wp:positionH>
                <wp:positionV relativeFrom="paragraph">
                  <wp:posOffset>221813</wp:posOffset>
                </wp:positionV>
                <wp:extent cx="1370768" cy="350520"/>
                <wp:effectExtent l="0" t="0" r="20320" b="11430"/>
                <wp:wrapNone/>
                <wp:docPr id="10" name="Flowchart: Terminator 10"/>
                <wp:cNvGraphicFramePr/>
                <a:graphic xmlns:a="http://schemas.openxmlformats.org/drawingml/2006/main">
                  <a:graphicData uri="http://schemas.microsoft.com/office/word/2010/wordprocessingShape">
                    <wps:wsp>
                      <wps:cNvSpPr/>
                      <wps:spPr>
                        <a:xfrm>
                          <a:off x="0" y="0"/>
                          <a:ext cx="1370768" cy="350520"/>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BC71" id="Flowchart: Terminator 10" o:spid="_x0000_s1047" type="#_x0000_t116" style="position:absolute;margin-left:-10.3pt;margin-top:17.45pt;width:107.95pt;height:27.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" fillcolor="#823b0b [1605]" strokecolor="#2f528f" strokeweight="1pt">
                <v:textbo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4560" behindDoc="0" locked="0" layoutInCell="1" allowOverlap="1" wp14:anchorId="45C35523" wp14:editId="54C93FA7">
                <wp:simplePos x="0" y="0"/>
                <wp:positionH relativeFrom="column">
                  <wp:posOffset>4799941</wp:posOffset>
                </wp:positionH>
                <wp:positionV relativeFrom="paragraph">
                  <wp:posOffset>170633</wp:posOffset>
                </wp:positionV>
                <wp:extent cx="1467293" cy="361315"/>
                <wp:effectExtent l="0" t="0" r="19050" b="19685"/>
                <wp:wrapNone/>
                <wp:docPr id="9" name="Flowchart: Terminator 9"/>
                <wp:cNvGraphicFramePr/>
                <a:graphic xmlns:a="http://schemas.openxmlformats.org/drawingml/2006/main">
                  <a:graphicData uri="http://schemas.microsoft.com/office/word/2010/wordprocessingShape">
                    <wps:wsp>
                      <wps:cNvSpPr/>
                      <wps:spPr>
                        <a:xfrm>
                          <a:off x="0" y="0"/>
                          <a:ext cx="1467293"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5523" id="Flowchart: Terminator 9" o:spid="_x0000_s1048" type="#_x0000_t116" style="position:absolute;margin-left:377.95pt;margin-top:13.45pt;width:115.5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" fillcolor="#823b0b [1605]" strokecolor="#2f528f" strokeweight="1pt">
                <v:textbo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v:textbox>
              </v:shape>
            </w:pict>
          </mc:Fallback>
        </mc:AlternateContent>
      </w:r>
    </w:p>
    <w:p w14:paraId="55532A6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5040" behindDoc="0" locked="0" layoutInCell="1" allowOverlap="1" wp14:anchorId="29536D1B" wp14:editId="008D7ECD">
                <wp:simplePos x="0" y="0"/>
                <wp:positionH relativeFrom="column">
                  <wp:posOffset>2992987</wp:posOffset>
                </wp:positionH>
                <wp:positionV relativeFrom="paragraph">
                  <wp:posOffset>78105</wp:posOffset>
                </wp:positionV>
                <wp:extent cx="4641" cy="355987"/>
                <wp:effectExtent l="57150" t="0" r="71755" b="63500"/>
                <wp:wrapNone/>
                <wp:docPr id="44" name="Straight Arrow Connector 44"/>
                <wp:cNvGraphicFramePr/>
                <a:graphic xmlns:a="http://schemas.openxmlformats.org/drawingml/2006/main">
                  <a:graphicData uri="http://schemas.microsoft.com/office/word/2010/wordprocessingShape">
                    <wps:wsp>
                      <wps:cNvCnPr/>
                      <wps:spPr>
                        <a:xfrm flipH="1">
                          <a:off x="0" y="0"/>
                          <a:ext cx="4641" cy="3559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37731" id="Straight Arrow Connector 44" o:spid="_x0000_s1026" type="#_x0000_t32" style="position:absolute;margin-left:235.65pt;margin-top:6.15pt;width:.35pt;height:28.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" strokecolor="#4472c4 [3204]" strokeweight=".5pt">
                <v:stroke endarrow="block" joinstyle="miter"/>
              </v:shape>
            </w:pict>
          </mc:Fallback>
        </mc:AlternateContent>
      </w:r>
    </w:p>
    <w:p w14:paraId="728EF8B9" w14:textId="7F94D1D8" w:rsidR="009E1378" w:rsidRPr="00285F16" w:rsidRDefault="00E27BF5" w:rsidP="009E1378">
      <w:pPr>
        <w:tabs>
          <w:tab w:val="right" w:pos="9360"/>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6064" behindDoc="0" locked="0" layoutInCell="1" allowOverlap="1" wp14:anchorId="7D11EBC4" wp14:editId="793264C2">
                <wp:simplePos x="0" y="0"/>
                <wp:positionH relativeFrom="column">
                  <wp:posOffset>815340</wp:posOffset>
                </wp:positionH>
                <wp:positionV relativeFrom="paragraph">
                  <wp:posOffset>125095</wp:posOffset>
                </wp:positionV>
                <wp:extent cx="1270" cy="236855"/>
                <wp:effectExtent l="76200" t="0" r="74930" b="48895"/>
                <wp:wrapNone/>
                <wp:docPr id="45" name="Straight Arrow Connector 45"/>
                <wp:cNvGraphicFramePr/>
                <a:graphic xmlns:a="http://schemas.openxmlformats.org/drawingml/2006/main">
                  <a:graphicData uri="http://schemas.microsoft.com/office/word/2010/wordprocessingShape">
                    <wps:wsp>
                      <wps:cNvCnPr/>
                      <wps:spPr>
                        <a:xfrm>
                          <a:off x="0" y="0"/>
                          <a:ext cx="1270" cy="236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8A077" id="Straight Arrow Connector 45" o:spid="_x0000_s1026" type="#_x0000_t32" style="position:absolute;margin-left:64.2pt;margin-top:9.85pt;width:.1pt;height:1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" strokecolor="#4472c4 [320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8112" behindDoc="0" locked="0" layoutInCell="1" allowOverlap="1" wp14:anchorId="4F4637B8" wp14:editId="53D45EFE">
                <wp:simplePos x="0" y="0"/>
                <wp:positionH relativeFrom="column">
                  <wp:posOffset>5274310</wp:posOffset>
                </wp:positionH>
                <wp:positionV relativeFrom="paragraph">
                  <wp:posOffset>125095</wp:posOffset>
                </wp:positionV>
                <wp:extent cx="5615" cy="237506"/>
                <wp:effectExtent l="76200" t="0" r="71120" b="48260"/>
                <wp:wrapNone/>
                <wp:docPr id="48" name="Straight Arrow Connector 48"/>
                <wp:cNvGraphicFramePr/>
                <a:graphic xmlns:a="http://schemas.openxmlformats.org/drawingml/2006/main">
                  <a:graphicData uri="http://schemas.microsoft.com/office/word/2010/wordprocessingShape">
                    <wps:wsp>
                      <wps:cNvCnPr/>
                      <wps:spPr>
                        <a:xfrm flipH="1">
                          <a:off x="0" y="0"/>
                          <a:ext cx="5615" cy="23750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B24329" id="Straight Arrow Connector 48" o:spid="_x0000_s1026" type="#_x0000_t32" style="position:absolute;margin-left:415.3pt;margin-top:9.85pt;width:.45pt;height:18.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7088" behindDoc="0" locked="0" layoutInCell="1" allowOverlap="1" wp14:anchorId="154D10B7" wp14:editId="0B43386B">
                <wp:simplePos x="0" y="0"/>
                <wp:positionH relativeFrom="column">
                  <wp:posOffset>3003105</wp:posOffset>
                </wp:positionH>
                <wp:positionV relativeFrom="paragraph">
                  <wp:posOffset>152400</wp:posOffset>
                </wp:positionV>
                <wp:extent cx="1478" cy="237366"/>
                <wp:effectExtent l="76200" t="0" r="74930" b="48895"/>
                <wp:wrapNone/>
                <wp:docPr id="47" name="Straight Arrow Connector 47"/>
                <wp:cNvGraphicFramePr/>
                <a:graphic xmlns:a="http://schemas.openxmlformats.org/drawingml/2006/main">
                  <a:graphicData uri="http://schemas.microsoft.com/office/word/2010/wordprocessingShape">
                    <wps:wsp>
                      <wps:cNvCnPr/>
                      <wps:spPr>
                        <a:xfrm>
                          <a:off x="0" y="0"/>
                          <a:ext cx="1478" cy="23736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985001" id="Straight Arrow Connector 47" o:spid="_x0000_s1026" type="#_x0000_t32" style="position:absolute;margin-left:236.45pt;margin-top:12pt;width:.1pt;height:1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4016" behindDoc="0" locked="0" layoutInCell="1" allowOverlap="1" wp14:anchorId="04E0DC54" wp14:editId="4171431B">
                <wp:simplePos x="0" y="0"/>
                <wp:positionH relativeFrom="column">
                  <wp:posOffset>819397</wp:posOffset>
                </wp:positionH>
                <wp:positionV relativeFrom="paragraph">
                  <wp:posOffset>125326</wp:posOffset>
                </wp:positionV>
                <wp:extent cx="4452901"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4452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82F0" id="Straight Connector 4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9.85pt" to="41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" strokecolor="#4472c4 [3204]" strokeweight=".5pt">
                <v:stroke joinstyle="miter"/>
              </v:line>
            </w:pict>
          </mc:Fallback>
        </mc:AlternateContent>
      </w:r>
      <w:r w:rsidR="009E1378" w:rsidRPr="00285F16">
        <w:rPr>
          <w:rFonts w:ascii="Baskerville Old Face" w:hAnsi="Baskerville Old Face" w:cs="Times New Roman"/>
          <w:sz w:val="24"/>
          <w:szCs w:val="24"/>
        </w:rPr>
        <w:tab/>
      </w:r>
    </w:p>
    <w:p w14:paraId="71E8D7B3" w14:textId="77777777" w:rsidR="009E1378" w:rsidRPr="00285F16" w:rsidRDefault="009E1378" w:rsidP="009E1378">
      <w:pPr>
        <w:tabs>
          <w:tab w:val="left" w:pos="3248"/>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2208" behindDoc="0" locked="0" layoutInCell="1" allowOverlap="1" wp14:anchorId="31282C51" wp14:editId="6D38DA2B">
                <wp:simplePos x="0" y="0"/>
                <wp:positionH relativeFrom="margin">
                  <wp:posOffset>6055994</wp:posOffset>
                </wp:positionH>
                <wp:positionV relativeFrom="paragraph">
                  <wp:posOffset>212099</wp:posOffset>
                </wp:positionV>
                <wp:extent cx="946479" cy="294640"/>
                <wp:effectExtent l="1905" t="0" r="27305" b="27305"/>
                <wp:wrapNone/>
                <wp:docPr id="56" name="Text Box 56"/>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2C51" id="Text Box 56" o:spid="_x0000_s1049" type="#_x0000_t202" style="position:absolute;margin-left:476.85pt;margin-top:16.7pt;width:74.55pt;height:23.2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" fillcolor="window" strokeweight=".5pt">
                <v:textbo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3536" behindDoc="0" locked="0" layoutInCell="1" allowOverlap="1" wp14:anchorId="39168D0C" wp14:editId="312DCEB7">
                <wp:simplePos x="0" y="0"/>
                <wp:positionH relativeFrom="column">
                  <wp:posOffset>4512623</wp:posOffset>
                </wp:positionH>
                <wp:positionV relativeFrom="paragraph">
                  <wp:posOffset>77065</wp:posOffset>
                </wp:positionV>
                <wp:extent cx="1786255" cy="598689"/>
                <wp:effectExtent l="0" t="0" r="23495" b="11430"/>
                <wp:wrapNone/>
                <wp:docPr id="8" name="Flowchart: Terminator 8"/>
                <wp:cNvGraphicFramePr/>
                <a:graphic xmlns:a="http://schemas.openxmlformats.org/drawingml/2006/main">
                  <a:graphicData uri="http://schemas.microsoft.com/office/word/2010/wordprocessingShape">
                    <wps:wsp>
                      <wps:cNvSpPr/>
                      <wps:spPr>
                        <a:xfrm>
                          <a:off x="0" y="0"/>
                          <a:ext cx="1786255" cy="598689"/>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8D0C" id="Flowchart: Terminator 8" o:spid="_x0000_s1050" type="#_x0000_t116" style="position:absolute;margin-left:355.3pt;margin-top:6.05pt;width:140.65pt;height:4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" fillcolor="#538135 [2409]" strokecolor="#2f528f" strokeweight="1pt">
                <v:textbo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0464" behindDoc="0" locked="0" layoutInCell="1" allowOverlap="1" wp14:anchorId="456015A7" wp14:editId="122B72F9">
                <wp:simplePos x="0" y="0"/>
                <wp:positionH relativeFrom="margin">
                  <wp:posOffset>0</wp:posOffset>
                </wp:positionH>
                <wp:positionV relativeFrom="paragraph">
                  <wp:posOffset>75565</wp:posOffset>
                </wp:positionV>
                <wp:extent cx="1955800" cy="636905"/>
                <wp:effectExtent l="0" t="0" r="25400" b="10795"/>
                <wp:wrapNone/>
                <wp:docPr id="5" name="Flowchart: Terminator 5"/>
                <wp:cNvGraphicFramePr/>
                <a:graphic xmlns:a="http://schemas.openxmlformats.org/drawingml/2006/main">
                  <a:graphicData uri="http://schemas.microsoft.com/office/word/2010/wordprocessingShape">
                    <wps:wsp>
                      <wps:cNvSpPr/>
                      <wps:spPr>
                        <a:xfrm>
                          <a:off x="0" y="0"/>
                          <a:ext cx="1955800" cy="636905"/>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15A7" id="Flowchart: Terminator 5" o:spid="_x0000_s1051" type="#_x0000_t116" style="position:absolute;margin-left:0;margin-top:5.95pt;width:154pt;height:50.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" fillcolor="#538135 [2409]" strokecolor="#2f528f" strokeweight="1pt">
                <v:textbo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2512" behindDoc="0" locked="0" layoutInCell="1" allowOverlap="1" wp14:anchorId="27E682FD" wp14:editId="513BF728">
                <wp:simplePos x="0" y="0"/>
                <wp:positionH relativeFrom="column">
                  <wp:posOffset>2189480</wp:posOffset>
                </wp:positionH>
                <wp:positionV relativeFrom="paragraph">
                  <wp:posOffset>75565</wp:posOffset>
                </wp:positionV>
                <wp:extent cx="1945640" cy="605790"/>
                <wp:effectExtent l="0" t="0" r="16510" b="22860"/>
                <wp:wrapNone/>
                <wp:docPr id="7" name="Flowchart: Terminator 7"/>
                <wp:cNvGraphicFramePr/>
                <a:graphic xmlns:a="http://schemas.openxmlformats.org/drawingml/2006/main">
                  <a:graphicData uri="http://schemas.microsoft.com/office/word/2010/wordprocessingShape">
                    <wps:wsp>
                      <wps:cNvSpPr/>
                      <wps:spPr>
                        <a:xfrm>
                          <a:off x="0" y="0"/>
                          <a:ext cx="1945640" cy="605790"/>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682FD" id="Flowchart: Terminator 7" o:spid="_x0000_s1052" type="#_x0000_t116" style="position:absolute;margin-left:172.4pt;margin-top:5.95pt;width:153.2pt;height:4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" fillcolor="#538135 [2409]" strokecolor="#2f528f" strokeweight="1pt">
                <v:textbo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v:textbox>
              </v:shape>
            </w:pict>
          </mc:Fallback>
        </mc:AlternateContent>
      </w:r>
      <w:r w:rsidRPr="00285F16">
        <w:rPr>
          <w:rFonts w:ascii="Baskerville Old Face" w:hAnsi="Baskerville Old Face" w:cs="Times New Roman"/>
          <w:sz w:val="24"/>
          <w:szCs w:val="24"/>
        </w:rPr>
        <w:tab/>
      </w:r>
    </w:p>
    <w:p w14:paraId="0CA7F008" w14:textId="77777777" w:rsidR="009E1378" w:rsidRPr="00285F16" w:rsidRDefault="009E1378" w:rsidP="009E1378">
      <w:pPr>
        <w:rPr>
          <w:rFonts w:ascii="Baskerville Old Face" w:hAnsi="Baskerville Old Face" w:cs="Times New Roman"/>
          <w:sz w:val="24"/>
          <w:szCs w:val="24"/>
        </w:rPr>
      </w:pPr>
    </w:p>
    <w:p w14:paraId="21B01C14" w14:textId="77777777" w:rsidR="009E1378" w:rsidRPr="00285F16" w:rsidRDefault="009E1378" w:rsidP="009E1378">
      <w:pPr>
        <w:rPr>
          <w:rFonts w:ascii="Baskerville Old Face" w:hAnsi="Baskerville Old Face" w:cs="Times New Roman"/>
          <w:sz w:val="24"/>
          <w:szCs w:val="24"/>
        </w:rPr>
      </w:pPr>
    </w:p>
    <w:p w14:paraId="7C31F571"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9136" behindDoc="0" locked="0" layoutInCell="1" allowOverlap="1" wp14:anchorId="04858BCE" wp14:editId="12512240">
                <wp:simplePos x="0" y="0"/>
                <wp:positionH relativeFrom="column">
                  <wp:posOffset>-368135</wp:posOffset>
                </wp:positionH>
                <wp:positionV relativeFrom="paragraph">
                  <wp:posOffset>182369</wp:posOffset>
                </wp:positionV>
                <wp:extent cx="6804561" cy="2268187"/>
                <wp:effectExtent l="0" t="0" r="15875" b="18415"/>
                <wp:wrapNone/>
                <wp:docPr id="49" name="Rectangle: Rounded Corners 49"/>
                <wp:cNvGraphicFramePr/>
                <a:graphic xmlns:a="http://schemas.openxmlformats.org/drawingml/2006/main">
                  <a:graphicData uri="http://schemas.microsoft.com/office/word/2010/wordprocessingShape">
                    <wps:wsp>
                      <wps:cNvSpPr/>
                      <wps:spPr>
                        <a:xfrm>
                          <a:off x="0" y="0"/>
                          <a:ext cx="6804561" cy="226818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68EACA" id="Rectangle: Rounded Corners 49" o:spid="_x0000_s1026" style="position:absolute;margin-left:-29pt;margin-top:14.35pt;width:535.8pt;height:178.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" filled="f" strokecolor="#1f3763 [1604]" strokeweight="1pt">
                <v:stroke joinstyle="miter"/>
              </v:roundrect>
            </w:pict>
          </mc:Fallback>
        </mc:AlternateContent>
      </w:r>
    </w:p>
    <w:p w14:paraId="23A1E983"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0704" behindDoc="0" locked="0" layoutInCell="1" allowOverlap="1" wp14:anchorId="4D9B9E82" wp14:editId="661CAFF9">
                <wp:simplePos x="0" y="0"/>
                <wp:positionH relativeFrom="margin">
                  <wp:posOffset>2909455</wp:posOffset>
                </wp:positionH>
                <wp:positionV relativeFrom="paragraph">
                  <wp:posOffset>86624</wp:posOffset>
                </wp:positionV>
                <wp:extent cx="1626919" cy="594995"/>
                <wp:effectExtent l="0" t="0" r="11430" b="14605"/>
                <wp:wrapNone/>
                <wp:docPr id="15" name="Flowchart: Terminator 15"/>
                <wp:cNvGraphicFramePr/>
                <a:graphic xmlns:a="http://schemas.openxmlformats.org/drawingml/2006/main">
                  <a:graphicData uri="http://schemas.microsoft.com/office/word/2010/wordprocessingShape">
                    <wps:wsp>
                      <wps:cNvSpPr/>
                      <wps:spPr>
                        <a:xfrm>
                          <a:off x="0" y="0"/>
                          <a:ext cx="1626919"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9E82" id="Flowchart: Terminator 15" o:spid="_x0000_s1053" type="#_x0000_t116" style="position:absolute;margin-left:229.1pt;margin-top:6.8pt;width:128.1pt;height:46.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" fillcolor="#0d0d0d [3069]" strokecolor="#2f528f" strokeweight="1pt">
                <v:textbo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3776" behindDoc="0" locked="0" layoutInCell="1" allowOverlap="1" wp14:anchorId="7597DFFC" wp14:editId="5E78C267">
                <wp:simplePos x="0" y="0"/>
                <wp:positionH relativeFrom="margin">
                  <wp:posOffset>4619501</wp:posOffset>
                </wp:positionH>
                <wp:positionV relativeFrom="paragraph">
                  <wp:posOffset>86624</wp:posOffset>
                </wp:positionV>
                <wp:extent cx="1679377" cy="594995"/>
                <wp:effectExtent l="0" t="0" r="16510" b="14605"/>
                <wp:wrapNone/>
                <wp:docPr id="18" name="Flowchart: Terminator 18"/>
                <wp:cNvGraphicFramePr/>
                <a:graphic xmlns:a="http://schemas.openxmlformats.org/drawingml/2006/main">
                  <a:graphicData uri="http://schemas.microsoft.com/office/word/2010/wordprocessingShape">
                    <wps:wsp>
                      <wps:cNvSpPr/>
                      <wps:spPr>
                        <a:xfrm>
                          <a:off x="0" y="0"/>
                          <a:ext cx="1679377"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44246D15" w14:textId="1A511666"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w:t>
                            </w:r>
                            <w:r w:rsidR="00981DF4">
                              <w:rPr>
                                <w:rFonts w:ascii="Times New Roman" w:hAnsi="Times New Roman" w:cs="Times New Roman"/>
                                <w:b/>
                                <w:bCs/>
                                <w:color w:val="FFFFFF" w:themeColor="background1"/>
                              </w:rPr>
                              <w:t>, Research</w:t>
                            </w:r>
                            <w:r>
                              <w:rPr>
                                <w:rFonts w:ascii="Times New Roman" w:hAnsi="Times New Roman" w:cs="Times New Roman"/>
                                <w:b/>
                                <w:bCs/>
                                <w:color w:val="FFFFFF" w:themeColor="background1"/>
                              </w:rPr>
                              <w:t xml:space="preserve"> &amp; </w:t>
                            </w:r>
                            <w:r w:rsidR="00981DF4">
                              <w:rPr>
                                <w:rFonts w:ascii="Times New Roman" w:hAnsi="Times New Roman" w:cs="Times New Roman"/>
                                <w:b/>
                                <w:bCs/>
                                <w:color w:val="FFFFFF" w:themeColor="background1"/>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DFFC" id="Flowchart: Terminator 18" o:spid="_x0000_s1054" type="#_x0000_t116" style="position:absolute;margin-left:363.75pt;margin-top:6.8pt;width:132.25pt;height:4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" fillcolor="#0d0d0d [3069]" strokecolor="#2f528f" strokeweight="1pt">
                <v:textbox>
                  <w:txbxContent>
                    <w:p w14:paraId="44246D15" w14:textId="1A511666"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w:t>
                      </w:r>
                      <w:r w:rsidR="00981DF4">
                        <w:rPr>
                          <w:rFonts w:ascii="Times New Roman" w:hAnsi="Times New Roman" w:cs="Times New Roman"/>
                          <w:b/>
                          <w:bCs/>
                          <w:color w:val="FFFFFF" w:themeColor="background1"/>
                        </w:rPr>
                        <w:t>, Research</w:t>
                      </w:r>
                      <w:r>
                        <w:rPr>
                          <w:rFonts w:ascii="Times New Roman" w:hAnsi="Times New Roman" w:cs="Times New Roman"/>
                          <w:b/>
                          <w:bCs/>
                          <w:color w:val="FFFFFF" w:themeColor="background1"/>
                        </w:rPr>
                        <w:t xml:space="preserve"> &amp; </w:t>
                      </w:r>
                      <w:r w:rsidR="00981DF4">
                        <w:rPr>
                          <w:rFonts w:ascii="Times New Roman" w:hAnsi="Times New Roman" w:cs="Times New Roman"/>
                          <w:b/>
                          <w:bCs/>
                          <w:color w:val="FFFFFF" w:themeColor="background1"/>
                        </w:rPr>
                        <w:t>Planning</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9680" behindDoc="0" locked="0" layoutInCell="1" allowOverlap="1" wp14:anchorId="59C6CCFF" wp14:editId="3AB33BD6">
                <wp:simplePos x="0" y="0"/>
                <wp:positionH relativeFrom="margin">
                  <wp:posOffset>1332200</wp:posOffset>
                </wp:positionH>
                <wp:positionV relativeFrom="paragraph">
                  <wp:posOffset>97480</wp:posOffset>
                </wp:positionV>
                <wp:extent cx="1509824" cy="594995"/>
                <wp:effectExtent l="0" t="0" r="14605" b="14605"/>
                <wp:wrapNone/>
                <wp:docPr id="14" name="Flowchart: Terminator 14"/>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CCFF" id="Flowchart: Terminator 14" o:spid="_x0000_s1055" type="#_x0000_t116" style="position:absolute;margin-left:104.9pt;margin-top:7.7pt;width:118.9pt;height:46.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" fillcolor="#0d0d0d [3069]" strokecolor="#2f528f" strokeweight="1pt">
                <v:textbo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8656" behindDoc="0" locked="0" layoutInCell="1" allowOverlap="1" wp14:anchorId="090B5B7C" wp14:editId="13C15640">
                <wp:simplePos x="0" y="0"/>
                <wp:positionH relativeFrom="margin">
                  <wp:posOffset>-265814</wp:posOffset>
                </wp:positionH>
                <wp:positionV relativeFrom="paragraph">
                  <wp:posOffset>93729</wp:posOffset>
                </wp:positionV>
                <wp:extent cx="1509824" cy="594995"/>
                <wp:effectExtent l="0" t="0" r="14605" b="14605"/>
                <wp:wrapNone/>
                <wp:docPr id="13" name="Flowchart: Terminator 13"/>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5B7C" id="Flowchart: Terminator 13" o:spid="_x0000_s1056" type="#_x0000_t116" style="position:absolute;margin-left:-20.95pt;margin-top:7.4pt;width:118.9pt;height:46.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" fillcolor="#0d0d0d [3069]" strokecolor="#2f528f" strokeweight="1pt">
                <v:textbo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15880B01" w14:textId="77777777" w:rsidR="009E1378" w:rsidRPr="00285F16" w:rsidRDefault="009E1378" w:rsidP="009E1378">
      <w:pPr>
        <w:tabs>
          <w:tab w:val="left" w:pos="5961"/>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1F1AD29F" w14:textId="77777777" w:rsidR="009E1378" w:rsidRPr="00285F16" w:rsidRDefault="009E1378" w:rsidP="009E1378">
      <w:pPr>
        <w:tabs>
          <w:tab w:val="left" w:pos="7535"/>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630EEC8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3232" behindDoc="0" locked="0" layoutInCell="1" allowOverlap="1" wp14:anchorId="7B16A38C" wp14:editId="2E8D2AF2">
                <wp:simplePos x="0" y="0"/>
                <wp:positionH relativeFrom="margin">
                  <wp:posOffset>6021021</wp:posOffset>
                </wp:positionH>
                <wp:positionV relativeFrom="paragraph">
                  <wp:posOffset>114737</wp:posOffset>
                </wp:positionV>
                <wp:extent cx="1145754" cy="231321"/>
                <wp:effectExtent l="0" t="0" r="16510" b="16510"/>
                <wp:wrapNone/>
                <wp:docPr id="57" name="Text Box 57"/>
                <wp:cNvGraphicFramePr/>
                <a:graphic xmlns:a="http://schemas.openxmlformats.org/drawingml/2006/main">
                  <a:graphicData uri="http://schemas.microsoft.com/office/word/2010/wordprocessingShape">
                    <wps:wsp>
                      <wps:cNvSpPr txBox="1"/>
                      <wps:spPr>
                        <a:xfrm rot="16200000">
                          <a:off x="0" y="0"/>
                          <a:ext cx="1145754" cy="231321"/>
                        </a:xfrm>
                        <a:prstGeom prst="rect">
                          <a:avLst/>
                        </a:prstGeom>
                        <a:solidFill>
                          <a:sysClr val="window" lastClr="FFFFFF"/>
                        </a:solidFill>
                        <a:ln w="6350">
                          <a:solidFill>
                            <a:prstClr val="black"/>
                          </a:solidFill>
                        </a:ln>
                      </wps:spPr>
                      <wps:txb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A38C" id="Text Box 57" o:spid="_x0000_s1057" type="#_x0000_t202" style="position:absolute;margin-left:474.1pt;margin-top:9.05pt;width:90.2pt;height:18.2pt;rotation:-90;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" fillcolor="window" strokeweight=".5pt">
                <v:textbo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6848" behindDoc="0" locked="0" layoutInCell="1" allowOverlap="1" wp14:anchorId="78B54DC4" wp14:editId="5E755FD2">
                <wp:simplePos x="0" y="0"/>
                <wp:positionH relativeFrom="margin">
                  <wp:posOffset>2158409</wp:posOffset>
                </wp:positionH>
                <wp:positionV relativeFrom="paragraph">
                  <wp:posOffset>12539</wp:posOffset>
                </wp:positionV>
                <wp:extent cx="1509824" cy="425302"/>
                <wp:effectExtent l="0" t="0" r="14605" b="13335"/>
                <wp:wrapNone/>
                <wp:docPr id="21" name="Flowchart: Terminator 21"/>
                <wp:cNvGraphicFramePr/>
                <a:graphic xmlns:a="http://schemas.openxmlformats.org/drawingml/2006/main">
                  <a:graphicData uri="http://schemas.microsoft.com/office/word/2010/wordprocessingShape">
                    <wps:wsp>
                      <wps:cNvSpPr/>
                      <wps:spPr>
                        <a:xfrm>
                          <a:off x="0" y="0"/>
                          <a:ext cx="1509824" cy="425302"/>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4DC4" id="Flowchart: Terminator 21" o:spid="_x0000_s1058" type="#_x0000_t116" style="position:absolute;margin-left:169.95pt;margin-top:1pt;width:118.9pt;height:3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" fillcolor="#0d0d0d [3069]" strokecolor="#2f528f" strokeweight="1pt">
                <v:textbo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v:textbox>
                <w10:wrap anchorx="margin"/>
              </v:shape>
            </w:pict>
          </mc:Fallback>
        </mc:AlternateContent>
      </w:r>
    </w:p>
    <w:p w14:paraId="4E9433C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1728" behindDoc="0" locked="0" layoutInCell="1" allowOverlap="1" wp14:anchorId="57E9F2CC" wp14:editId="45147172">
                <wp:simplePos x="0" y="0"/>
                <wp:positionH relativeFrom="margin">
                  <wp:posOffset>-180886</wp:posOffset>
                </wp:positionH>
                <wp:positionV relativeFrom="paragraph">
                  <wp:posOffset>298436</wp:posOffset>
                </wp:positionV>
                <wp:extent cx="1509395" cy="594995"/>
                <wp:effectExtent l="0" t="0" r="14605" b="14605"/>
                <wp:wrapNone/>
                <wp:docPr id="16" name="Flowchart: Terminator 16"/>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F2CC" id="Flowchart: Terminator 16" o:spid="_x0000_s1059" type="#_x0000_t116" style="position:absolute;margin-left:-14.25pt;margin-top:23.5pt;width:118.85pt;height:46.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" fillcolor="#0d0d0d [3069]" strokecolor="#2f528f" strokeweight="1pt">
                <v:textbo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2752" behindDoc="0" locked="0" layoutInCell="1" allowOverlap="1" wp14:anchorId="3C510D7D" wp14:editId="0C7F3D8B">
                <wp:simplePos x="0" y="0"/>
                <wp:positionH relativeFrom="margin">
                  <wp:posOffset>1403350</wp:posOffset>
                </wp:positionH>
                <wp:positionV relativeFrom="paragraph">
                  <wp:posOffset>256776</wp:posOffset>
                </wp:positionV>
                <wp:extent cx="1509395" cy="594995"/>
                <wp:effectExtent l="0" t="0" r="14605" b="14605"/>
                <wp:wrapNone/>
                <wp:docPr id="17" name="Flowchart: Terminator 17"/>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0D7D" id="Flowchart: Terminator 17" o:spid="_x0000_s1060" type="#_x0000_t116" style="position:absolute;margin-left:110.5pt;margin-top:20.2pt;width:118.85pt;height:46.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" fillcolor="#0d0d0d [3069]" strokecolor="#2f528f" strokeweight="1pt">
                <v:textbo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26926EF9"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5824" behindDoc="0" locked="0" layoutInCell="1" allowOverlap="1" wp14:anchorId="0868BBC4" wp14:editId="34F7FF82">
                <wp:simplePos x="0" y="0"/>
                <wp:positionH relativeFrom="margin">
                  <wp:posOffset>4592793</wp:posOffset>
                </wp:positionH>
                <wp:positionV relativeFrom="paragraph">
                  <wp:posOffset>14310</wp:posOffset>
                </wp:positionV>
                <wp:extent cx="1668780" cy="594995"/>
                <wp:effectExtent l="0" t="0" r="26670" b="14605"/>
                <wp:wrapNone/>
                <wp:docPr id="20" name="Flowchart: Terminator 20"/>
                <wp:cNvGraphicFramePr/>
                <a:graphic xmlns:a="http://schemas.openxmlformats.org/drawingml/2006/main">
                  <a:graphicData uri="http://schemas.microsoft.com/office/word/2010/wordprocessingShape">
                    <wps:wsp>
                      <wps:cNvSpPr/>
                      <wps:spPr>
                        <a:xfrm>
                          <a:off x="0" y="0"/>
                          <a:ext cx="1668780"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BBC4" id="Flowchart: Terminator 20" o:spid="_x0000_s1061" type="#_x0000_t116" style="position:absolute;margin-left:361.65pt;margin-top:1.15pt;width:131.4pt;height:46.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" fillcolor="#0d0d0d [3069]" strokecolor="#2f528f" strokeweight="1pt">
                <v:textbo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4800" behindDoc="0" locked="0" layoutInCell="1" allowOverlap="1" wp14:anchorId="2911E5A3" wp14:editId="2EA355AA">
                <wp:simplePos x="0" y="0"/>
                <wp:positionH relativeFrom="margin">
                  <wp:posOffset>2997835</wp:posOffset>
                </wp:positionH>
                <wp:positionV relativeFrom="paragraph">
                  <wp:posOffset>13335</wp:posOffset>
                </wp:positionV>
                <wp:extent cx="1509395" cy="594995"/>
                <wp:effectExtent l="0" t="0" r="14605" b="14605"/>
                <wp:wrapNone/>
                <wp:docPr id="19" name="Flowchart: Terminator 19"/>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E5A3" id="Flowchart: Terminator 19" o:spid="_x0000_s1062" type="#_x0000_t116" style="position:absolute;margin-left:236.05pt;margin-top:1.05pt;width:118.85pt;height:46.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" fillcolor="#0d0d0d [3069]" strokecolor="#2f528f" strokeweight="1pt">
                <v:textbo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5AB80399" w14:textId="77777777" w:rsidR="009E1378" w:rsidRPr="00285F16" w:rsidRDefault="009E1378" w:rsidP="009E1378">
      <w:pPr>
        <w:rPr>
          <w:rFonts w:ascii="Baskerville Old Face" w:hAnsi="Baskerville Old Face" w:cs="Times New Roman"/>
          <w:sz w:val="24"/>
          <w:szCs w:val="24"/>
        </w:rPr>
      </w:pPr>
    </w:p>
    <w:p w14:paraId="606EE6D0" w14:textId="77777777" w:rsidR="009E1378" w:rsidRPr="00285F16" w:rsidRDefault="009E1378" w:rsidP="009E1378">
      <w:pPr>
        <w:rPr>
          <w:rFonts w:ascii="Baskerville Old Face" w:hAnsi="Baskerville Old Face" w:cs="Times New Roman"/>
          <w:sz w:val="24"/>
          <w:szCs w:val="24"/>
        </w:rPr>
      </w:pPr>
    </w:p>
    <w:bookmarkEnd w:id="13"/>
    <w:p w14:paraId="0368B94E" w14:textId="77777777" w:rsidR="009E1378" w:rsidRPr="00285F16" w:rsidRDefault="009E1378" w:rsidP="000E4D6C">
      <w:pPr>
        <w:rPr>
          <w:rFonts w:ascii="Baskerville Old Face" w:hAnsi="Baskerville Old Face" w:cs="Times New Roman"/>
          <w:sz w:val="24"/>
          <w:szCs w:val="24"/>
        </w:rPr>
      </w:pPr>
    </w:p>
    <w:p w14:paraId="4016DFD2" w14:textId="545A73C3" w:rsidR="008D2DA5" w:rsidRPr="00285F16" w:rsidRDefault="000B2100" w:rsidP="008239C4">
      <w:pPr>
        <w:spacing w:line="276"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As depicted in </w:t>
      </w:r>
      <w:r w:rsidRPr="0089214A">
        <w:rPr>
          <w:rFonts w:ascii="Baskerville Old Face" w:hAnsi="Baskerville Old Face" w:cs="Times New Roman"/>
          <w:sz w:val="24"/>
          <w:szCs w:val="24"/>
        </w:rPr>
        <w:t xml:space="preserve">Figure </w:t>
      </w:r>
      <w:r w:rsidR="0089214A">
        <w:rPr>
          <w:rFonts w:ascii="Baskerville Old Face" w:hAnsi="Baskerville Old Face" w:cs="Times New Roman"/>
          <w:sz w:val="24"/>
          <w:szCs w:val="24"/>
        </w:rPr>
        <w:t>3</w:t>
      </w:r>
      <w:r w:rsidRPr="00285F16">
        <w:rPr>
          <w:rFonts w:ascii="Baskerville Old Face" w:hAnsi="Baskerville Old Face" w:cs="Times New Roman"/>
          <w:sz w:val="24"/>
          <w:szCs w:val="24"/>
        </w:rPr>
        <w:t xml:space="preserve">, </w:t>
      </w:r>
      <w:r w:rsidR="0083346B" w:rsidRPr="00285F16">
        <w:rPr>
          <w:rFonts w:ascii="Baskerville Old Face" w:hAnsi="Baskerville Old Face" w:cs="Times New Roman"/>
          <w:sz w:val="24"/>
          <w:szCs w:val="24"/>
        </w:rPr>
        <w:t>there is an</w:t>
      </w:r>
      <w:r w:rsidRPr="00285F16">
        <w:rPr>
          <w:rFonts w:ascii="Baskerville Old Face" w:hAnsi="Baskerville Old Face" w:cs="Times New Roman"/>
          <w:sz w:val="24"/>
          <w:szCs w:val="24"/>
        </w:rPr>
        <w:t xml:space="preserve"> Office of the Commissioner-General </w:t>
      </w:r>
      <w:r w:rsidR="0083346B" w:rsidRPr="00285F16">
        <w:rPr>
          <w:rFonts w:ascii="Baskerville Old Face" w:hAnsi="Baskerville Old Face" w:cs="Times New Roman"/>
          <w:sz w:val="24"/>
          <w:szCs w:val="24"/>
        </w:rPr>
        <w:t xml:space="preserve">(that </w:t>
      </w:r>
      <w:r w:rsidRPr="00285F16">
        <w:rPr>
          <w:rFonts w:ascii="Baskerville Old Face" w:hAnsi="Baskerville Old Face" w:cs="Times New Roman"/>
          <w:sz w:val="24"/>
          <w:szCs w:val="24"/>
        </w:rPr>
        <w:t>comprises three units</w:t>
      </w:r>
      <w:r w:rsidR="0083346B" w:rsidRPr="00285F16">
        <w:rPr>
          <w:rFonts w:ascii="Baskerville Old Face" w:hAnsi="Baskerville Old Face" w:cs="Times New Roman"/>
          <w:sz w:val="24"/>
          <w:szCs w:val="24"/>
        </w:rPr>
        <w:t>)</w:t>
      </w:r>
      <w:r w:rsidRPr="00285F16">
        <w:rPr>
          <w:rFonts w:ascii="Baskerville Old Face" w:hAnsi="Baskerville Old Face" w:cs="Times New Roman"/>
          <w:sz w:val="24"/>
          <w:szCs w:val="24"/>
        </w:rPr>
        <w:t xml:space="preserve">, three operational departments primarily engaged in domestic revenue collection, and </w:t>
      </w:r>
      <w:r w:rsidRPr="0077208C">
        <w:rPr>
          <w:rFonts w:ascii="Baskerville Old Face" w:hAnsi="Baskerville Old Face" w:cs="Times New Roman"/>
          <w:sz w:val="24"/>
          <w:szCs w:val="24"/>
        </w:rPr>
        <w:t>eleven</w:t>
      </w:r>
      <w:r w:rsidRPr="00285F16">
        <w:rPr>
          <w:rFonts w:ascii="Baskerville Old Face" w:hAnsi="Baskerville Old Face" w:cs="Times New Roman"/>
          <w:sz w:val="24"/>
          <w:szCs w:val="24"/>
        </w:rPr>
        <w:t xml:space="preserve"> support departments, which include Internal Controls and Audit. The functions of the Internal Controls and Audit Department are overseen by the Board.</w:t>
      </w:r>
    </w:p>
    <w:p w14:paraId="2500B860" w14:textId="77777777" w:rsidR="008D2DA5" w:rsidRPr="00285F16" w:rsidRDefault="008D2DA5" w:rsidP="000E4D6C">
      <w:pPr>
        <w:rPr>
          <w:rFonts w:ascii="Baskerville Old Face" w:hAnsi="Baskerville Old Face" w:cs="Times New Roman"/>
          <w:sz w:val="24"/>
          <w:szCs w:val="24"/>
        </w:rPr>
      </w:pPr>
    </w:p>
    <w:p w14:paraId="6E142ADF" w14:textId="77777777" w:rsidR="00936F64" w:rsidRDefault="00936F64" w:rsidP="00F043B7">
      <w:pPr>
        <w:spacing w:line="276" w:lineRule="auto"/>
        <w:jc w:val="both"/>
        <w:rPr>
          <w:rFonts w:ascii="Baskerville Old Face" w:hAnsi="Baskerville Old Face" w:cs="Times New Roman"/>
          <w:b/>
          <w:bCs/>
          <w:sz w:val="24"/>
          <w:szCs w:val="24"/>
          <w:highlight w:val="green"/>
        </w:rPr>
      </w:pPr>
    </w:p>
    <w:p w14:paraId="2F2A99BC" w14:textId="3633C7C4" w:rsidR="00F043B7" w:rsidRPr="00520DD2" w:rsidRDefault="00395E0D" w:rsidP="00C03BAC">
      <w:pPr>
        <w:pStyle w:val="Heading2"/>
        <w:rPr>
          <w:rFonts w:ascii="Baskerville Old Face" w:hAnsi="Baskerville Old Face"/>
          <w:b/>
          <w:bCs/>
        </w:rPr>
      </w:pPr>
      <w:bookmarkStart w:id="14" w:name="_Toc198043908"/>
      <w:r w:rsidRPr="00520DD2">
        <w:rPr>
          <w:rFonts w:ascii="Baskerville Old Face" w:hAnsi="Baskerville Old Face"/>
          <w:b/>
          <w:bCs/>
        </w:rPr>
        <w:t xml:space="preserve">1.3 </w:t>
      </w:r>
      <w:r w:rsidR="00F043B7" w:rsidRPr="00520DD2">
        <w:rPr>
          <w:rFonts w:ascii="Baskerville Old Face" w:hAnsi="Baskerville Old Face"/>
          <w:b/>
          <w:bCs/>
        </w:rPr>
        <w:t>MACROECONOMIC OUTLOOK FOR 2024</w:t>
      </w:r>
      <w:bookmarkEnd w:id="14"/>
    </w:p>
    <w:p w14:paraId="105894D8" w14:textId="64F42470" w:rsidR="00F043B7" w:rsidRPr="00F043B7"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t>Sierra Leone’s macroeconomic landscape in 2024 has been marked by a mixture of structural adjustments, inflation control, and moderated economic growth amidst evolving global and domestic challenges. Notably, the rebasing of the country's Gross Domestic Product (GDP) by Statistics Sierra Leone represents a key development in the year’s economic narrative. This rebasing exercise, which updated the GDP base year from 2006 to 2018, significantly revised the size and structure of the economy. The GDP doubled from US$4.0 billion to US$8.0 billion, while per capita income increased from US$492 to US$857. This rebasing has highlighted a shift in economic composition—agriculture's contribution to GDP has fallen from 60% to 34%, while services now account for 43% and industry for 21%, up from 7% (Ministry of Finance, 2024).</w:t>
      </w:r>
    </w:p>
    <w:p w14:paraId="3152EA40" w14:textId="77777777" w:rsidR="00F043B7" w:rsidRPr="00F043B7"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t>The updated GDP figures have notable macroeconomic implications. The debt-to-GDP ratio saw a marked improvement, falling from 94% to 54% in 2022 and further to 53.4% in 2023. Similarly, the domestic revenue-to-GDP ratio, though initially declining from 12.4% to 7.2% in 2022, improved modestly to 7.9% in 2023. These shifts suggest a greater potential for expanding domestic revenue mobilisation relative to the now larger economy (Ministry of Finance, 2024).</w:t>
      </w:r>
    </w:p>
    <w:p w14:paraId="54F1738A" w14:textId="77777777" w:rsidR="00F043B7" w:rsidRPr="00F043B7"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t>Real GDP growth, however, moderated to an estimated 4.0% in 2024 from 5.7% in 2023, largely due to falling global iron ore prices and reduced mining output. While mining constitutes only about 7% of GDP, it was the largest contributor to growth. Modest recovery in services and slower agricultural performance—impacted by flash floods—further shaped the growth trajectory. High import growth and slower mineral exports widened the fiscal deficit to 4.8% of GDP, exceeding budget targets and financed predominantly through costly short-term domestic securities. Average domestic debt interest rates increased to 40%, underscoring rising debt servicing costs and continued risks of debt distress (World Bank, 2024).</w:t>
      </w:r>
    </w:p>
    <w:p w14:paraId="4DEA4A40" w14:textId="1C8F99E7" w:rsidR="00F043B7" w:rsidRPr="00F043B7"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t xml:space="preserve">On a positive note, the inflation rate significantly declined from 52.2% in December 2023 to 13.8% by </w:t>
      </w:r>
      <w:r w:rsidR="00FD293D">
        <w:rPr>
          <w:rFonts w:ascii="Baskerville Old Face" w:hAnsi="Baskerville Old Face" w:cs="Times New Roman"/>
          <w:sz w:val="24"/>
          <w:szCs w:val="24"/>
        </w:rPr>
        <w:t xml:space="preserve">the </w:t>
      </w:r>
      <w:r w:rsidRPr="00F043B7">
        <w:rPr>
          <w:rFonts w:ascii="Baskerville Old Face" w:hAnsi="Baskerville Old Face" w:cs="Times New Roman"/>
          <w:sz w:val="24"/>
          <w:szCs w:val="24"/>
        </w:rPr>
        <w:t xml:space="preserve">end </w:t>
      </w:r>
      <w:r w:rsidR="00FD293D">
        <w:rPr>
          <w:rFonts w:ascii="Baskerville Old Face" w:hAnsi="Baskerville Old Face" w:cs="Times New Roman"/>
          <w:sz w:val="24"/>
          <w:szCs w:val="24"/>
        </w:rPr>
        <w:t xml:space="preserve">of </w:t>
      </w:r>
      <w:r w:rsidRPr="00F043B7">
        <w:rPr>
          <w:rFonts w:ascii="Baskerville Old Face" w:hAnsi="Baskerville Old Face" w:cs="Times New Roman"/>
          <w:sz w:val="24"/>
          <w:szCs w:val="24"/>
        </w:rPr>
        <w:t xml:space="preserve">2024, supported by tighter monetary policy, improved food production, and lower international prices. The exchange rate remained relatively stable, appreciating by 1.2% between January and September 2024, reflecting enhanced trade performance and prudent monetary management. Gross international reserves, however, declined to 2 months of import cover by June 2024, down from 2.6 months at </w:t>
      </w:r>
      <w:r w:rsidR="00FD293D">
        <w:rPr>
          <w:rFonts w:ascii="Baskerville Old Face" w:hAnsi="Baskerville Old Face" w:cs="Times New Roman"/>
          <w:sz w:val="24"/>
          <w:szCs w:val="24"/>
        </w:rPr>
        <w:t xml:space="preserve">the </w:t>
      </w:r>
      <w:r w:rsidRPr="00F043B7">
        <w:rPr>
          <w:rFonts w:ascii="Baskerville Old Face" w:hAnsi="Baskerville Old Face" w:cs="Times New Roman"/>
          <w:sz w:val="24"/>
          <w:szCs w:val="24"/>
        </w:rPr>
        <w:t xml:space="preserve">end </w:t>
      </w:r>
      <w:r w:rsidR="00FD293D">
        <w:rPr>
          <w:rFonts w:ascii="Baskerville Old Face" w:hAnsi="Baskerville Old Face" w:cs="Times New Roman"/>
          <w:sz w:val="24"/>
          <w:szCs w:val="24"/>
        </w:rPr>
        <w:t xml:space="preserve">of </w:t>
      </w:r>
      <w:r w:rsidRPr="00F043B7">
        <w:rPr>
          <w:rFonts w:ascii="Baskerville Old Face" w:hAnsi="Baskerville Old Face" w:cs="Times New Roman"/>
          <w:sz w:val="24"/>
          <w:szCs w:val="24"/>
        </w:rPr>
        <w:t>2023, primarily due to increased debt service obligations (Ministry of Finance, 2024).</w:t>
      </w:r>
    </w:p>
    <w:p w14:paraId="248D5445" w14:textId="79101DA0" w:rsidR="00F043B7" w:rsidRPr="00F043B7"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t>Looking ahead, the economy is projected to grow by 4.5% in 2025, with medium-term prospects averaging 4.7% through 2027. Growth is expected to be supported by continued investments in mining, agricultural productivity gains, and policy-driven initiatives such as ‘Feed Salone’. Inflation is forecasted to ease further</w:t>
      </w:r>
      <w:r w:rsidR="00D46424">
        <w:rPr>
          <w:rFonts w:ascii="Baskerville Old Face" w:hAnsi="Baskerville Old Face" w:cs="Times New Roman"/>
          <w:sz w:val="24"/>
          <w:szCs w:val="24"/>
        </w:rPr>
        <w:t xml:space="preserve"> </w:t>
      </w:r>
      <w:r w:rsidRPr="00F043B7">
        <w:rPr>
          <w:rFonts w:ascii="Baskerville Old Face" w:hAnsi="Baskerville Old Face" w:cs="Times New Roman"/>
          <w:sz w:val="24"/>
          <w:szCs w:val="24"/>
        </w:rPr>
        <w:t xml:space="preserve">in 2025 </w:t>
      </w:r>
      <w:r w:rsidR="00D46424">
        <w:rPr>
          <w:rFonts w:ascii="Baskerville Old Face" w:hAnsi="Baskerville Old Face" w:cs="Times New Roman"/>
          <w:sz w:val="24"/>
          <w:szCs w:val="24"/>
        </w:rPr>
        <w:t>and to</w:t>
      </w:r>
      <w:r w:rsidRPr="00F043B7">
        <w:rPr>
          <w:rFonts w:ascii="Baskerville Old Face" w:hAnsi="Baskerville Old Face" w:cs="Times New Roman"/>
          <w:sz w:val="24"/>
          <w:szCs w:val="24"/>
        </w:rPr>
        <w:t xml:space="preserve"> </w:t>
      </w:r>
      <w:r w:rsidR="00FD293D">
        <w:rPr>
          <w:rFonts w:ascii="Baskerville Old Face" w:hAnsi="Baskerville Old Face" w:cs="Times New Roman"/>
          <w:sz w:val="24"/>
          <w:szCs w:val="24"/>
        </w:rPr>
        <w:t>a single digit</w:t>
      </w:r>
      <w:r w:rsidRPr="00F043B7">
        <w:rPr>
          <w:rFonts w:ascii="Baskerville Old Face" w:hAnsi="Baskerville Old Face" w:cs="Times New Roman"/>
          <w:sz w:val="24"/>
          <w:szCs w:val="24"/>
        </w:rPr>
        <w:t xml:space="preserve"> by 2027. Fiscal consolidation is expected to improve, aided by better revenue collection and </w:t>
      </w:r>
      <w:proofErr w:type="spellStart"/>
      <w:r w:rsidRPr="00F043B7">
        <w:rPr>
          <w:rFonts w:ascii="Baskerville Old Face" w:hAnsi="Baskerville Old Face" w:cs="Times New Roman"/>
          <w:sz w:val="24"/>
          <w:szCs w:val="24"/>
        </w:rPr>
        <w:t>rationalisation</w:t>
      </w:r>
      <w:proofErr w:type="spellEnd"/>
      <w:r w:rsidRPr="00F043B7">
        <w:rPr>
          <w:rFonts w:ascii="Baskerville Old Face" w:hAnsi="Baskerville Old Face" w:cs="Times New Roman"/>
          <w:sz w:val="24"/>
          <w:szCs w:val="24"/>
        </w:rPr>
        <w:t xml:space="preserve"> of expenditure, particularly on wages and subsidies (World Bank and Ministry of Finance, 2024).</w:t>
      </w:r>
    </w:p>
    <w:p w14:paraId="2F01AE4A" w14:textId="5CE691B0" w:rsidR="007D14CB" w:rsidRPr="00285F16" w:rsidRDefault="00F043B7" w:rsidP="00936F64">
      <w:pPr>
        <w:spacing w:line="276" w:lineRule="auto"/>
        <w:jc w:val="both"/>
        <w:rPr>
          <w:rFonts w:ascii="Baskerville Old Face" w:hAnsi="Baskerville Old Face" w:cs="Times New Roman"/>
          <w:sz w:val="24"/>
          <w:szCs w:val="24"/>
        </w:rPr>
      </w:pPr>
      <w:r w:rsidRPr="00F043B7">
        <w:rPr>
          <w:rFonts w:ascii="Baskerville Old Face" w:hAnsi="Baskerville Old Face" w:cs="Times New Roman"/>
          <w:sz w:val="24"/>
          <w:szCs w:val="24"/>
        </w:rPr>
        <w:lastRenderedPageBreak/>
        <w:t>Nonetheless, this positive outlook remains vulnerable to both domestic and external risks, including global commodity price volatility, persistent fiscal overruns, weather-related shocks, reduced donor support, and geopolitical uncertainties. In this context, sustained fiscal consolidation, enhanced public financial management, and strengthened domestic revenue mobilisation will be critical to preserving macroeconomic stability and achieving long-term development goals.</w:t>
      </w:r>
    </w:p>
    <w:p w14:paraId="408A7846" w14:textId="6DFC4206" w:rsidR="001E37B8" w:rsidRPr="00520DD2" w:rsidRDefault="00395E0D" w:rsidP="00C03BAC">
      <w:pPr>
        <w:pStyle w:val="Heading2"/>
        <w:rPr>
          <w:rFonts w:ascii="Baskerville Old Face" w:hAnsi="Baskerville Old Face"/>
          <w:b/>
          <w:bCs/>
          <w:lang w:val="en-GB"/>
        </w:rPr>
      </w:pPr>
      <w:bookmarkStart w:id="15" w:name="_Toc198043909"/>
      <w:r w:rsidRPr="00520DD2">
        <w:rPr>
          <w:rFonts w:ascii="Baskerville Old Face" w:hAnsi="Baskerville Old Face"/>
          <w:b/>
          <w:bCs/>
          <w:lang w:val="en-GB"/>
        </w:rPr>
        <w:t xml:space="preserve">1.4 </w:t>
      </w:r>
      <w:r w:rsidR="001E37B8" w:rsidRPr="00520DD2">
        <w:rPr>
          <w:rFonts w:ascii="Baskerville Old Face" w:hAnsi="Baskerville Old Face"/>
          <w:b/>
          <w:bCs/>
          <w:lang w:val="en-GB"/>
        </w:rPr>
        <w:t>NRA STRATEGIC PLAN 2023-2027</w:t>
      </w:r>
      <w:bookmarkEnd w:id="15"/>
    </w:p>
    <w:p w14:paraId="1B34F3B1" w14:textId="140E76B4" w:rsidR="001E37B8" w:rsidRPr="00285F16" w:rsidRDefault="001E37B8" w:rsidP="006B0C09">
      <w:pPr>
        <w:spacing w:line="276"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The year under review marks the </w:t>
      </w:r>
      <w:r w:rsidR="00F95899">
        <w:rPr>
          <w:rFonts w:ascii="Baskerville Old Face" w:hAnsi="Baskerville Old Face" w:cs="Times New Roman"/>
          <w:kern w:val="0"/>
          <w:sz w:val="24"/>
          <w:szCs w:val="24"/>
          <w14:ligatures w14:val="none"/>
        </w:rPr>
        <w:t xml:space="preserve">second year of the </w:t>
      </w:r>
      <w:r w:rsidRPr="00285F16">
        <w:rPr>
          <w:rFonts w:ascii="Baskerville Old Face" w:hAnsi="Baskerville Old Face" w:cs="Times New Roman"/>
          <w:kern w:val="0"/>
          <w:sz w:val="24"/>
          <w:szCs w:val="24"/>
          <w14:ligatures w14:val="none"/>
        </w:rPr>
        <w:t xml:space="preserve">commencement of the </w:t>
      </w:r>
      <w:r w:rsidR="00380B1A">
        <w:rPr>
          <w:rFonts w:ascii="Baskerville Old Face" w:hAnsi="Baskerville Old Face" w:cs="Times New Roman"/>
          <w:kern w:val="0"/>
          <w:sz w:val="24"/>
          <w:szCs w:val="24"/>
          <w14:ligatures w14:val="none"/>
        </w:rPr>
        <w:t>NRA</w:t>
      </w:r>
      <w:r w:rsidRPr="00285F16">
        <w:rPr>
          <w:rFonts w:ascii="Baskerville Old Face" w:hAnsi="Baskerville Old Face" w:cs="Times New Roman"/>
          <w:kern w:val="0"/>
          <w:sz w:val="24"/>
          <w:szCs w:val="24"/>
          <w14:ligatures w14:val="none"/>
        </w:rPr>
        <w:t>'s five-year strategic plan. The 2023-2027 Strategic Plan is rooted in the Authority's pivotal role in aligning with national policy objectives</w:t>
      </w:r>
      <w:r w:rsidR="0002192E">
        <w:rPr>
          <w:rFonts w:ascii="Baskerville Old Face" w:hAnsi="Baskerville Old Face" w:cs="Times New Roman"/>
          <w:kern w:val="0"/>
          <w:sz w:val="24"/>
          <w:szCs w:val="24"/>
          <w14:ligatures w14:val="none"/>
        </w:rPr>
        <w:t xml:space="preserve"> such as the MTNDP and MTRS, </w:t>
      </w:r>
      <w:r w:rsidR="0002192E" w:rsidRPr="00923771">
        <w:rPr>
          <w:rFonts w:ascii="Baskerville Old Face" w:hAnsi="Baskerville Old Face"/>
          <w:sz w:val="24"/>
          <w:szCs w:val="24"/>
        </w:rPr>
        <w:t>global agendas</w:t>
      </w:r>
      <w:r w:rsidR="0002192E">
        <w:rPr>
          <w:rFonts w:ascii="Baskerville Old Face" w:hAnsi="Baskerville Old Face"/>
          <w:sz w:val="24"/>
          <w:szCs w:val="24"/>
        </w:rPr>
        <w:t xml:space="preserve"> such as SDGs, and</w:t>
      </w:r>
      <w:r w:rsidR="0002192E" w:rsidRPr="00923771">
        <w:rPr>
          <w:rFonts w:ascii="Baskerville Old Face" w:hAnsi="Baskerville Old Face"/>
          <w:sz w:val="24"/>
          <w:szCs w:val="24"/>
        </w:rPr>
        <w:t xml:space="preserve"> </w:t>
      </w:r>
      <w:r w:rsidR="0002192E">
        <w:rPr>
          <w:rFonts w:ascii="Baskerville Old Face" w:hAnsi="Baskerville Old Face"/>
          <w:sz w:val="24"/>
          <w:szCs w:val="24"/>
        </w:rPr>
        <w:t xml:space="preserve">the previous </w:t>
      </w:r>
      <w:r w:rsidR="0002192E" w:rsidRPr="00923771">
        <w:rPr>
          <w:rFonts w:ascii="Baskerville Old Face" w:hAnsi="Baskerville Old Face"/>
          <w:sz w:val="24"/>
          <w:szCs w:val="24"/>
        </w:rPr>
        <w:t>2018-2022 Strategic Plan</w:t>
      </w:r>
      <w:r w:rsidRPr="00285F16">
        <w:rPr>
          <w:rFonts w:ascii="Baskerville Old Face" w:hAnsi="Baskerville Old Face" w:cs="Times New Roman"/>
          <w:kern w:val="0"/>
          <w:sz w:val="24"/>
          <w:szCs w:val="24"/>
          <w14:ligatures w14:val="none"/>
        </w:rPr>
        <w:t>. This strategic framework highlights six primary goals:</w:t>
      </w:r>
    </w:p>
    <w:p w14:paraId="5975941B" w14:textId="028B2103"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Sustainable mobilisation of revenue to </w:t>
      </w:r>
      <w:r w:rsidR="00FF5F4C">
        <w:rPr>
          <w:rFonts w:ascii="Baskerville Old Face" w:hAnsi="Baskerville Old Face" w:cs="Times New Roman"/>
          <w:kern w:val="0"/>
          <w:sz w:val="24"/>
          <w:szCs w:val="24"/>
          <w14:ligatures w14:val="none"/>
        </w:rPr>
        <w:t>strengthen</w:t>
      </w:r>
      <w:r w:rsidRPr="00285F16">
        <w:rPr>
          <w:rFonts w:ascii="Baskerville Old Face" w:hAnsi="Baskerville Old Face" w:cs="Times New Roman"/>
          <w:kern w:val="0"/>
          <w:sz w:val="24"/>
          <w:szCs w:val="24"/>
          <w14:ligatures w14:val="none"/>
        </w:rPr>
        <w:t xml:space="preserve"> government fiscal capacity.</w:t>
      </w:r>
    </w:p>
    <w:p w14:paraId="0EBFC29A" w14:textId="77777777"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Maintenance of a professional workforce and the development of institutional capacity.</w:t>
      </w:r>
    </w:p>
    <w:p w14:paraId="6D994BE9" w14:textId="77777777"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Enhancement of trade facilitation and border management.</w:t>
      </w:r>
    </w:p>
    <w:p w14:paraId="2D020BCD" w14:textId="77777777"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Establishment of fully digitalized, integrated, and sustainable business processes and procedures.</w:t>
      </w:r>
    </w:p>
    <w:p w14:paraId="428B8F83" w14:textId="77777777"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Improvement of public trust and credibility, and </w:t>
      </w:r>
    </w:p>
    <w:p w14:paraId="7F0D7ED6" w14:textId="77777777" w:rsidR="001E37B8" w:rsidRPr="00285F16" w:rsidRDefault="001E37B8" w:rsidP="00931C1A">
      <w:pPr>
        <w:numPr>
          <w:ilvl w:val="0"/>
          <w:numId w:val="1"/>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Enhanced taxpayer services and education.</w:t>
      </w:r>
    </w:p>
    <w:p w14:paraId="43C7C74F" w14:textId="77777777" w:rsidR="001E37B8" w:rsidRPr="00285F16" w:rsidRDefault="001E37B8" w:rsidP="006B0C09">
      <w:pPr>
        <w:spacing w:line="276"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In addition, the 2023-2027 Strategic Plan outlines seventeen strategic objectives aimed at attaining these overarching goals:</w:t>
      </w:r>
    </w:p>
    <w:p w14:paraId="62360D5F"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Maximizing revenue collection.</w:t>
      </w:r>
    </w:p>
    <w:p w14:paraId="4EABD006"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tax compliance and enforcement.</w:t>
      </w:r>
    </w:p>
    <w:p w14:paraId="30586034"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the tax base.</w:t>
      </w:r>
    </w:p>
    <w:p w14:paraId="496F858E"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Sustaining active involvement in tax policy formulation and implementation.</w:t>
      </w:r>
    </w:p>
    <w:p w14:paraId="56636A2F"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Attracting, developing, and retaining top talents.</w:t>
      </w:r>
    </w:p>
    <w:p w14:paraId="3EED5F7F"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Implementing a results-based governance model.</w:t>
      </w:r>
    </w:p>
    <w:p w14:paraId="33755D7C"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and expanding infrastructure.</w:t>
      </w:r>
    </w:p>
    <w:p w14:paraId="3890296D"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Securing funding and optimizing resource allocation.</w:t>
      </w:r>
    </w:p>
    <w:p w14:paraId="0D920A1A"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trade facilitation and border management.</w:t>
      </w:r>
    </w:p>
    <w:p w14:paraId="369A3035"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security and efficiency in the international flow of goods and individuals.</w:t>
      </w:r>
    </w:p>
    <w:p w14:paraId="543833E6"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sustaining, and integrating ICT infrastructure and business systems.</w:t>
      </w:r>
    </w:p>
    <w:p w14:paraId="0B2BE5CF"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Optimizing business processes and procedures.</w:t>
      </w:r>
    </w:p>
    <w:p w14:paraId="2E1BF537"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the institutional image.</w:t>
      </w:r>
    </w:p>
    <w:p w14:paraId="019B0F9C"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Improving internal controls, institutional risk management, and integrity mechanisms.</w:t>
      </w:r>
    </w:p>
    <w:p w14:paraId="34B271DE"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tax education and taxpayer services.</w:t>
      </w:r>
    </w:p>
    <w:p w14:paraId="3CC73335"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Reinforcing communication and institutional relations.</w:t>
      </w:r>
    </w:p>
    <w:p w14:paraId="41044A43" w14:textId="77777777" w:rsidR="001E37B8" w:rsidRPr="00285F16" w:rsidRDefault="001E37B8" w:rsidP="00931C1A">
      <w:pPr>
        <w:numPr>
          <w:ilvl w:val="0"/>
          <w:numId w:val="2"/>
        </w:numPr>
        <w:spacing w:line="276"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Cultivating a culture conducive to change.</w:t>
      </w:r>
    </w:p>
    <w:p w14:paraId="232F37DC" w14:textId="77777777" w:rsidR="00AE108E" w:rsidRDefault="00AE108E" w:rsidP="007D14CB">
      <w:pPr>
        <w:spacing w:line="276" w:lineRule="auto"/>
        <w:jc w:val="both"/>
        <w:rPr>
          <w:rFonts w:ascii="Baskerville Old Face" w:hAnsi="Baskerville Old Face" w:cs="Times New Roman"/>
          <w:b/>
          <w:bCs/>
          <w:sz w:val="24"/>
          <w:szCs w:val="24"/>
        </w:rPr>
      </w:pPr>
    </w:p>
    <w:p w14:paraId="54524624" w14:textId="77777777" w:rsidR="006B0C09" w:rsidRDefault="006B0C09" w:rsidP="007D14CB">
      <w:pPr>
        <w:spacing w:line="276" w:lineRule="auto"/>
        <w:jc w:val="both"/>
        <w:rPr>
          <w:rFonts w:ascii="Baskerville Old Face" w:hAnsi="Baskerville Old Face" w:cs="Times New Roman"/>
          <w:b/>
          <w:bCs/>
          <w:sz w:val="24"/>
          <w:szCs w:val="24"/>
        </w:rPr>
      </w:pPr>
    </w:p>
    <w:p w14:paraId="54EF06A7" w14:textId="77777777" w:rsidR="006B0C09" w:rsidRDefault="006B0C09" w:rsidP="007D14CB">
      <w:pPr>
        <w:spacing w:line="276" w:lineRule="auto"/>
        <w:jc w:val="both"/>
        <w:rPr>
          <w:rFonts w:ascii="Baskerville Old Face" w:hAnsi="Baskerville Old Face" w:cs="Times New Roman"/>
          <w:b/>
          <w:bCs/>
          <w:sz w:val="24"/>
          <w:szCs w:val="24"/>
        </w:rPr>
      </w:pPr>
    </w:p>
    <w:p w14:paraId="785F1795" w14:textId="67594684" w:rsidR="007D14CB" w:rsidRPr="00520DD2" w:rsidRDefault="00395E0D" w:rsidP="00C03BAC">
      <w:pPr>
        <w:pStyle w:val="Heading2"/>
        <w:rPr>
          <w:rFonts w:ascii="Baskerville Old Face" w:hAnsi="Baskerville Old Face"/>
          <w:b/>
          <w:bCs/>
        </w:rPr>
      </w:pPr>
      <w:bookmarkStart w:id="16" w:name="_Toc198043910"/>
      <w:r w:rsidRPr="00520DD2">
        <w:rPr>
          <w:rFonts w:ascii="Baskerville Old Face" w:hAnsi="Baskerville Old Face"/>
          <w:b/>
          <w:bCs/>
        </w:rPr>
        <w:t xml:space="preserve">1.5 </w:t>
      </w:r>
      <w:r w:rsidR="00923771" w:rsidRPr="00520DD2">
        <w:rPr>
          <w:rFonts w:ascii="Baskerville Old Face" w:hAnsi="Baskerville Old Face"/>
          <w:b/>
          <w:bCs/>
        </w:rPr>
        <w:t>PROGRESS REPORT ON THE IMPLEMENTATION OF THE 202</w:t>
      </w:r>
      <w:r w:rsidR="0045119E" w:rsidRPr="00520DD2">
        <w:rPr>
          <w:rFonts w:ascii="Baskerville Old Face" w:hAnsi="Baskerville Old Face"/>
          <w:b/>
          <w:bCs/>
        </w:rPr>
        <w:t>4</w:t>
      </w:r>
      <w:r w:rsidR="00923771" w:rsidRPr="00520DD2">
        <w:rPr>
          <w:rFonts w:ascii="Baskerville Old Face" w:hAnsi="Baskerville Old Face"/>
          <w:b/>
          <w:bCs/>
        </w:rPr>
        <w:t xml:space="preserve"> NRA OPERATIONAL PLAN</w:t>
      </w:r>
      <w:bookmarkEnd w:id="16"/>
    </w:p>
    <w:p w14:paraId="2320E95B" w14:textId="77777777" w:rsidR="0080641E" w:rsidRPr="005A6B3B" w:rsidRDefault="0080641E"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r w:rsidRPr="005A6B3B">
        <w:rPr>
          <w:rFonts w:ascii="Baskerville Old Face" w:eastAsia="Times New Roman" w:hAnsi="Baskerville Old Face" w:cs="Times New Roman"/>
          <w:kern w:val="0"/>
          <w14:ligatures w14:val="none"/>
        </w:rPr>
        <w:t xml:space="preserve">The annual operational plan functions as a detailed implementation roadmap, aligning fiscal-year priorities with the overarching goals of the Strategic Plan. It guides the execution of key activities while providing a framework for regular monitoring, evaluation, and </w:t>
      </w:r>
      <w:r w:rsidRPr="0080641E">
        <w:rPr>
          <w:rFonts w:ascii="Baskerville Old Face" w:eastAsia="Times New Roman" w:hAnsi="Baskerville Old Face" w:cs="Times New Roman"/>
          <w:kern w:val="0"/>
          <w14:ligatures w14:val="none"/>
        </w:rPr>
        <w:t>reviews</w:t>
      </w:r>
      <w:r w:rsidRPr="005A6B3B">
        <w:rPr>
          <w:rFonts w:ascii="Baskerville Old Face" w:eastAsia="Times New Roman" w:hAnsi="Baskerville Old Face" w:cs="Times New Roman"/>
          <w:kern w:val="0"/>
          <w14:ligatures w14:val="none"/>
        </w:rPr>
        <w:t>, thereby enabling the NRA to stay responsive and aligned with its strategic direction. The activities set out in the operational plan are drawn from the Strategic Plan’s Monitoring and Evaluation (M&amp;E) Framework and are scheduled annually up to the final year of implementation.</w:t>
      </w:r>
    </w:p>
    <w:p w14:paraId="40A511B7" w14:textId="4782B262" w:rsidR="0080641E" w:rsidRPr="00A25123" w:rsidRDefault="0080641E"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r w:rsidRPr="00A25123">
        <w:rPr>
          <w:rFonts w:ascii="Baskerville Old Face" w:eastAsia="Times New Roman" w:hAnsi="Baskerville Old Face" w:cs="Times New Roman"/>
          <w:kern w:val="0"/>
          <w14:ligatures w14:val="none"/>
        </w:rPr>
        <w:t>An evaluation of the 2024 operational plan, presented in Table 1, shows a total of 23</w:t>
      </w:r>
      <w:r w:rsidR="00C95344">
        <w:rPr>
          <w:rFonts w:ascii="Baskerville Old Face" w:eastAsia="Times New Roman" w:hAnsi="Baskerville Old Face" w:cs="Times New Roman"/>
          <w:kern w:val="0"/>
          <w14:ligatures w14:val="none"/>
        </w:rPr>
        <w:t>1</w:t>
      </w:r>
      <w:r w:rsidRPr="00A25123">
        <w:rPr>
          <w:rFonts w:ascii="Baskerville Old Face" w:eastAsia="Times New Roman" w:hAnsi="Baskerville Old Face" w:cs="Times New Roman"/>
          <w:kern w:val="0"/>
          <w14:ligatures w14:val="none"/>
        </w:rPr>
        <w:t xml:space="preserve"> planned activities across six strategic goals. Of these, </w:t>
      </w:r>
      <w:r w:rsidR="00C95344">
        <w:rPr>
          <w:rFonts w:ascii="Baskerville Old Face" w:eastAsia="Times New Roman" w:hAnsi="Baskerville Old Face" w:cs="Times New Roman"/>
          <w:kern w:val="0"/>
          <w14:ligatures w14:val="none"/>
        </w:rPr>
        <w:t>92</w:t>
      </w:r>
      <w:r w:rsidRPr="00A25123">
        <w:rPr>
          <w:rFonts w:ascii="Baskerville Old Face" w:eastAsia="Times New Roman" w:hAnsi="Baskerville Old Face" w:cs="Times New Roman"/>
          <w:kern w:val="0"/>
          <w14:ligatures w14:val="none"/>
        </w:rPr>
        <w:t xml:space="preserve"> activities (</w:t>
      </w:r>
      <w:r w:rsidR="00C95344">
        <w:rPr>
          <w:rFonts w:ascii="Baskerville Old Face" w:eastAsia="Times New Roman" w:hAnsi="Baskerville Old Face" w:cs="Times New Roman"/>
          <w:kern w:val="0"/>
          <w14:ligatures w14:val="none"/>
        </w:rPr>
        <w:t>40</w:t>
      </w:r>
      <w:r w:rsidRPr="00A25123">
        <w:rPr>
          <w:rFonts w:ascii="Baskerville Old Face" w:eastAsia="Times New Roman" w:hAnsi="Baskerville Old Face" w:cs="Times New Roman"/>
          <w:kern w:val="0"/>
          <w14:ligatures w14:val="none"/>
        </w:rPr>
        <w:t>%) were fully completed, 8</w:t>
      </w:r>
      <w:r w:rsidR="00832D9A">
        <w:rPr>
          <w:rFonts w:ascii="Baskerville Old Face" w:eastAsia="Times New Roman" w:hAnsi="Baskerville Old Face" w:cs="Times New Roman"/>
          <w:kern w:val="0"/>
          <w14:ligatures w14:val="none"/>
        </w:rPr>
        <w:t>3</w:t>
      </w:r>
      <w:r w:rsidRPr="00A25123">
        <w:rPr>
          <w:rFonts w:ascii="Baskerville Old Face" w:eastAsia="Times New Roman" w:hAnsi="Baskerville Old Face" w:cs="Times New Roman"/>
          <w:kern w:val="0"/>
          <w14:ligatures w14:val="none"/>
        </w:rPr>
        <w:t xml:space="preserve"> (3</w:t>
      </w:r>
      <w:r w:rsidR="00832D9A">
        <w:rPr>
          <w:rFonts w:ascii="Baskerville Old Face" w:eastAsia="Times New Roman" w:hAnsi="Baskerville Old Face" w:cs="Times New Roman"/>
          <w:kern w:val="0"/>
          <w14:ligatures w14:val="none"/>
        </w:rPr>
        <w:t>6</w:t>
      </w:r>
      <w:r w:rsidRPr="00A25123">
        <w:rPr>
          <w:rFonts w:ascii="Baskerville Old Face" w:eastAsia="Times New Roman" w:hAnsi="Baskerville Old Face" w:cs="Times New Roman"/>
          <w:kern w:val="0"/>
          <w14:ligatures w14:val="none"/>
        </w:rPr>
        <w:t xml:space="preserve">%) were partially completed, and </w:t>
      </w:r>
      <w:r w:rsidR="00832D9A">
        <w:rPr>
          <w:rFonts w:ascii="Baskerville Old Face" w:eastAsia="Times New Roman" w:hAnsi="Baskerville Old Face" w:cs="Times New Roman"/>
          <w:kern w:val="0"/>
          <w14:ligatures w14:val="none"/>
        </w:rPr>
        <w:t>56</w:t>
      </w:r>
      <w:r w:rsidRPr="00A25123">
        <w:rPr>
          <w:rFonts w:ascii="Baskerville Old Face" w:eastAsia="Times New Roman" w:hAnsi="Baskerville Old Face" w:cs="Times New Roman"/>
          <w:kern w:val="0"/>
          <w14:ligatures w14:val="none"/>
        </w:rPr>
        <w:t xml:space="preserve"> (</w:t>
      </w:r>
      <w:r w:rsidR="00832D9A">
        <w:rPr>
          <w:rFonts w:ascii="Baskerville Old Face" w:eastAsia="Times New Roman" w:hAnsi="Baskerville Old Face" w:cs="Times New Roman"/>
          <w:kern w:val="0"/>
          <w14:ligatures w14:val="none"/>
        </w:rPr>
        <w:t>24</w:t>
      </w:r>
      <w:r w:rsidRPr="00A25123">
        <w:rPr>
          <w:rFonts w:ascii="Baskerville Old Face" w:eastAsia="Times New Roman" w:hAnsi="Baskerville Old Face" w:cs="Times New Roman"/>
          <w:kern w:val="0"/>
          <w14:ligatures w14:val="none"/>
        </w:rPr>
        <w:t>%) were not implemented. Activities that were not completed during the year have been carried forward to the 2025 fiscal year for further action.</w:t>
      </w:r>
    </w:p>
    <w:p w14:paraId="24243E62" w14:textId="0A4643FE" w:rsidR="00326812" w:rsidRPr="00766021" w:rsidRDefault="00326812" w:rsidP="00326812">
      <w:pPr>
        <w:pStyle w:val="Caption"/>
        <w:keepNext/>
        <w:rPr>
          <w:rFonts w:ascii="Baskerville Old Face" w:hAnsi="Baskerville Old Face"/>
          <w:b/>
          <w:bCs/>
          <w:sz w:val="24"/>
          <w:szCs w:val="24"/>
        </w:rPr>
      </w:pPr>
      <w:bookmarkStart w:id="17" w:name="_Toc198044019"/>
      <w:r w:rsidRPr="00766021">
        <w:rPr>
          <w:rFonts w:ascii="Baskerville Old Face" w:hAnsi="Baskerville Old Face"/>
          <w:b/>
          <w:bCs/>
          <w:sz w:val="24"/>
          <w:szCs w:val="24"/>
        </w:rPr>
        <w:t xml:space="preserve">Table </w:t>
      </w:r>
      <w:r w:rsidRPr="00766021">
        <w:rPr>
          <w:rFonts w:ascii="Baskerville Old Face" w:hAnsi="Baskerville Old Face"/>
          <w:b/>
          <w:bCs/>
          <w:sz w:val="24"/>
          <w:szCs w:val="24"/>
        </w:rPr>
        <w:fldChar w:fldCharType="begin"/>
      </w:r>
      <w:r w:rsidRPr="00766021">
        <w:rPr>
          <w:rFonts w:ascii="Baskerville Old Face" w:hAnsi="Baskerville Old Face"/>
          <w:b/>
          <w:bCs/>
          <w:sz w:val="24"/>
          <w:szCs w:val="24"/>
        </w:rPr>
        <w:instrText xml:space="preserve"> SEQ Table \* ARABIC </w:instrText>
      </w:r>
      <w:r w:rsidRPr="00766021">
        <w:rPr>
          <w:rFonts w:ascii="Baskerville Old Face" w:hAnsi="Baskerville Old Face"/>
          <w:b/>
          <w:bCs/>
          <w:sz w:val="24"/>
          <w:szCs w:val="24"/>
        </w:rPr>
        <w:fldChar w:fldCharType="separate"/>
      </w:r>
      <w:r w:rsidR="0071721B" w:rsidRPr="00766021">
        <w:rPr>
          <w:rFonts w:ascii="Baskerville Old Face" w:hAnsi="Baskerville Old Face"/>
          <w:b/>
          <w:bCs/>
          <w:noProof/>
          <w:sz w:val="24"/>
          <w:szCs w:val="24"/>
        </w:rPr>
        <w:t>1</w:t>
      </w:r>
      <w:r w:rsidRPr="00766021">
        <w:rPr>
          <w:rFonts w:ascii="Baskerville Old Face" w:hAnsi="Baskerville Old Face"/>
          <w:b/>
          <w:bCs/>
          <w:sz w:val="24"/>
          <w:szCs w:val="24"/>
        </w:rPr>
        <w:fldChar w:fldCharType="end"/>
      </w:r>
      <w:r w:rsidRPr="00766021">
        <w:rPr>
          <w:rFonts w:ascii="Baskerville Old Face" w:hAnsi="Baskerville Old Face"/>
          <w:b/>
          <w:bCs/>
          <w:sz w:val="24"/>
          <w:szCs w:val="24"/>
        </w:rPr>
        <w:t xml:space="preserve">: 2024 NRA </w:t>
      </w:r>
      <w:r w:rsidR="00766021">
        <w:rPr>
          <w:rFonts w:ascii="Baskerville Old Face" w:hAnsi="Baskerville Old Face"/>
          <w:b/>
          <w:bCs/>
          <w:sz w:val="24"/>
          <w:szCs w:val="24"/>
        </w:rPr>
        <w:t>Operational</w:t>
      </w:r>
      <w:r w:rsidRPr="00766021">
        <w:rPr>
          <w:rFonts w:ascii="Baskerville Old Face" w:hAnsi="Baskerville Old Face"/>
          <w:b/>
          <w:bCs/>
          <w:sz w:val="24"/>
          <w:szCs w:val="24"/>
        </w:rPr>
        <w:t xml:space="preserve"> Plan Activities Analysis</w:t>
      </w:r>
      <w:bookmarkEnd w:id="17"/>
    </w:p>
    <w:tbl>
      <w:tblPr>
        <w:tblStyle w:val="GridTable4-Accent63"/>
        <w:tblW w:w="0" w:type="auto"/>
        <w:tblLook w:val="04A0" w:firstRow="1" w:lastRow="0" w:firstColumn="1" w:lastColumn="0" w:noHBand="0" w:noVBand="1"/>
      </w:tblPr>
      <w:tblGrid>
        <w:gridCol w:w="2551"/>
        <w:gridCol w:w="807"/>
        <w:gridCol w:w="807"/>
        <w:gridCol w:w="807"/>
        <w:gridCol w:w="807"/>
        <w:gridCol w:w="807"/>
        <w:gridCol w:w="807"/>
        <w:gridCol w:w="686"/>
        <w:gridCol w:w="716"/>
      </w:tblGrid>
      <w:tr w:rsidR="00923771" w:rsidRPr="000D6CCA" w14:paraId="455A400E" w14:textId="77777777" w:rsidTr="00CB37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704ED" w14:textId="77777777" w:rsidR="00923771" w:rsidRPr="000D6CCA" w:rsidRDefault="00923771" w:rsidP="00E476EF">
            <w:pPr>
              <w:jc w:val="both"/>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Activity Status</w:t>
            </w:r>
          </w:p>
        </w:tc>
        <w:tc>
          <w:tcPr>
            <w:tcW w:w="0" w:type="auto"/>
            <w:noWrap/>
            <w:hideMark/>
          </w:tcPr>
          <w:p w14:paraId="2F24B34B"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1</w:t>
            </w:r>
          </w:p>
        </w:tc>
        <w:tc>
          <w:tcPr>
            <w:tcW w:w="0" w:type="auto"/>
            <w:noWrap/>
            <w:hideMark/>
          </w:tcPr>
          <w:p w14:paraId="2DFF0AC1"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2</w:t>
            </w:r>
          </w:p>
        </w:tc>
        <w:tc>
          <w:tcPr>
            <w:tcW w:w="0" w:type="auto"/>
            <w:noWrap/>
            <w:hideMark/>
          </w:tcPr>
          <w:p w14:paraId="2C4C6508"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3</w:t>
            </w:r>
          </w:p>
        </w:tc>
        <w:tc>
          <w:tcPr>
            <w:tcW w:w="0" w:type="auto"/>
            <w:noWrap/>
            <w:hideMark/>
          </w:tcPr>
          <w:p w14:paraId="09CCB25C"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4</w:t>
            </w:r>
          </w:p>
        </w:tc>
        <w:tc>
          <w:tcPr>
            <w:tcW w:w="0" w:type="auto"/>
            <w:noWrap/>
            <w:hideMark/>
          </w:tcPr>
          <w:p w14:paraId="0CE32DB8"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5</w:t>
            </w:r>
          </w:p>
        </w:tc>
        <w:tc>
          <w:tcPr>
            <w:tcW w:w="0" w:type="auto"/>
            <w:noWrap/>
            <w:hideMark/>
          </w:tcPr>
          <w:p w14:paraId="025DAB76"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Goal 6</w:t>
            </w:r>
          </w:p>
        </w:tc>
        <w:tc>
          <w:tcPr>
            <w:tcW w:w="0" w:type="auto"/>
            <w:noWrap/>
            <w:hideMark/>
          </w:tcPr>
          <w:p w14:paraId="5E878982"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Total</w:t>
            </w:r>
          </w:p>
        </w:tc>
        <w:tc>
          <w:tcPr>
            <w:tcW w:w="0" w:type="auto"/>
            <w:noWrap/>
            <w:hideMark/>
          </w:tcPr>
          <w:p w14:paraId="10B3308D" w14:textId="77777777" w:rsidR="00923771" w:rsidRPr="000D6CCA"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Share</w:t>
            </w:r>
          </w:p>
        </w:tc>
      </w:tr>
      <w:tr w:rsidR="000D6CCA" w:rsidRPr="000D6CCA" w14:paraId="03E03693" w14:textId="77777777"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25820B8" w14:textId="77777777" w:rsidR="000D6CCA" w:rsidRPr="000D6CCA" w:rsidRDefault="000D6CCA" w:rsidP="000D6CCA">
            <w:pPr>
              <w:jc w:val="both"/>
              <w:rPr>
                <w:rFonts w:ascii="Baskerville Old Face" w:eastAsia="Times New Roman" w:hAnsi="Baskerville Old Face" w:cs="Calibri"/>
                <w:b w:val="0"/>
                <w:bCs w:val="0"/>
                <w:color w:val="000000"/>
                <w:kern w:val="0"/>
                <w14:ligatures w14:val="none"/>
              </w:rPr>
            </w:pPr>
            <w:r w:rsidRPr="000D6CCA">
              <w:rPr>
                <w:rFonts w:ascii="Baskerville Old Face" w:eastAsia="Times New Roman" w:hAnsi="Baskerville Old Face" w:cs="Calibri"/>
                <w:b w:val="0"/>
                <w:bCs w:val="0"/>
                <w:kern w:val="0"/>
                <w:lang w:val="en-GB"/>
                <w14:ligatures w14:val="none"/>
              </w:rPr>
              <w:t>Completed Activities</w:t>
            </w:r>
          </w:p>
        </w:tc>
        <w:tc>
          <w:tcPr>
            <w:tcW w:w="0" w:type="auto"/>
            <w:noWrap/>
            <w:hideMark/>
          </w:tcPr>
          <w:p w14:paraId="79EBFF31" w14:textId="59140013" w:rsidR="000D6CCA" w:rsidRPr="000D6CCA" w:rsidRDefault="00875EFB"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34</w:t>
            </w:r>
          </w:p>
        </w:tc>
        <w:tc>
          <w:tcPr>
            <w:tcW w:w="0" w:type="auto"/>
            <w:noWrap/>
            <w:hideMark/>
          </w:tcPr>
          <w:p w14:paraId="6DA9FE86" w14:textId="5080BBC8" w:rsidR="000D6CCA" w:rsidRPr="000D6CCA" w:rsidRDefault="00875EFB"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23</w:t>
            </w:r>
          </w:p>
        </w:tc>
        <w:tc>
          <w:tcPr>
            <w:tcW w:w="0" w:type="auto"/>
            <w:noWrap/>
            <w:hideMark/>
          </w:tcPr>
          <w:p w14:paraId="2D96411C" w14:textId="19DF0C98" w:rsidR="000D6CCA" w:rsidRPr="000D6CCA" w:rsidRDefault="00875EFB"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0" w:type="auto"/>
            <w:noWrap/>
            <w:hideMark/>
          </w:tcPr>
          <w:p w14:paraId="784C8E55" w14:textId="2CE2C9E7" w:rsidR="000D6CCA" w:rsidRPr="000D6CCA" w:rsidRDefault="00083133"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9</w:t>
            </w:r>
          </w:p>
        </w:tc>
        <w:tc>
          <w:tcPr>
            <w:tcW w:w="0" w:type="auto"/>
            <w:noWrap/>
            <w:hideMark/>
          </w:tcPr>
          <w:p w14:paraId="2BFD57CE" w14:textId="26765EF7" w:rsidR="000D6CCA" w:rsidRPr="000D6CCA" w:rsidRDefault="00083133"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w:t>
            </w:r>
          </w:p>
        </w:tc>
        <w:tc>
          <w:tcPr>
            <w:tcW w:w="0" w:type="auto"/>
            <w:noWrap/>
            <w:hideMark/>
          </w:tcPr>
          <w:p w14:paraId="311E364E" w14:textId="1AABD1FE" w:rsidR="000D6CCA" w:rsidRPr="000D6CCA" w:rsidRDefault="000D6CCA"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hAnsi="Baskerville Old Face"/>
              </w:rPr>
              <w:t>1</w:t>
            </w:r>
            <w:r w:rsidR="00083133">
              <w:rPr>
                <w:rFonts w:ascii="Baskerville Old Face" w:hAnsi="Baskerville Old Face"/>
              </w:rPr>
              <w:t>7</w:t>
            </w:r>
          </w:p>
        </w:tc>
        <w:tc>
          <w:tcPr>
            <w:tcW w:w="0" w:type="auto"/>
            <w:noWrap/>
            <w:hideMark/>
          </w:tcPr>
          <w:p w14:paraId="6F161836" w14:textId="76EBC313" w:rsidR="000D6CCA" w:rsidRPr="000D6CCA" w:rsidRDefault="008D0CC2"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92</w:t>
            </w:r>
          </w:p>
        </w:tc>
        <w:tc>
          <w:tcPr>
            <w:tcW w:w="0" w:type="auto"/>
            <w:noWrap/>
            <w:hideMark/>
          </w:tcPr>
          <w:p w14:paraId="3DABD391" w14:textId="78CCD00F" w:rsidR="000D6CCA" w:rsidRPr="000D6CCA" w:rsidRDefault="008D0CC2"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hAnsi="Baskerville Old Face"/>
              </w:rPr>
              <w:t>40</w:t>
            </w:r>
            <w:r w:rsidR="000D6CCA" w:rsidRPr="000D6CCA">
              <w:rPr>
                <w:rFonts w:ascii="Baskerville Old Face" w:hAnsi="Baskerville Old Face"/>
              </w:rPr>
              <w:t>%</w:t>
            </w:r>
          </w:p>
        </w:tc>
      </w:tr>
      <w:tr w:rsidR="000D6CCA" w:rsidRPr="000D6CCA" w14:paraId="16ABDB16" w14:textId="77777777" w:rsidTr="00CB37CF">
        <w:trPr>
          <w:trHeight w:val="288"/>
        </w:trPr>
        <w:tc>
          <w:tcPr>
            <w:tcW w:w="0" w:type="auto"/>
            <w:noWrap/>
            <w:hideMark/>
          </w:tcPr>
          <w:p w14:paraId="4B9A5129" w14:textId="77777777" w:rsidR="000D6CCA" w:rsidRPr="000D6CCA" w:rsidRDefault="000D6CCA" w:rsidP="000D6CCA">
            <w:pPr>
              <w:jc w:val="both"/>
              <w:cnfStyle w:val="001000000000" w:firstRow="0" w:lastRow="0" w:firstColumn="1" w:lastColumn="0" w:oddVBand="0" w:evenVBand="0" w:oddHBand="0" w:evenHBand="0" w:firstRowFirstColumn="0" w:firstRowLastColumn="0" w:lastRowFirstColumn="0" w:lastRowLastColumn="0"/>
              <w:rPr>
                <w:rFonts w:ascii="Baskerville Old Face" w:eastAsia="Times New Roman" w:hAnsi="Baskerville Old Face" w:cs="Calibri"/>
                <w:b w:val="0"/>
                <w:bCs w:val="0"/>
                <w:color w:val="000000"/>
                <w:kern w:val="0"/>
                <w14:ligatures w14:val="none"/>
              </w:rPr>
            </w:pPr>
            <w:r w:rsidRPr="000D6CCA">
              <w:rPr>
                <w:rFonts w:ascii="Baskerville Old Face" w:eastAsia="Times New Roman" w:hAnsi="Baskerville Old Face" w:cs="Calibri"/>
                <w:b w:val="0"/>
                <w:bCs w:val="0"/>
                <w:kern w:val="0"/>
                <w:lang w:val="en-GB"/>
                <w14:ligatures w14:val="none"/>
              </w:rPr>
              <w:t>Partially achieved/Ongoing</w:t>
            </w:r>
          </w:p>
        </w:tc>
        <w:tc>
          <w:tcPr>
            <w:tcW w:w="0" w:type="auto"/>
            <w:noWrap/>
            <w:hideMark/>
          </w:tcPr>
          <w:p w14:paraId="7A286EBA" w14:textId="28CF5C01" w:rsidR="000D6CCA" w:rsidRPr="000D6CCA" w:rsidRDefault="000D6CCA" w:rsidP="000D6CCA">
            <w:pPr>
              <w:jc w:val="both"/>
              <w:rPr>
                <w:rFonts w:ascii="Baskerville Old Face" w:eastAsia="Times New Roman" w:hAnsi="Baskerville Old Face" w:cs="Calibri"/>
                <w:color w:val="000000"/>
                <w:kern w:val="0"/>
                <w14:ligatures w14:val="none"/>
              </w:rPr>
            </w:pPr>
            <w:r w:rsidRPr="000D6CCA">
              <w:rPr>
                <w:rFonts w:ascii="Baskerville Old Face" w:hAnsi="Baskerville Old Face"/>
              </w:rPr>
              <w:t>2</w:t>
            </w:r>
            <w:r w:rsidR="00554E1F">
              <w:rPr>
                <w:rFonts w:ascii="Baskerville Old Face" w:hAnsi="Baskerville Old Face"/>
              </w:rPr>
              <w:t>0</w:t>
            </w:r>
          </w:p>
        </w:tc>
        <w:tc>
          <w:tcPr>
            <w:tcW w:w="0" w:type="auto"/>
            <w:noWrap/>
            <w:hideMark/>
          </w:tcPr>
          <w:p w14:paraId="7C2CD7CB" w14:textId="583E59B8" w:rsidR="000D6CCA" w:rsidRPr="000D6CCA" w:rsidRDefault="00554E1F" w:rsidP="000D6CCA">
            <w:pPr>
              <w:jc w:val="both"/>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27</w:t>
            </w:r>
          </w:p>
        </w:tc>
        <w:tc>
          <w:tcPr>
            <w:tcW w:w="0" w:type="auto"/>
            <w:noWrap/>
            <w:hideMark/>
          </w:tcPr>
          <w:p w14:paraId="5F5F7B42" w14:textId="33F100EF" w:rsidR="000D6CCA" w:rsidRPr="000D6CCA" w:rsidRDefault="00554E1F" w:rsidP="000D6CCA">
            <w:pPr>
              <w:jc w:val="both"/>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9</w:t>
            </w:r>
          </w:p>
        </w:tc>
        <w:tc>
          <w:tcPr>
            <w:tcW w:w="0" w:type="auto"/>
            <w:noWrap/>
            <w:hideMark/>
          </w:tcPr>
          <w:p w14:paraId="6D087E32" w14:textId="6677B966" w:rsidR="000D6CCA" w:rsidRPr="000D6CCA" w:rsidRDefault="00554E1F" w:rsidP="000D6CCA">
            <w:pPr>
              <w:jc w:val="both"/>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0" w:type="auto"/>
            <w:noWrap/>
            <w:hideMark/>
          </w:tcPr>
          <w:p w14:paraId="79DE4197" w14:textId="02F9DBFC" w:rsidR="000D6CCA" w:rsidRPr="000D6CCA" w:rsidRDefault="00554E1F" w:rsidP="000D6CCA">
            <w:pPr>
              <w:jc w:val="both"/>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8</w:t>
            </w:r>
          </w:p>
        </w:tc>
        <w:tc>
          <w:tcPr>
            <w:tcW w:w="0" w:type="auto"/>
            <w:noWrap/>
            <w:hideMark/>
          </w:tcPr>
          <w:p w14:paraId="5E8740C1" w14:textId="7DCA71CA" w:rsidR="000D6CCA" w:rsidRPr="000D6CCA" w:rsidRDefault="00554E1F" w:rsidP="000D6CCA">
            <w:pPr>
              <w:jc w:val="both"/>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14</w:t>
            </w:r>
          </w:p>
        </w:tc>
        <w:tc>
          <w:tcPr>
            <w:tcW w:w="0" w:type="auto"/>
            <w:noWrap/>
            <w:hideMark/>
          </w:tcPr>
          <w:p w14:paraId="05CC128B" w14:textId="6E763671" w:rsidR="000D6CCA" w:rsidRPr="000D6CCA" w:rsidRDefault="000D6CCA" w:rsidP="000D6CCA">
            <w:pPr>
              <w:jc w:val="both"/>
              <w:rPr>
                <w:rFonts w:ascii="Baskerville Old Face" w:eastAsia="Times New Roman" w:hAnsi="Baskerville Old Face" w:cs="Calibri"/>
                <w:color w:val="000000"/>
                <w:kern w:val="0"/>
                <w14:ligatures w14:val="none"/>
              </w:rPr>
            </w:pPr>
            <w:r w:rsidRPr="000D6CCA">
              <w:rPr>
                <w:rFonts w:ascii="Baskerville Old Face" w:hAnsi="Baskerville Old Face"/>
              </w:rPr>
              <w:t>8</w:t>
            </w:r>
            <w:r w:rsidR="00554E1F">
              <w:rPr>
                <w:rFonts w:ascii="Baskerville Old Face" w:hAnsi="Baskerville Old Face"/>
              </w:rPr>
              <w:t>3</w:t>
            </w:r>
          </w:p>
        </w:tc>
        <w:tc>
          <w:tcPr>
            <w:tcW w:w="0" w:type="auto"/>
            <w:noWrap/>
            <w:hideMark/>
          </w:tcPr>
          <w:p w14:paraId="00F01D97" w14:textId="4876D17C" w:rsidR="000D6CCA" w:rsidRPr="000D6CCA" w:rsidRDefault="000D6CCA" w:rsidP="000D6CCA">
            <w:pPr>
              <w:jc w:val="both"/>
              <w:rPr>
                <w:rFonts w:ascii="Baskerville Old Face" w:eastAsia="Times New Roman" w:hAnsi="Baskerville Old Face" w:cs="Calibri"/>
                <w:color w:val="000000"/>
                <w:kern w:val="0"/>
                <w14:ligatures w14:val="none"/>
              </w:rPr>
            </w:pPr>
            <w:r w:rsidRPr="000D6CCA">
              <w:rPr>
                <w:rFonts w:ascii="Baskerville Old Face" w:hAnsi="Baskerville Old Face"/>
              </w:rPr>
              <w:t>3</w:t>
            </w:r>
            <w:r w:rsidR="00554E1F">
              <w:rPr>
                <w:rFonts w:ascii="Baskerville Old Face" w:hAnsi="Baskerville Old Face"/>
              </w:rPr>
              <w:t>6</w:t>
            </w:r>
            <w:r w:rsidRPr="000D6CCA">
              <w:rPr>
                <w:rFonts w:ascii="Baskerville Old Face" w:hAnsi="Baskerville Old Face"/>
              </w:rPr>
              <w:t>%</w:t>
            </w:r>
          </w:p>
        </w:tc>
      </w:tr>
      <w:tr w:rsidR="000D6CCA" w:rsidRPr="000D6CCA" w14:paraId="62E7F3F1" w14:textId="77777777" w:rsidTr="00CB37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009B6E" w14:textId="77777777" w:rsidR="000D6CCA" w:rsidRPr="000D6CCA" w:rsidRDefault="000D6CCA" w:rsidP="000D6CCA">
            <w:pPr>
              <w:jc w:val="both"/>
              <w:rPr>
                <w:rFonts w:ascii="Baskerville Old Face" w:eastAsia="Times New Roman" w:hAnsi="Baskerville Old Face" w:cs="Calibri"/>
                <w:b w:val="0"/>
                <w:bCs w:val="0"/>
                <w:color w:val="000000"/>
                <w:kern w:val="0"/>
                <w14:ligatures w14:val="none"/>
              </w:rPr>
            </w:pPr>
            <w:r w:rsidRPr="000D6CCA">
              <w:rPr>
                <w:rFonts w:ascii="Baskerville Old Face" w:eastAsia="Times New Roman" w:hAnsi="Baskerville Old Face" w:cs="Calibri"/>
                <w:b w:val="0"/>
                <w:bCs w:val="0"/>
                <w:kern w:val="0"/>
                <w:lang w:val="en-GB"/>
                <w14:ligatures w14:val="none"/>
              </w:rPr>
              <w:t xml:space="preserve">Not Done </w:t>
            </w:r>
          </w:p>
        </w:tc>
        <w:tc>
          <w:tcPr>
            <w:tcW w:w="0" w:type="auto"/>
            <w:noWrap/>
            <w:hideMark/>
          </w:tcPr>
          <w:p w14:paraId="6457B864" w14:textId="0D62E0C1"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8</w:t>
            </w:r>
          </w:p>
        </w:tc>
        <w:tc>
          <w:tcPr>
            <w:tcW w:w="0" w:type="auto"/>
            <w:noWrap/>
            <w:hideMark/>
          </w:tcPr>
          <w:p w14:paraId="1449CC5E" w14:textId="50D0B26A"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13</w:t>
            </w:r>
          </w:p>
        </w:tc>
        <w:tc>
          <w:tcPr>
            <w:tcW w:w="0" w:type="auto"/>
            <w:noWrap/>
            <w:hideMark/>
          </w:tcPr>
          <w:p w14:paraId="6E31E52C" w14:textId="5CC6934A"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8</w:t>
            </w:r>
          </w:p>
        </w:tc>
        <w:tc>
          <w:tcPr>
            <w:tcW w:w="0" w:type="auto"/>
            <w:noWrap/>
            <w:hideMark/>
          </w:tcPr>
          <w:p w14:paraId="0B31BD94" w14:textId="2260A98F"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w:t>
            </w:r>
          </w:p>
        </w:tc>
        <w:tc>
          <w:tcPr>
            <w:tcW w:w="0" w:type="auto"/>
            <w:noWrap/>
            <w:hideMark/>
          </w:tcPr>
          <w:p w14:paraId="0E427C29" w14:textId="7BBC169E"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0" w:type="auto"/>
            <w:noWrap/>
            <w:hideMark/>
          </w:tcPr>
          <w:p w14:paraId="27A1D683" w14:textId="535E23BB" w:rsidR="000D6CCA" w:rsidRPr="000D6CCA" w:rsidRDefault="000D6CCA"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0D6CCA">
              <w:rPr>
                <w:rFonts w:ascii="Baskerville Old Face" w:hAnsi="Baskerville Old Face"/>
              </w:rPr>
              <w:t>1</w:t>
            </w:r>
            <w:r w:rsidR="00FE6718">
              <w:rPr>
                <w:rFonts w:ascii="Baskerville Old Face" w:hAnsi="Baskerville Old Face"/>
              </w:rPr>
              <w:t>9</w:t>
            </w:r>
          </w:p>
        </w:tc>
        <w:tc>
          <w:tcPr>
            <w:tcW w:w="0" w:type="auto"/>
            <w:noWrap/>
            <w:hideMark/>
          </w:tcPr>
          <w:p w14:paraId="06AF1A1D" w14:textId="05C6589B" w:rsidR="000D6CCA" w:rsidRPr="000D6CCA" w:rsidRDefault="00FE6718"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56</w:t>
            </w:r>
          </w:p>
        </w:tc>
        <w:tc>
          <w:tcPr>
            <w:tcW w:w="0" w:type="auto"/>
            <w:noWrap/>
            <w:hideMark/>
          </w:tcPr>
          <w:p w14:paraId="068978B2" w14:textId="5AF97152" w:rsidR="000D6CCA" w:rsidRPr="000D6CCA" w:rsidRDefault="00554E1F" w:rsidP="000D6CCA">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hAnsi="Baskerville Old Face"/>
              </w:rPr>
              <w:t>24</w:t>
            </w:r>
            <w:r w:rsidR="000D6CCA" w:rsidRPr="000D6CCA">
              <w:rPr>
                <w:rFonts w:ascii="Baskerville Old Face" w:hAnsi="Baskerville Old Face"/>
              </w:rPr>
              <w:t>%</w:t>
            </w:r>
          </w:p>
        </w:tc>
      </w:tr>
      <w:tr w:rsidR="000D6CCA" w:rsidRPr="000D6CCA" w14:paraId="194ABF15" w14:textId="77777777" w:rsidTr="00CB37CF">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8655FD" w14:textId="4D43B2BE" w:rsidR="000D6CCA" w:rsidRPr="000D6CCA" w:rsidRDefault="000D6CCA" w:rsidP="000D6CCA">
            <w:pPr>
              <w:jc w:val="both"/>
              <w:rPr>
                <w:rFonts w:ascii="Baskerville Old Face" w:eastAsia="Times New Roman" w:hAnsi="Baskerville Old Face" w:cs="Calibri"/>
                <w:color w:val="000000"/>
                <w:kern w:val="0"/>
                <w14:ligatures w14:val="none"/>
              </w:rPr>
            </w:pPr>
            <w:r w:rsidRPr="000D6CCA">
              <w:rPr>
                <w:rFonts w:ascii="Baskerville Old Face" w:eastAsia="Times New Roman" w:hAnsi="Baskerville Old Face" w:cs="Calibri"/>
                <w:kern w:val="0"/>
                <w:lang w:val="en-GB"/>
                <w14:ligatures w14:val="none"/>
              </w:rPr>
              <w:t>TOTAL</w:t>
            </w:r>
          </w:p>
        </w:tc>
        <w:tc>
          <w:tcPr>
            <w:tcW w:w="0" w:type="auto"/>
            <w:noWrap/>
            <w:hideMark/>
          </w:tcPr>
          <w:p w14:paraId="779DCB42" w14:textId="3567DBDA"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6</w:t>
            </w:r>
            <w:r w:rsidR="003C746F">
              <w:rPr>
                <w:rFonts w:ascii="Baskerville Old Face" w:hAnsi="Baskerville Old Face"/>
                <w:b/>
                <w:bCs/>
              </w:rPr>
              <w:t>2</w:t>
            </w:r>
          </w:p>
        </w:tc>
        <w:tc>
          <w:tcPr>
            <w:tcW w:w="0" w:type="auto"/>
            <w:noWrap/>
            <w:hideMark/>
          </w:tcPr>
          <w:p w14:paraId="7B8BA905" w14:textId="7B99170C"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63</w:t>
            </w:r>
          </w:p>
        </w:tc>
        <w:tc>
          <w:tcPr>
            <w:tcW w:w="0" w:type="auto"/>
            <w:noWrap/>
            <w:hideMark/>
          </w:tcPr>
          <w:p w14:paraId="37E0235F" w14:textId="5CE45D62"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22</w:t>
            </w:r>
          </w:p>
        </w:tc>
        <w:tc>
          <w:tcPr>
            <w:tcW w:w="0" w:type="auto"/>
            <w:noWrap/>
            <w:hideMark/>
          </w:tcPr>
          <w:p w14:paraId="2CB9C569" w14:textId="75172E78"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17</w:t>
            </w:r>
          </w:p>
        </w:tc>
        <w:tc>
          <w:tcPr>
            <w:tcW w:w="0" w:type="auto"/>
            <w:noWrap/>
            <w:hideMark/>
          </w:tcPr>
          <w:p w14:paraId="6DD71513" w14:textId="2C8C0593"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1</w:t>
            </w:r>
            <w:r w:rsidR="00F0580D">
              <w:rPr>
                <w:rFonts w:ascii="Baskerville Old Face" w:hAnsi="Baskerville Old Face"/>
                <w:b/>
                <w:bCs/>
              </w:rPr>
              <w:t>7</w:t>
            </w:r>
          </w:p>
        </w:tc>
        <w:tc>
          <w:tcPr>
            <w:tcW w:w="0" w:type="auto"/>
            <w:noWrap/>
            <w:hideMark/>
          </w:tcPr>
          <w:p w14:paraId="6F506220" w14:textId="05DEAF7C"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50</w:t>
            </w:r>
          </w:p>
        </w:tc>
        <w:tc>
          <w:tcPr>
            <w:tcW w:w="0" w:type="auto"/>
            <w:noWrap/>
            <w:hideMark/>
          </w:tcPr>
          <w:p w14:paraId="79D158F0" w14:textId="6B27AC8D"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hAnsi="Baskerville Old Face"/>
                <w:b/>
                <w:bCs/>
              </w:rPr>
              <w:t>23</w:t>
            </w:r>
            <w:r w:rsidR="00FE6718">
              <w:rPr>
                <w:rFonts w:ascii="Baskerville Old Face" w:hAnsi="Baskerville Old Face"/>
                <w:b/>
                <w:bCs/>
              </w:rPr>
              <w:t>1</w:t>
            </w:r>
          </w:p>
        </w:tc>
        <w:tc>
          <w:tcPr>
            <w:tcW w:w="0" w:type="auto"/>
            <w:noWrap/>
            <w:hideMark/>
          </w:tcPr>
          <w:p w14:paraId="6F4DDE01" w14:textId="77777777" w:rsidR="000D6CCA" w:rsidRPr="000D6CCA" w:rsidRDefault="000D6CCA" w:rsidP="000D6CCA">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0D6CCA">
              <w:rPr>
                <w:rFonts w:ascii="Baskerville Old Face" w:eastAsia="Times New Roman" w:hAnsi="Baskerville Old Face" w:cs="Calibri"/>
                <w:b/>
                <w:bCs/>
                <w:color w:val="000000"/>
                <w:kern w:val="0"/>
                <w14:ligatures w14:val="none"/>
              </w:rPr>
              <w:t>100%</w:t>
            </w:r>
          </w:p>
        </w:tc>
      </w:tr>
    </w:tbl>
    <w:p w14:paraId="0FAD1AA4" w14:textId="77777777"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14359747" w14:textId="39640723" w:rsidR="0080641E" w:rsidRDefault="0080641E"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r w:rsidRPr="00A25123">
        <w:rPr>
          <w:rFonts w:ascii="Baskerville Old Face" w:eastAsia="Times New Roman" w:hAnsi="Baskerville Old Face" w:cs="Times New Roman"/>
          <w:kern w:val="0"/>
          <w14:ligatures w14:val="none"/>
        </w:rPr>
        <w:t>Table 2 provides a breakdown of performance by department, highlighting variability in implementation rates. The</w:t>
      </w:r>
      <w:r w:rsidR="0086753E" w:rsidRPr="00A25123">
        <w:rPr>
          <w:rFonts w:ascii="Baskerville Old Face" w:eastAsia="Times New Roman" w:hAnsi="Baskerville Old Face" w:cs="Times New Roman"/>
          <w:kern w:val="0"/>
          <w14:ligatures w14:val="none"/>
        </w:rPr>
        <w:t xml:space="preserve"> </w:t>
      </w:r>
      <w:r w:rsidR="0086753E">
        <w:rPr>
          <w:rFonts w:ascii="Baskerville Old Face" w:eastAsia="Times New Roman" w:hAnsi="Baskerville Old Face" w:cs="Times New Roman"/>
          <w:kern w:val="0"/>
          <w14:ligatures w14:val="none"/>
        </w:rPr>
        <w:t>Monitoring, Research and Planning (</w:t>
      </w:r>
      <w:r w:rsidR="0086753E" w:rsidRPr="00A25123">
        <w:rPr>
          <w:rFonts w:ascii="Baskerville Old Face" w:eastAsia="Times New Roman" w:hAnsi="Baskerville Old Face" w:cs="Times New Roman"/>
          <w:kern w:val="0"/>
          <w14:ligatures w14:val="none"/>
        </w:rPr>
        <w:t>MRP</w:t>
      </w:r>
      <w:r w:rsidR="0086753E">
        <w:rPr>
          <w:rFonts w:ascii="Baskerville Old Face" w:eastAsia="Times New Roman" w:hAnsi="Baskerville Old Face" w:cs="Times New Roman"/>
          <w:kern w:val="0"/>
          <w14:ligatures w14:val="none"/>
        </w:rPr>
        <w:t xml:space="preserve">) </w:t>
      </w:r>
      <w:r w:rsidR="0086753E" w:rsidRPr="00A25123">
        <w:rPr>
          <w:rFonts w:ascii="Baskerville Old Face" w:eastAsia="Times New Roman" w:hAnsi="Baskerville Old Face" w:cs="Times New Roman"/>
          <w:kern w:val="0"/>
          <w14:ligatures w14:val="none"/>
        </w:rPr>
        <w:t>D</w:t>
      </w:r>
      <w:r w:rsidR="0086753E">
        <w:rPr>
          <w:rFonts w:ascii="Baskerville Old Face" w:eastAsia="Times New Roman" w:hAnsi="Baskerville Old Face" w:cs="Times New Roman"/>
          <w:kern w:val="0"/>
          <w14:ligatures w14:val="none"/>
        </w:rPr>
        <w:t>epartment</w:t>
      </w:r>
      <w:r w:rsidR="0086753E" w:rsidRPr="00A25123">
        <w:rPr>
          <w:rFonts w:ascii="Baskerville Old Face" w:eastAsia="Times New Roman" w:hAnsi="Baskerville Old Face" w:cs="Times New Roman"/>
          <w:kern w:val="0"/>
          <w14:ligatures w14:val="none"/>
        </w:rPr>
        <w:t xml:space="preserve"> </w:t>
      </w:r>
      <w:r w:rsidRPr="00A25123">
        <w:rPr>
          <w:rFonts w:ascii="Baskerville Old Face" w:eastAsia="Times New Roman" w:hAnsi="Baskerville Old Face" w:cs="Times New Roman"/>
          <w:kern w:val="0"/>
          <w14:ligatures w14:val="none"/>
        </w:rPr>
        <w:t>recorded the highest completion rate</w:t>
      </w:r>
      <w:r w:rsidR="0086753E">
        <w:rPr>
          <w:rFonts w:ascii="Baskerville Old Face" w:eastAsia="Times New Roman" w:hAnsi="Baskerville Old Face" w:cs="Times New Roman"/>
          <w:kern w:val="0"/>
          <w14:ligatures w14:val="none"/>
        </w:rPr>
        <w:t xml:space="preserve"> (full and partial </w:t>
      </w:r>
      <w:r w:rsidR="004204F1">
        <w:rPr>
          <w:rFonts w:ascii="Baskerville Old Face" w:eastAsia="Times New Roman" w:hAnsi="Baskerville Old Face" w:cs="Times New Roman"/>
          <w:kern w:val="0"/>
          <w14:ligatures w14:val="none"/>
        </w:rPr>
        <w:t>completion</w:t>
      </w:r>
      <w:r w:rsidR="0086753E">
        <w:rPr>
          <w:rFonts w:ascii="Baskerville Old Face" w:eastAsia="Times New Roman" w:hAnsi="Baskerville Old Face" w:cs="Times New Roman"/>
          <w:kern w:val="0"/>
          <w14:ligatures w14:val="none"/>
        </w:rPr>
        <w:t>)</w:t>
      </w:r>
      <w:r w:rsidRPr="00A25123">
        <w:rPr>
          <w:rFonts w:ascii="Baskerville Old Face" w:eastAsia="Times New Roman" w:hAnsi="Baskerville Old Face" w:cs="Times New Roman"/>
          <w:kern w:val="0"/>
          <w14:ligatures w14:val="none"/>
        </w:rPr>
        <w:t xml:space="preserve"> at </w:t>
      </w:r>
      <w:r w:rsidR="004204F1">
        <w:rPr>
          <w:rFonts w:ascii="Baskerville Old Face" w:eastAsia="Times New Roman" w:hAnsi="Baskerville Old Face" w:cs="Times New Roman"/>
          <w:kern w:val="0"/>
          <w14:ligatures w14:val="none"/>
        </w:rPr>
        <w:t>92</w:t>
      </w:r>
      <w:r w:rsidRPr="00A25123">
        <w:rPr>
          <w:rFonts w:ascii="Baskerville Old Face" w:eastAsia="Times New Roman" w:hAnsi="Baskerville Old Face" w:cs="Times New Roman"/>
          <w:kern w:val="0"/>
          <w14:ligatures w14:val="none"/>
        </w:rPr>
        <w:t xml:space="preserve">%, </w:t>
      </w:r>
      <w:r w:rsidR="00A70539">
        <w:rPr>
          <w:rFonts w:ascii="Baskerville Old Face" w:eastAsia="Times New Roman" w:hAnsi="Baskerville Old Face" w:cs="Times New Roman"/>
          <w:kern w:val="0"/>
          <w14:ligatures w14:val="none"/>
        </w:rPr>
        <w:t xml:space="preserve">with notable performance by </w:t>
      </w:r>
      <w:r w:rsidR="00602CE9">
        <w:rPr>
          <w:rFonts w:ascii="Baskerville Old Face" w:eastAsia="Times New Roman" w:hAnsi="Baskerville Old Face" w:cs="Times New Roman"/>
          <w:kern w:val="0"/>
          <w14:ligatures w14:val="none"/>
        </w:rPr>
        <w:t xml:space="preserve">NTRD </w:t>
      </w:r>
      <w:r w:rsidRPr="00A25123">
        <w:rPr>
          <w:rFonts w:ascii="Baskerville Old Face" w:eastAsia="Times New Roman" w:hAnsi="Baskerville Old Face" w:cs="Times New Roman"/>
          <w:kern w:val="0"/>
          <w14:ligatures w14:val="none"/>
        </w:rPr>
        <w:t xml:space="preserve">at </w:t>
      </w:r>
      <w:r w:rsidR="00602CE9">
        <w:rPr>
          <w:rFonts w:ascii="Baskerville Old Face" w:eastAsia="Times New Roman" w:hAnsi="Baskerville Old Face" w:cs="Times New Roman"/>
          <w:kern w:val="0"/>
          <w14:ligatures w14:val="none"/>
        </w:rPr>
        <w:t>89</w:t>
      </w:r>
      <w:r w:rsidRPr="00A25123">
        <w:rPr>
          <w:rFonts w:ascii="Baskerville Old Face" w:eastAsia="Times New Roman" w:hAnsi="Baskerville Old Face" w:cs="Times New Roman"/>
          <w:kern w:val="0"/>
          <w14:ligatures w14:val="none"/>
        </w:rPr>
        <w:t xml:space="preserve">%, </w:t>
      </w:r>
      <w:r w:rsidR="00D65672">
        <w:rPr>
          <w:rFonts w:ascii="Baskerville Old Face" w:eastAsia="Times New Roman" w:hAnsi="Baskerville Old Face" w:cs="Times New Roman"/>
          <w:kern w:val="0"/>
          <w14:ligatures w14:val="none"/>
        </w:rPr>
        <w:t>R</w:t>
      </w:r>
      <w:r w:rsidR="00420618">
        <w:rPr>
          <w:rFonts w:ascii="Baskerville Old Face" w:eastAsia="Times New Roman" w:hAnsi="Baskerville Old Face" w:cs="Times New Roman"/>
          <w:kern w:val="0"/>
          <w14:ligatures w14:val="none"/>
        </w:rPr>
        <w:t>evenue Intelligence and Investigations Department (R</w:t>
      </w:r>
      <w:r w:rsidR="00D65672">
        <w:rPr>
          <w:rFonts w:ascii="Baskerville Old Face" w:eastAsia="Times New Roman" w:hAnsi="Baskerville Old Face" w:cs="Times New Roman"/>
          <w:kern w:val="0"/>
          <w14:ligatures w14:val="none"/>
        </w:rPr>
        <w:t>IID</w:t>
      </w:r>
      <w:r w:rsidR="00420618">
        <w:rPr>
          <w:rFonts w:ascii="Baskerville Old Face" w:eastAsia="Times New Roman" w:hAnsi="Baskerville Old Face" w:cs="Times New Roman"/>
          <w:kern w:val="0"/>
          <w14:ligatures w14:val="none"/>
        </w:rPr>
        <w:t>)</w:t>
      </w:r>
      <w:r w:rsidR="00D65672">
        <w:rPr>
          <w:rFonts w:ascii="Baskerville Old Face" w:eastAsia="Times New Roman" w:hAnsi="Baskerville Old Face" w:cs="Times New Roman"/>
          <w:kern w:val="0"/>
          <w14:ligatures w14:val="none"/>
        </w:rPr>
        <w:t xml:space="preserve"> at 87</w:t>
      </w:r>
      <w:r w:rsidR="00420618">
        <w:rPr>
          <w:rFonts w:ascii="Baskerville Old Face" w:eastAsia="Times New Roman" w:hAnsi="Baskerville Old Face" w:cs="Times New Roman"/>
          <w:kern w:val="0"/>
          <w14:ligatures w14:val="none"/>
        </w:rPr>
        <w:t xml:space="preserve">%, </w:t>
      </w:r>
      <w:r w:rsidRPr="00A25123">
        <w:rPr>
          <w:rFonts w:ascii="Baskerville Old Face" w:eastAsia="Times New Roman" w:hAnsi="Baskerville Old Face" w:cs="Times New Roman"/>
          <w:kern w:val="0"/>
          <w14:ligatures w14:val="none"/>
        </w:rPr>
        <w:t xml:space="preserve">the </w:t>
      </w:r>
      <w:r w:rsidR="00511E2A">
        <w:rPr>
          <w:rFonts w:ascii="Baskerville Old Face" w:eastAsia="Times New Roman" w:hAnsi="Baskerville Old Face" w:cs="Times New Roman"/>
          <w:kern w:val="0"/>
          <w14:ligatures w14:val="none"/>
        </w:rPr>
        <w:t>Human Resource Department (</w:t>
      </w:r>
      <w:r w:rsidRPr="00A25123">
        <w:rPr>
          <w:rFonts w:ascii="Baskerville Old Face" w:eastAsia="Times New Roman" w:hAnsi="Baskerville Old Face" w:cs="Times New Roman"/>
          <w:kern w:val="0"/>
          <w14:ligatures w14:val="none"/>
        </w:rPr>
        <w:t>HRD</w:t>
      </w:r>
      <w:r w:rsidR="00511E2A">
        <w:rPr>
          <w:rFonts w:ascii="Baskerville Old Face" w:eastAsia="Times New Roman" w:hAnsi="Baskerville Old Face" w:cs="Times New Roman"/>
          <w:kern w:val="0"/>
          <w14:ligatures w14:val="none"/>
        </w:rPr>
        <w:t>)</w:t>
      </w:r>
      <w:r w:rsidRPr="00A25123">
        <w:rPr>
          <w:rFonts w:ascii="Baskerville Old Face" w:eastAsia="Times New Roman" w:hAnsi="Baskerville Old Face" w:cs="Times New Roman"/>
          <w:kern w:val="0"/>
          <w14:ligatures w14:val="none"/>
        </w:rPr>
        <w:t xml:space="preserve"> at </w:t>
      </w:r>
      <w:r w:rsidR="00420618">
        <w:rPr>
          <w:rFonts w:ascii="Baskerville Old Face" w:eastAsia="Times New Roman" w:hAnsi="Baskerville Old Face" w:cs="Times New Roman"/>
          <w:kern w:val="0"/>
          <w14:ligatures w14:val="none"/>
        </w:rPr>
        <w:t>86</w:t>
      </w:r>
      <w:r w:rsidRPr="00A25123">
        <w:rPr>
          <w:rFonts w:ascii="Baskerville Old Face" w:eastAsia="Times New Roman" w:hAnsi="Baskerville Old Face" w:cs="Times New Roman"/>
          <w:kern w:val="0"/>
          <w14:ligatures w14:val="none"/>
        </w:rPr>
        <w:t>%</w:t>
      </w:r>
      <w:r w:rsidR="00DA79A2">
        <w:rPr>
          <w:rFonts w:ascii="Baskerville Old Face" w:eastAsia="Times New Roman" w:hAnsi="Baskerville Old Face" w:cs="Times New Roman"/>
          <w:kern w:val="0"/>
          <w14:ligatures w14:val="none"/>
        </w:rPr>
        <w:t xml:space="preserve">, the Internal </w:t>
      </w:r>
      <w:r w:rsidR="00B23323">
        <w:rPr>
          <w:rFonts w:ascii="Baskerville Old Face" w:eastAsia="Times New Roman" w:hAnsi="Baskerville Old Face" w:cs="Times New Roman"/>
          <w:kern w:val="0"/>
          <w14:ligatures w14:val="none"/>
        </w:rPr>
        <w:t>Controls and Audit (ICA) Department at 86% and the Domestic Tax Department (DTD) at 84%</w:t>
      </w:r>
      <w:r w:rsidRPr="00A25123">
        <w:rPr>
          <w:rFonts w:ascii="Baskerville Old Face" w:eastAsia="Times New Roman" w:hAnsi="Baskerville Old Face" w:cs="Times New Roman"/>
          <w:kern w:val="0"/>
          <w14:ligatures w14:val="none"/>
        </w:rPr>
        <w:t>. It is important to note that several activities required cross-departmental collaboration, which explains why the number of departmental activities listed in Table 2 (3</w:t>
      </w:r>
      <w:r w:rsidR="00B23323">
        <w:rPr>
          <w:rFonts w:ascii="Baskerville Old Face" w:eastAsia="Times New Roman" w:hAnsi="Baskerville Old Face" w:cs="Times New Roman"/>
          <w:kern w:val="0"/>
          <w14:ligatures w14:val="none"/>
        </w:rPr>
        <w:t>04</w:t>
      </w:r>
      <w:r w:rsidRPr="00A25123">
        <w:rPr>
          <w:rFonts w:ascii="Baskerville Old Face" w:eastAsia="Times New Roman" w:hAnsi="Baskerville Old Face" w:cs="Times New Roman"/>
          <w:kern w:val="0"/>
          <w14:ligatures w14:val="none"/>
        </w:rPr>
        <w:t>) exceeds the overall number of activities in Table 1 (23</w:t>
      </w:r>
      <w:r w:rsidR="00B23323">
        <w:rPr>
          <w:rFonts w:ascii="Baskerville Old Face" w:eastAsia="Times New Roman" w:hAnsi="Baskerville Old Face" w:cs="Times New Roman"/>
          <w:kern w:val="0"/>
          <w14:ligatures w14:val="none"/>
        </w:rPr>
        <w:t>1</w:t>
      </w:r>
      <w:r w:rsidRPr="00A25123">
        <w:rPr>
          <w:rFonts w:ascii="Baskerville Old Face" w:eastAsia="Times New Roman" w:hAnsi="Baskerville Old Face" w:cs="Times New Roman"/>
          <w:kern w:val="0"/>
          <w14:ligatures w14:val="none"/>
        </w:rPr>
        <w:t xml:space="preserve">). The distribution of planned activities across departments was uneven. </w:t>
      </w:r>
      <w:r w:rsidR="00A46F43">
        <w:rPr>
          <w:rFonts w:ascii="Baskerville Old Face" w:eastAsia="Times New Roman" w:hAnsi="Baskerville Old Face" w:cs="Times New Roman"/>
          <w:kern w:val="0"/>
          <w14:ligatures w14:val="none"/>
        </w:rPr>
        <w:t xml:space="preserve">The </w:t>
      </w:r>
      <w:r w:rsidR="00A46F43">
        <w:rPr>
          <w:rFonts w:ascii="Baskerville Old Face" w:eastAsia="Times New Roman" w:hAnsi="Baskerville Old Face" w:cs="Times New Roman"/>
          <w:kern w:val="0"/>
          <w14:ligatures w14:val="none"/>
        </w:rPr>
        <w:t>Legal and Corporate Services Department (</w:t>
      </w:r>
      <w:r w:rsidR="00A46F43" w:rsidRPr="00A25123">
        <w:rPr>
          <w:rFonts w:ascii="Baskerville Old Face" w:eastAsia="Times New Roman" w:hAnsi="Baskerville Old Face" w:cs="Times New Roman"/>
          <w:kern w:val="0"/>
          <w14:ligatures w14:val="none"/>
        </w:rPr>
        <w:t>LCSD</w:t>
      </w:r>
      <w:r w:rsidR="00A46F43">
        <w:rPr>
          <w:rFonts w:ascii="Baskerville Old Face" w:eastAsia="Times New Roman" w:hAnsi="Baskerville Old Face" w:cs="Times New Roman"/>
          <w:kern w:val="0"/>
          <w14:ligatures w14:val="none"/>
        </w:rPr>
        <w:t>)</w:t>
      </w:r>
      <w:r w:rsidR="00A46F43" w:rsidRPr="00A25123">
        <w:rPr>
          <w:rFonts w:ascii="Baskerville Old Face" w:eastAsia="Times New Roman" w:hAnsi="Baskerville Old Face" w:cs="Times New Roman"/>
          <w:kern w:val="0"/>
          <w14:ligatures w14:val="none"/>
        </w:rPr>
        <w:t xml:space="preserve"> </w:t>
      </w:r>
      <w:r w:rsidRPr="00A25123">
        <w:rPr>
          <w:rFonts w:ascii="Baskerville Old Face" w:eastAsia="Times New Roman" w:hAnsi="Baskerville Old Face" w:cs="Times New Roman"/>
          <w:kern w:val="0"/>
          <w14:ligatures w14:val="none"/>
        </w:rPr>
        <w:t>had the highest number of planned activities (4</w:t>
      </w:r>
      <w:r w:rsidR="00A46F43">
        <w:rPr>
          <w:rFonts w:ascii="Baskerville Old Face" w:eastAsia="Times New Roman" w:hAnsi="Baskerville Old Face" w:cs="Times New Roman"/>
          <w:kern w:val="0"/>
          <w14:ligatures w14:val="none"/>
        </w:rPr>
        <w:t>4</w:t>
      </w:r>
      <w:r w:rsidRPr="00A25123">
        <w:rPr>
          <w:rFonts w:ascii="Baskerville Old Face" w:eastAsia="Times New Roman" w:hAnsi="Baskerville Old Face" w:cs="Times New Roman"/>
          <w:kern w:val="0"/>
          <w14:ligatures w14:val="none"/>
        </w:rPr>
        <w:t xml:space="preserve">), followed closely by the </w:t>
      </w:r>
      <w:r w:rsidR="00A46F43">
        <w:rPr>
          <w:rFonts w:ascii="Baskerville Old Face" w:eastAsia="Times New Roman" w:hAnsi="Baskerville Old Face" w:cs="Times New Roman"/>
          <w:kern w:val="0"/>
          <w14:ligatures w14:val="none"/>
        </w:rPr>
        <w:t>CSD</w:t>
      </w:r>
      <w:r w:rsidR="009B4C07">
        <w:rPr>
          <w:rFonts w:ascii="Baskerville Old Face" w:eastAsia="Times New Roman" w:hAnsi="Baskerville Old Face" w:cs="Times New Roman"/>
          <w:kern w:val="0"/>
          <w14:ligatures w14:val="none"/>
        </w:rPr>
        <w:t xml:space="preserve"> (41</w:t>
      </w:r>
      <w:r w:rsidR="00E12D36">
        <w:rPr>
          <w:rFonts w:ascii="Baskerville Old Face" w:eastAsia="Times New Roman" w:hAnsi="Baskerville Old Face" w:cs="Times New Roman"/>
          <w:kern w:val="0"/>
          <w14:ligatures w14:val="none"/>
        </w:rPr>
        <w:t xml:space="preserve"> activities)</w:t>
      </w:r>
      <w:r w:rsidR="00A46F43">
        <w:rPr>
          <w:rFonts w:ascii="Baskerville Old Face" w:eastAsia="Times New Roman" w:hAnsi="Baskerville Old Face" w:cs="Times New Roman"/>
          <w:kern w:val="0"/>
          <w14:ligatures w14:val="none"/>
        </w:rPr>
        <w:t xml:space="preserve">, </w:t>
      </w:r>
      <w:r w:rsidRPr="00A25123">
        <w:rPr>
          <w:rFonts w:ascii="Baskerville Old Face" w:eastAsia="Times New Roman" w:hAnsi="Baskerville Old Face" w:cs="Times New Roman"/>
          <w:kern w:val="0"/>
          <w14:ligatures w14:val="none"/>
        </w:rPr>
        <w:t>MRPD</w:t>
      </w:r>
      <w:r w:rsidR="00E12D36">
        <w:rPr>
          <w:rFonts w:ascii="Baskerville Old Face" w:eastAsia="Times New Roman" w:hAnsi="Baskerville Old Face" w:cs="Times New Roman"/>
          <w:kern w:val="0"/>
          <w14:ligatures w14:val="none"/>
        </w:rPr>
        <w:t xml:space="preserve"> (39 activities)</w:t>
      </w:r>
      <w:r w:rsidRPr="00A25123">
        <w:rPr>
          <w:rFonts w:ascii="Baskerville Old Face" w:eastAsia="Times New Roman" w:hAnsi="Baskerville Old Face" w:cs="Times New Roman"/>
          <w:kern w:val="0"/>
          <w14:ligatures w14:val="none"/>
        </w:rPr>
        <w:t xml:space="preserve">, </w:t>
      </w:r>
      <w:r w:rsidR="009B4C07">
        <w:rPr>
          <w:rFonts w:ascii="Baskerville Old Face" w:eastAsia="Times New Roman" w:hAnsi="Baskerville Old Face" w:cs="Times New Roman"/>
          <w:kern w:val="0"/>
          <w14:ligatures w14:val="none"/>
        </w:rPr>
        <w:t xml:space="preserve">and </w:t>
      </w:r>
      <w:r w:rsidRPr="00A25123">
        <w:rPr>
          <w:rFonts w:ascii="Baskerville Old Face" w:eastAsia="Times New Roman" w:hAnsi="Baskerville Old Face" w:cs="Times New Roman"/>
          <w:kern w:val="0"/>
          <w14:ligatures w14:val="none"/>
        </w:rPr>
        <w:t>DTD</w:t>
      </w:r>
      <w:r w:rsidR="00E12D36">
        <w:rPr>
          <w:rFonts w:ascii="Baskerville Old Face" w:eastAsia="Times New Roman" w:hAnsi="Baskerville Old Face" w:cs="Times New Roman"/>
          <w:kern w:val="0"/>
          <w14:ligatures w14:val="none"/>
        </w:rPr>
        <w:t xml:space="preserve"> (38 activities)</w:t>
      </w:r>
      <w:r w:rsidRPr="00A25123">
        <w:rPr>
          <w:rFonts w:ascii="Baskerville Old Face" w:eastAsia="Times New Roman" w:hAnsi="Baskerville Old Face" w:cs="Times New Roman"/>
          <w:kern w:val="0"/>
          <w14:ligatures w14:val="none"/>
        </w:rPr>
        <w:t>.</w:t>
      </w:r>
    </w:p>
    <w:p w14:paraId="4B90F9E1" w14:textId="77777777" w:rsidR="004D120F" w:rsidRDefault="004D120F"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p>
    <w:p w14:paraId="0AFC6DC2" w14:textId="77777777" w:rsidR="004D120F" w:rsidRDefault="004D120F"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p>
    <w:p w14:paraId="30F6C194" w14:textId="77777777" w:rsidR="004D120F" w:rsidRDefault="004D120F"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p>
    <w:p w14:paraId="637BACBB" w14:textId="77777777" w:rsidR="004D120F" w:rsidRDefault="004D120F"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p>
    <w:p w14:paraId="594AFAD5" w14:textId="77777777" w:rsidR="004D120F" w:rsidRDefault="004D120F" w:rsidP="0080641E">
      <w:pPr>
        <w:spacing w:before="100" w:beforeAutospacing="1" w:after="100" w:afterAutospacing="1" w:line="276" w:lineRule="auto"/>
        <w:jc w:val="both"/>
        <w:rPr>
          <w:rFonts w:ascii="Baskerville Old Face" w:eastAsia="Times New Roman" w:hAnsi="Baskerville Old Face" w:cs="Times New Roman"/>
          <w:kern w:val="0"/>
          <w14:ligatures w14:val="none"/>
        </w:rPr>
      </w:pPr>
    </w:p>
    <w:p w14:paraId="2DBFA157" w14:textId="7B2C14F8" w:rsidR="00326812" w:rsidRPr="0068040E" w:rsidRDefault="00326812" w:rsidP="00326812">
      <w:pPr>
        <w:pStyle w:val="Caption"/>
        <w:keepNext/>
        <w:rPr>
          <w:rFonts w:ascii="Baskerville Old Face" w:hAnsi="Baskerville Old Face"/>
          <w:b/>
          <w:bCs/>
          <w:sz w:val="24"/>
          <w:szCs w:val="24"/>
        </w:rPr>
      </w:pPr>
      <w:bookmarkStart w:id="18" w:name="_Toc198044020"/>
      <w:r w:rsidRPr="0068040E">
        <w:rPr>
          <w:rFonts w:ascii="Baskerville Old Face" w:hAnsi="Baskerville Old Face"/>
          <w:b/>
          <w:bCs/>
          <w:sz w:val="24"/>
          <w:szCs w:val="24"/>
        </w:rPr>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0071721B" w:rsidRPr="0068040E">
        <w:rPr>
          <w:rFonts w:ascii="Baskerville Old Face" w:hAnsi="Baskerville Old Face"/>
          <w:b/>
          <w:bCs/>
          <w:noProof/>
          <w:sz w:val="24"/>
          <w:szCs w:val="24"/>
        </w:rPr>
        <w:t>2</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xml:space="preserve">: Departmental </w:t>
      </w:r>
      <w:r w:rsidR="00766021" w:rsidRPr="0068040E">
        <w:rPr>
          <w:rFonts w:ascii="Baskerville Old Face" w:hAnsi="Baskerville Old Face"/>
          <w:b/>
          <w:bCs/>
          <w:sz w:val="24"/>
          <w:szCs w:val="24"/>
        </w:rPr>
        <w:t>A</w:t>
      </w:r>
      <w:r w:rsidRPr="0068040E">
        <w:rPr>
          <w:rFonts w:ascii="Baskerville Old Face" w:hAnsi="Baskerville Old Face"/>
          <w:b/>
          <w:bCs/>
          <w:sz w:val="24"/>
          <w:szCs w:val="24"/>
        </w:rPr>
        <w:t>nalysis of the 2024 Operational Plan</w:t>
      </w:r>
      <w:bookmarkEnd w:id="18"/>
    </w:p>
    <w:tbl>
      <w:tblPr>
        <w:tblStyle w:val="GridTable4"/>
        <w:tblW w:w="9355" w:type="dxa"/>
        <w:tblLook w:val="04A0" w:firstRow="1" w:lastRow="0" w:firstColumn="1" w:lastColumn="0" w:noHBand="0" w:noVBand="1"/>
      </w:tblPr>
      <w:tblGrid>
        <w:gridCol w:w="1580"/>
        <w:gridCol w:w="1745"/>
        <w:gridCol w:w="1620"/>
        <w:gridCol w:w="1440"/>
        <w:gridCol w:w="1440"/>
        <w:gridCol w:w="1530"/>
      </w:tblGrid>
      <w:tr w:rsidR="00CB37CF" w:rsidRPr="00CB37CF" w14:paraId="5B9E7692" w14:textId="52FD568B" w:rsidTr="00CB37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80" w:type="dxa"/>
            <w:noWrap/>
            <w:hideMark/>
          </w:tcPr>
          <w:p w14:paraId="2B8889DD" w14:textId="77777777" w:rsidR="007E50AC" w:rsidRPr="00CB37CF" w:rsidRDefault="007E50AC" w:rsidP="007E50AC">
            <w:pPr>
              <w:rPr>
                <w:rFonts w:ascii="Baskerville Old Face" w:eastAsia="Times New Roman" w:hAnsi="Baskerville Old Face" w:cs="Calibri"/>
                <w:kern w:val="0"/>
                <w14:ligatures w14:val="none"/>
              </w:rPr>
            </w:pPr>
            <w:r w:rsidRPr="00CB37CF">
              <w:rPr>
                <w:rFonts w:ascii="Baskerville Old Face" w:eastAsia="Times New Roman" w:hAnsi="Baskerville Old Face" w:cs="Calibri"/>
                <w:kern w:val="0"/>
                <w:lang w:val="en-GB"/>
                <w14:ligatures w14:val="none"/>
              </w:rPr>
              <w:t>Department</w:t>
            </w:r>
          </w:p>
        </w:tc>
        <w:tc>
          <w:tcPr>
            <w:tcW w:w="1745" w:type="dxa"/>
            <w:noWrap/>
            <w:hideMark/>
          </w:tcPr>
          <w:p w14:paraId="301D9F74" w14:textId="77777777" w:rsidR="007E50AC" w:rsidRPr="00CB37CF" w:rsidRDefault="007E50AC" w:rsidP="007E50AC">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CB37CF">
              <w:rPr>
                <w:rFonts w:ascii="Baskerville Old Face" w:eastAsia="Times New Roman" w:hAnsi="Baskerville Old Face" w:cs="Calibri"/>
                <w:kern w:val="0"/>
                <w:lang w:val="en-GB"/>
                <w14:ligatures w14:val="none"/>
              </w:rPr>
              <w:t>Planned Activities</w:t>
            </w:r>
          </w:p>
        </w:tc>
        <w:tc>
          <w:tcPr>
            <w:tcW w:w="1620" w:type="dxa"/>
            <w:noWrap/>
            <w:hideMark/>
          </w:tcPr>
          <w:p w14:paraId="7B7AF982" w14:textId="77777777" w:rsidR="007E50AC" w:rsidRPr="00CB37CF" w:rsidRDefault="007E50AC" w:rsidP="007E50AC">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CB37CF">
              <w:rPr>
                <w:rFonts w:ascii="Baskerville Old Face" w:eastAsia="Times New Roman" w:hAnsi="Baskerville Old Face" w:cs="Calibri"/>
                <w:kern w:val="0"/>
                <w:lang w:val="en-GB"/>
                <w14:ligatures w14:val="none"/>
              </w:rPr>
              <w:t>Completed Activities</w:t>
            </w:r>
          </w:p>
        </w:tc>
        <w:tc>
          <w:tcPr>
            <w:tcW w:w="1440" w:type="dxa"/>
            <w:noWrap/>
            <w:hideMark/>
          </w:tcPr>
          <w:p w14:paraId="49D6DD01" w14:textId="331109C3" w:rsidR="007E50AC" w:rsidRPr="00CB37CF" w:rsidRDefault="007E50AC" w:rsidP="007E50AC">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CB37CF">
              <w:rPr>
                <w:rFonts w:ascii="Baskerville Old Face" w:eastAsia="Times New Roman" w:hAnsi="Baskerville Old Face" w:cs="Calibri"/>
                <w:kern w:val="0"/>
                <w:lang w:val="en-GB"/>
                <w14:ligatures w14:val="none"/>
              </w:rPr>
              <w:t>Partially Completed</w:t>
            </w:r>
          </w:p>
        </w:tc>
        <w:tc>
          <w:tcPr>
            <w:tcW w:w="1440" w:type="dxa"/>
            <w:noWrap/>
            <w:hideMark/>
          </w:tcPr>
          <w:p w14:paraId="52E94F92" w14:textId="6D543CB4" w:rsidR="007E50AC" w:rsidRPr="00CB37CF" w:rsidRDefault="007E50AC" w:rsidP="007E50AC">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CB37CF">
              <w:rPr>
                <w:rFonts w:ascii="Baskerville Old Face" w:eastAsia="Times New Roman" w:hAnsi="Baskerville Old Face" w:cs="Calibri"/>
                <w:kern w:val="0"/>
                <w:lang w:val="en-GB"/>
                <w14:ligatures w14:val="none"/>
              </w:rPr>
              <w:t>Not Achieved</w:t>
            </w:r>
          </w:p>
        </w:tc>
        <w:tc>
          <w:tcPr>
            <w:tcW w:w="1530" w:type="dxa"/>
          </w:tcPr>
          <w:p w14:paraId="0C603846" w14:textId="1CA36EFA" w:rsidR="007E50AC" w:rsidRPr="00CB37CF" w:rsidRDefault="007E50AC" w:rsidP="007E50AC">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lang w:val="en-GB"/>
                <w14:ligatures w14:val="none"/>
              </w:rPr>
            </w:pPr>
            <w:r w:rsidRPr="00CB37CF">
              <w:rPr>
                <w:rFonts w:ascii="Baskerville Old Face" w:eastAsia="Times New Roman" w:hAnsi="Baskerville Old Face" w:cs="Calibri"/>
                <w:kern w:val="0"/>
                <w:lang w:val="en-GB"/>
                <w14:ligatures w14:val="none"/>
              </w:rPr>
              <w:t>Percentage Completion</w:t>
            </w:r>
          </w:p>
        </w:tc>
      </w:tr>
      <w:tr w:rsidR="007E50AC" w:rsidRPr="00D0376C" w14:paraId="402CA707" w14:textId="51039740"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69379368" w14:textId="466FFC13"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MRPD</w:t>
            </w:r>
          </w:p>
        </w:tc>
        <w:tc>
          <w:tcPr>
            <w:tcW w:w="1745" w:type="dxa"/>
            <w:noWrap/>
            <w:hideMark/>
          </w:tcPr>
          <w:p w14:paraId="141EEADB" w14:textId="3B518031" w:rsidR="007E50AC" w:rsidRPr="00D0376C" w:rsidRDefault="007D3008"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39</w:t>
            </w:r>
          </w:p>
        </w:tc>
        <w:tc>
          <w:tcPr>
            <w:tcW w:w="1620" w:type="dxa"/>
            <w:noWrap/>
            <w:hideMark/>
          </w:tcPr>
          <w:p w14:paraId="01248085" w14:textId="67C3C5C3" w:rsidR="007E50AC" w:rsidRPr="00D0376C" w:rsidRDefault="009A58C2"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21</w:t>
            </w:r>
          </w:p>
        </w:tc>
        <w:tc>
          <w:tcPr>
            <w:tcW w:w="1440" w:type="dxa"/>
            <w:noWrap/>
            <w:hideMark/>
          </w:tcPr>
          <w:p w14:paraId="25FD3B75" w14:textId="3C7C968A" w:rsidR="007E50AC" w:rsidRPr="00D0376C" w:rsidRDefault="007E50A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15</w:t>
            </w:r>
          </w:p>
        </w:tc>
        <w:tc>
          <w:tcPr>
            <w:tcW w:w="1440" w:type="dxa"/>
            <w:noWrap/>
            <w:hideMark/>
          </w:tcPr>
          <w:p w14:paraId="7EDEB0AC" w14:textId="3FADF98A" w:rsidR="007E50AC" w:rsidRPr="00D0376C" w:rsidRDefault="00E3031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w:t>
            </w:r>
          </w:p>
        </w:tc>
        <w:tc>
          <w:tcPr>
            <w:tcW w:w="1530" w:type="dxa"/>
          </w:tcPr>
          <w:p w14:paraId="7018417E" w14:textId="788FFC52" w:rsidR="007E50AC" w:rsidRPr="00D0376C" w:rsidRDefault="008326D7"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92</w:t>
            </w:r>
            <w:r w:rsidR="007E50AC" w:rsidRPr="00D0376C">
              <w:rPr>
                <w:rFonts w:ascii="Baskerville Old Face" w:hAnsi="Baskerville Old Face"/>
              </w:rPr>
              <w:t>%</w:t>
            </w:r>
          </w:p>
        </w:tc>
      </w:tr>
      <w:tr w:rsidR="007E50AC" w:rsidRPr="00D0376C" w14:paraId="23A51D6E" w14:textId="33BCAF58" w:rsidTr="00CB37CF">
        <w:trPr>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0C108ACB" w14:textId="4607D0C0"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DTD</w:t>
            </w:r>
          </w:p>
        </w:tc>
        <w:tc>
          <w:tcPr>
            <w:tcW w:w="1745" w:type="dxa"/>
            <w:noWrap/>
            <w:hideMark/>
          </w:tcPr>
          <w:p w14:paraId="71A939A7" w14:textId="273D1647" w:rsidR="007E50AC" w:rsidRPr="00D0376C" w:rsidRDefault="007D3008"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38</w:t>
            </w:r>
          </w:p>
        </w:tc>
        <w:tc>
          <w:tcPr>
            <w:tcW w:w="1620" w:type="dxa"/>
            <w:noWrap/>
            <w:hideMark/>
          </w:tcPr>
          <w:p w14:paraId="0415A672" w14:textId="6C71D559" w:rsidR="007E50AC" w:rsidRPr="00D0376C" w:rsidRDefault="009A58C2"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20</w:t>
            </w:r>
          </w:p>
        </w:tc>
        <w:tc>
          <w:tcPr>
            <w:tcW w:w="1440" w:type="dxa"/>
            <w:noWrap/>
            <w:hideMark/>
          </w:tcPr>
          <w:p w14:paraId="6A52451A" w14:textId="0C22AF34" w:rsidR="007E50AC" w:rsidRPr="00D0376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0B7F6B">
              <w:rPr>
                <w:rFonts w:ascii="Baskerville Old Face" w:hAnsi="Baskerville Old Face"/>
              </w:rPr>
              <w:t>2</w:t>
            </w:r>
          </w:p>
        </w:tc>
        <w:tc>
          <w:tcPr>
            <w:tcW w:w="1440" w:type="dxa"/>
            <w:noWrap/>
            <w:hideMark/>
          </w:tcPr>
          <w:p w14:paraId="7131EEDA" w14:textId="104AFAA7" w:rsidR="007E50AC" w:rsidRPr="00D0376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6</w:t>
            </w:r>
          </w:p>
        </w:tc>
        <w:tc>
          <w:tcPr>
            <w:tcW w:w="1530" w:type="dxa"/>
          </w:tcPr>
          <w:p w14:paraId="167AE517" w14:textId="36C25FE7" w:rsidR="007E50AC" w:rsidRPr="00D0376C" w:rsidRDefault="001A462E"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84</w:t>
            </w:r>
            <w:r w:rsidR="007E50AC" w:rsidRPr="00D0376C">
              <w:rPr>
                <w:rFonts w:ascii="Baskerville Old Face" w:hAnsi="Baskerville Old Face"/>
              </w:rPr>
              <w:t>%</w:t>
            </w:r>
          </w:p>
        </w:tc>
      </w:tr>
      <w:tr w:rsidR="007E50AC" w:rsidRPr="00D0376C" w14:paraId="30B51829" w14:textId="4F101A35"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1066BEBC" w14:textId="1A2C4766"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NTRD</w:t>
            </w:r>
          </w:p>
        </w:tc>
        <w:tc>
          <w:tcPr>
            <w:tcW w:w="1745" w:type="dxa"/>
            <w:noWrap/>
            <w:hideMark/>
          </w:tcPr>
          <w:p w14:paraId="50AFE77F" w14:textId="4E9430C9" w:rsidR="007E50AC" w:rsidRPr="00D0376C" w:rsidRDefault="007D3008"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19</w:t>
            </w:r>
          </w:p>
        </w:tc>
        <w:tc>
          <w:tcPr>
            <w:tcW w:w="1620" w:type="dxa"/>
            <w:noWrap/>
            <w:hideMark/>
          </w:tcPr>
          <w:p w14:paraId="0750CBA1" w14:textId="1A3B380C" w:rsidR="007E50AC" w:rsidRPr="00D0376C" w:rsidRDefault="009A58C2"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11</w:t>
            </w:r>
          </w:p>
        </w:tc>
        <w:tc>
          <w:tcPr>
            <w:tcW w:w="1440" w:type="dxa"/>
            <w:noWrap/>
            <w:hideMark/>
          </w:tcPr>
          <w:p w14:paraId="4B2C9D21" w14:textId="314A2254" w:rsidR="007E50AC" w:rsidRPr="00D0376C" w:rsidRDefault="000B7F6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6</w:t>
            </w:r>
          </w:p>
        </w:tc>
        <w:tc>
          <w:tcPr>
            <w:tcW w:w="1440" w:type="dxa"/>
            <w:noWrap/>
            <w:hideMark/>
          </w:tcPr>
          <w:p w14:paraId="0994E8D6" w14:textId="6A6AE96C" w:rsidR="007E50AC" w:rsidRPr="00D0376C" w:rsidRDefault="00E3031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w:t>
            </w:r>
          </w:p>
        </w:tc>
        <w:tc>
          <w:tcPr>
            <w:tcW w:w="1530" w:type="dxa"/>
          </w:tcPr>
          <w:p w14:paraId="1569D4C6" w14:textId="3178195A" w:rsidR="007E50AC" w:rsidRPr="00D0376C" w:rsidRDefault="001A462E"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89</w:t>
            </w:r>
            <w:r w:rsidR="007E50AC" w:rsidRPr="00D0376C">
              <w:rPr>
                <w:rFonts w:ascii="Baskerville Old Face" w:hAnsi="Baskerville Old Face"/>
              </w:rPr>
              <w:t>%</w:t>
            </w:r>
          </w:p>
        </w:tc>
      </w:tr>
      <w:tr w:rsidR="007E50AC" w:rsidRPr="00D0376C" w14:paraId="1ACF29C6" w14:textId="6363013A" w:rsidTr="00CB37CF">
        <w:trPr>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2E6C9C23" w14:textId="51A620CB"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CSD</w:t>
            </w:r>
          </w:p>
        </w:tc>
        <w:tc>
          <w:tcPr>
            <w:tcW w:w="1745" w:type="dxa"/>
            <w:noWrap/>
            <w:hideMark/>
          </w:tcPr>
          <w:p w14:paraId="17AEA9E2" w14:textId="4668FA51" w:rsidR="007E50AC" w:rsidRPr="00D0376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4</w:t>
            </w:r>
            <w:r w:rsidR="007D3008">
              <w:rPr>
                <w:rFonts w:ascii="Baskerville Old Face" w:hAnsi="Baskerville Old Face"/>
              </w:rPr>
              <w:t>1</w:t>
            </w:r>
          </w:p>
        </w:tc>
        <w:tc>
          <w:tcPr>
            <w:tcW w:w="1620" w:type="dxa"/>
            <w:noWrap/>
            <w:hideMark/>
          </w:tcPr>
          <w:p w14:paraId="22B7FB4D" w14:textId="66FB9B8F" w:rsidR="007E50AC" w:rsidRPr="00D0376C" w:rsidRDefault="009A58C2"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11</w:t>
            </w:r>
          </w:p>
        </w:tc>
        <w:tc>
          <w:tcPr>
            <w:tcW w:w="1440" w:type="dxa"/>
            <w:noWrap/>
            <w:hideMark/>
          </w:tcPr>
          <w:p w14:paraId="69107A30" w14:textId="77B870A5" w:rsidR="007E50AC" w:rsidRPr="00D0376C" w:rsidRDefault="000B7F6B"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17</w:t>
            </w:r>
          </w:p>
        </w:tc>
        <w:tc>
          <w:tcPr>
            <w:tcW w:w="1440" w:type="dxa"/>
            <w:noWrap/>
            <w:hideMark/>
          </w:tcPr>
          <w:p w14:paraId="382C6944" w14:textId="1AC1D438" w:rsidR="007E50AC" w:rsidRPr="00D0376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E3031B">
              <w:rPr>
                <w:rFonts w:ascii="Baskerville Old Face" w:hAnsi="Baskerville Old Face"/>
              </w:rPr>
              <w:t>3</w:t>
            </w:r>
          </w:p>
        </w:tc>
        <w:tc>
          <w:tcPr>
            <w:tcW w:w="1530" w:type="dxa"/>
          </w:tcPr>
          <w:p w14:paraId="625011C7" w14:textId="5F9FAA58" w:rsidR="007E50AC" w:rsidRPr="00D0376C" w:rsidRDefault="001A462E"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68</w:t>
            </w:r>
            <w:r w:rsidR="007E50AC" w:rsidRPr="00D0376C">
              <w:rPr>
                <w:rFonts w:ascii="Baskerville Old Face" w:hAnsi="Baskerville Old Face"/>
              </w:rPr>
              <w:t>%</w:t>
            </w:r>
          </w:p>
        </w:tc>
      </w:tr>
      <w:tr w:rsidR="007E50AC" w:rsidRPr="00D0376C" w14:paraId="4DF0C983" w14:textId="06BDA760"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18826321" w14:textId="088FCD01"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LCSD</w:t>
            </w:r>
          </w:p>
        </w:tc>
        <w:tc>
          <w:tcPr>
            <w:tcW w:w="1745" w:type="dxa"/>
            <w:noWrap/>
            <w:hideMark/>
          </w:tcPr>
          <w:p w14:paraId="5D21A66E" w14:textId="52DDA73D" w:rsidR="007E50AC" w:rsidRPr="00D0376C" w:rsidRDefault="00350509"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44</w:t>
            </w:r>
          </w:p>
        </w:tc>
        <w:tc>
          <w:tcPr>
            <w:tcW w:w="1620" w:type="dxa"/>
            <w:noWrap/>
            <w:hideMark/>
          </w:tcPr>
          <w:p w14:paraId="6EFAA1B3" w14:textId="73C52923" w:rsidR="007E50AC" w:rsidRPr="00D0376C" w:rsidRDefault="002C6544"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10</w:t>
            </w:r>
          </w:p>
        </w:tc>
        <w:tc>
          <w:tcPr>
            <w:tcW w:w="1440" w:type="dxa"/>
            <w:noWrap/>
            <w:hideMark/>
          </w:tcPr>
          <w:p w14:paraId="2ACCED0B" w14:textId="1D141DFD" w:rsidR="007E50AC" w:rsidRPr="00D0376C" w:rsidRDefault="004F323D"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17</w:t>
            </w:r>
          </w:p>
        </w:tc>
        <w:tc>
          <w:tcPr>
            <w:tcW w:w="1440" w:type="dxa"/>
            <w:noWrap/>
            <w:hideMark/>
          </w:tcPr>
          <w:p w14:paraId="12AE90AC" w14:textId="2D25A0C7" w:rsidR="007E50AC" w:rsidRPr="00D0376C" w:rsidRDefault="00E3031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17</w:t>
            </w:r>
          </w:p>
        </w:tc>
        <w:tc>
          <w:tcPr>
            <w:tcW w:w="1530" w:type="dxa"/>
          </w:tcPr>
          <w:p w14:paraId="4E2B2081" w14:textId="0C7F3230" w:rsidR="007E50AC" w:rsidRPr="00D0376C" w:rsidRDefault="0075333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61</w:t>
            </w:r>
            <w:r w:rsidR="007E50AC" w:rsidRPr="00D0376C">
              <w:rPr>
                <w:rFonts w:ascii="Baskerville Old Face" w:hAnsi="Baskerville Old Face"/>
              </w:rPr>
              <w:t>%</w:t>
            </w:r>
          </w:p>
        </w:tc>
      </w:tr>
      <w:tr w:rsidR="007E50AC" w:rsidRPr="00D0376C" w14:paraId="2BA59B0C" w14:textId="64062D3B" w:rsidTr="00CB37CF">
        <w:trPr>
          <w:trHeight w:val="288"/>
        </w:trPr>
        <w:tc>
          <w:tcPr>
            <w:tcW w:w="1580" w:type="dxa"/>
            <w:noWrap/>
            <w:hideMark/>
          </w:tcPr>
          <w:p w14:paraId="296F74D1" w14:textId="2ACAF0BF" w:rsidR="007E50AC" w:rsidRPr="00D0376C" w:rsidRDefault="007E50AC" w:rsidP="007E50AC">
            <w:pPr>
              <w:cnfStyle w:val="001000000000" w:firstRow="0" w:lastRow="0" w:firstColumn="1" w:lastColumn="0" w:oddVBand="0" w:evenVBand="0" w:oddHBand="0" w:evenHBand="0" w:firstRowFirstColumn="0" w:firstRowLastColumn="0" w:lastRowFirstColumn="0" w:lastRowLastColumn="0"/>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RIID</w:t>
            </w:r>
          </w:p>
        </w:tc>
        <w:tc>
          <w:tcPr>
            <w:tcW w:w="1745" w:type="dxa"/>
            <w:noWrap/>
            <w:hideMark/>
          </w:tcPr>
          <w:p w14:paraId="33E141AE" w14:textId="1C9D240D" w:rsidR="007E50AC" w:rsidRPr="00D0376C" w:rsidRDefault="006B5130"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15</w:t>
            </w:r>
          </w:p>
        </w:tc>
        <w:tc>
          <w:tcPr>
            <w:tcW w:w="1620" w:type="dxa"/>
            <w:noWrap/>
            <w:hideMark/>
          </w:tcPr>
          <w:p w14:paraId="63A17C30" w14:textId="4C1013C9" w:rsidR="007E50AC" w:rsidRPr="00D0376C" w:rsidRDefault="002C6544"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10</w:t>
            </w:r>
          </w:p>
        </w:tc>
        <w:tc>
          <w:tcPr>
            <w:tcW w:w="1440" w:type="dxa"/>
            <w:noWrap/>
            <w:hideMark/>
          </w:tcPr>
          <w:p w14:paraId="6266044E" w14:textId="5516C690" w:rsidR="007E50AC" w:rsidRPr="00D0376C" w:rsidRDefault="004F323D"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w:t>
            </w:r>
          </w:p>
        </w:tc>
        <w:tc>
          <w:tcPr>
            <w:tcW w:w="1440" w:type="dxa"/>
            <w:noWrap/>
            <w:hideMark/>
          </w:tcPr>
          <w:p w14:paraId="7EC02057" w14:textId="29F5D015" w:rsidR="007E50AC" w:rsidRPr="00D0376C" w:rsidRDefault="007E50AC" w:rsidP="007E50AC">
            <w:pPr>
              <w:jc w:val="right"/>
              <w:rPr>
                <w:rFonts w:ascii="Baskerville Old Face" w:eastAsia="Times New Roman" w:hAnsi="Baskerville Old Face" w:cs="Calibri"/>
                <w:color w:val="000000"/>
                <w:kern w:val="0"/>
                <w14:ligatures w14:val="none"/>
              </w:rPr>
            </w:pPr>
            <w:r w:rsidRPr="00D0376C">
              <w:rPr>
                <w:rFonts w:ascii="Baskerville Old Face" w:hAnsi="Baskerville Old Face"/>
              </w:rPr>
              <w:t>2</w:t>
            </w:r>
          </w:p>
        </w:tc>
        <w:tc>
          <w:tcPr>
            <w:tcW w:w="1530" w:type="dxa"/>
          </w:tcPr>
          <w:p w14:paraId="5111F91E" w14:textId="09023BC9" w:rsidR="007E50AC" w:rsidRPr="00D0376C" w:rsidRDefault="0075333C" w:rsidP="007E50AC">
            <w:pPr>
              <w:jc w:val="right"/>
              <w:rPr>
                <w:rFonts w:ascii="Baskerville Old Face" w:hAnsi="Baskerville Old Face"/>
              </w:rPr>
            </w:pPr>
            <w:r>
              <w:rPr>
                <w:rFonts w:ascii="Baskerville Old Face" w:hAnsi="Baskerville Old Face"/>
              </w:rPr>
              <w:t>87</w:t>
            </w:r>
            <w:r w:rsidR="007E50AC" w:rsidRPr="00D0376C">
              <w:rPr>
                <w:rFonts w:ascii="Baskerville Old Face" w:hAnsi="Baskerville Old Face"/>
              </w:rPr>
              <w:t>%</w:t>
            </w:r>
          </w:p>
        </w:tc>
      </w:tr>
      <w:tr w:rsidR="007E50AC" w:rsidRPr="00D0376C" w14:paraId="4F876AD8" w14:textId="5AD4519A"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0B39F580" w14:textId="1DEDA462"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HRD</w:t>
            </w:r>
          </w:p>
        </w:tc>
        <w:tc>
          <w:tcPr>
            <w:tcW w:w="1745" w:type="dxa"/>
            <w:noWrap/>
            <w:hideMark/>
          </w:tcPr>
          <w:p w14:paraId="498BF6AE" w14:textId="7486F69C" w:rsidR="007E50AC" w:rsidRPr="00D0376C" w:rsidRDefault="006B5130"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hAnsi="Baskerville Old Face"/>
              </w:rPr>
              <w:t>2</w:t>
            </w:r>
            <w:r w:rsidR="007E50AC" w:rsidRPr="00D0376C">
              <w:rPr>
                <w:rFonts w:ascii="Baskerville Old Face" w:hAnsi="Baskerville Old Face"/>
              </w:rPr>
              <w:t>8</w:t>
            </w:r>
          </w:p>
        </w:tc>
        <w:tc>
          <w:tcPr>
            <w:tcW w:w="1620" w:type="dxa"/>
            <w:noWrap/>
            <w:hideMark/>
          </w:tcPr>
          <w:p w14:paraId="1983607B" w14:textId="59ADDB52" w:rsidR="007E50AC" w:rsidRPr="00D0376C" w:rsidRDefault="002C6544" w:rsidP="002C6544">
            <w:pPr>
              <w:ind w:right="110"/>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9</w:t>
            </w:r>
          </w:p>
        </w:tc>
        <w:tc>
          <w:tcPr>
            <w:tcW w:w="1440" w:type="dxa"/>
            <w:noWrap/>
            <w:hideMark/>
          </w:tcPr>
          <w:p w14:paraId="3EB05FD0" w14:textId="2B76B4D7" w:rsidR="007E50AC" w:rsidRPr="00D0376C" w:rsidRDefault="004F323D"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15</w:t>
            </w:r>
          </w:p>
        </w:tc>
        <w:tc>
          <w:tcPr>
            <w:tcW w:w="1440" w:type="dxa"/>
            <w:noWrap/>
            <w:hideMark/>
          </w:tcPr>
          <w:p w14:paraId="0F5874D9" w14:textId="6BE005B2" w:rsidR="007E50AC" w:rsidRPr="00D0376C" w:rsidRDefault="007278D4"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w:t>
            </w:r>
          </w:p>
        </w:tc>
        <w:tc>
          <w:tcPr>
            <w:tcW w:w="1530" w:type="dxa"/>
          </w:tcPr>
          <w:p w14:paraId="36499F67" w14:textId="3DEC80B9" w:rsidR="007E50AC" w:rsidRPr="00D0376C" w:rsidRDefault="0075333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86</w:t>
            </w:r>
            <w:r w:rsidR="007E50AC" w:rsidRPr="00D0376C">
              <w:rPr>
                <w:rFonts w:ascii="Baskerville Old Face" w:hAnsi="Baskerville Old Face"/>
              </w:rPr>
              <w:t>%</w:t>
            </w:r>
          </w:p>
        </w:tc>
      </w:tr>
      <w:tr w:rsidR="007E50AC" w:rsidRPr="00D0376C" w14:paraId="442E95DC" w14:textId="4D4DF286" w:rsidTr="00CB37CF">
        <w:trPr>
          <w:trHeight w:val="288"/>
        </w:trPr>
        <w:tc>
          <w:tcPr>
            <w:tcW w:w="1580" w:type="dxa"/>
            <w:noWrap/>
            <w:hideMark/>
          </w:tcPr>
          <w:p w14:paraId="191ABB49" w14:textId="537DFF01" w:rsidR="007E50AC" w:rsidRPr="00D0376C" w:rsidRDefault="007E50AC" w:rsidP="007E50AC">
            <w:pPr>
              <w:cnfStyle w:val="001000000000" w:firstRow="0" w:lastRow="0" w:firstColumn="1" w:lastColumn="0" w:oddVBand="0" w:evenVBand="0" w:oddHBand="0" w:evenHBand="0" w:firstRowFirstColumn="0" w:firstRowLastColumn="0" w:lastRowFirstColumn="0" w:lastRowLastColumn="0"/>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ICTD</w:t>
            </w:r>
          </w:p>
        </w:tc>
        <w:tc>
          <w:tcPr>
            <w:tcW w:w="1745" w:type="dxa"/>
            <w:noWrap/>
            <w:hideMark/>
          </w:tcPr>
          <w:p w14:paraId="318F98B1" w14:textId="05A85240" w:rsidR="007E50AC" w:rsidRPr="00D0376C" w:rsidRDefault="007E50AC" w:rsidP="007E50AC">
            <w:pPr>
              <w:jc w:val="right"/>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6B5130">
              <w:rPr>
                <w:rFonts w:ascii="Baskerville Old Face" w:hAnsi="Baskerville Old Face"/>
              </w:rPr>
              <w:t>9</w:t>
            </w:r>
          </w:p>
        </w:tc>
        <w:tc>
          <w:tcPr>
            <w:tcW w:w="1620" w:type="dxa"/>
            <w:noWrap/>
            <w:hideMark/>
          </w:tcPr>
          <w:p w14:paraId="6CE1887A" w14:textId="58CDCEF8" w:rsidR="007E50AC" w:rsidRPr="00D0376C" w:rsidRDefault="002C6544"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9</w:t>
            </w:r>
          </w:p>
        </w:tc>
        <w:tc>
          <w:tcPr>
            <w:tcW w:w="1440" w:type="dxa"/>
            <w:noWrap/>
            <w:hideMark/>
          </w:tcPr>
          <w:p w14:paraId="0FA72212" w14:textId="35315002" w:rsidR="007E50AC" w:rsidRPr="00D0376C" w:rsidRDefault="004F323D"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6</w:t>
            </w:r>
          </w:p>
        </w:tc>
        <w:tc>
          <w:tcPr>
            <w:tcW w:w="1440" w:type="dxa"/>
            <w:noWrap/>
            <w:hideMark/>
          </w:tcPr>
          <w:p w14:paraId="19D2B9CC" w14:textId="2AD4A081" w:rsidR="007E50AC" w:rsidRPr="00D0376C" w:rsidRDefault="007278D4"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w:t>
            </w:r>
          </w:p>
        </w:tc>
        <w:tc>
          <w:tcPr>
            <w:tcW w:w="1530" w:type="dxa"/>
          </w:tcPr>
          <w:p w14:paraId="40B4E50C" w14:textId="05C9FD01" w:rsidR="007E50AC" w:rsidRPr="00D0376C" w:rsidRDefault="005E6758" w:rsidP="007E50AC">
            <w:pPr>
              <w:jc w:val="right"/>
              <w:rPr>
                <w:rFonts w:ascii="Baskerville Old Face" w:hAnsi="Baskerville Old Face"/>
              </w:rPr>
            </w:pPr>
            <w:r>
              <w:rPr>
                <w:rFonts w:ascii="Baskerville Old Face" w:hAnsi="Baskerville Old Face"/>
              </w:rPr>
              <w:t>79</w:t>
            </w:r>
            <w:r w:rsidR="007E50AC" w:rsidRPr="00D0376C">
              <w:rPr>
                <w:rFonts w:ascii="Baskerville Old Face" w:hAnsi="Baskerville Old Face"/>
              </w:rPr>
              <w:t>%</w:t>
            </w:r>
          </w:p>
        </w:tc>
      </w:tr>
      <w:tr w:rsidR="007E50AC" w:rsidRPr="00D0376C" w14:paraId="54DE65CB" w14:textId="288132E0"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4A37EF17" w14:textId="32680345"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ICA</w:t>
            </w:r>
          </w:p>
        </w:tc>
        <w:tc>
          <w:tcPr>
            <w:tcW w:w="1745" w:type="dxa"/>
            <w:noWrap/>
            <w:hideMark/>
          </w:tcPr>
          <w:p w14:paraId="5EDC1AD9" w14:textId="07C4AD8E" w:rsidR="007E50AC" w:rsidRPr="00D0376C" w:rsidRDefault="00CB5B6D"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14</w:t>
            </w:r>
          </w:p>
        </w:tc>
        <w:tc>
          <w:tcPr>
            <w:tcW w:w="1620" w:type="dxa"/>
            <w:noWrap/>
            <w:hideMark/>
          </w:tcPr>
          <w:p w14:paraId="3CFEDA56" w14:textId="323F7825" w:rsidR="007E50AC" w:rsidRPr="00D0376C" w:rsidRDefault="00620A8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7</w:t>
            </w:r>
          </w:p>
        </w:tc>
        <w:tc>
          <w:tcPr>
            <w:tcW w:w="1440" w:type="dxa"/>
            <w:noWrap/>
            <w:hideMark/>
          </w:tcPr>
          <w:p w14:paraId="77C4BBD0" w14:textId="475C3FD4" w:rsidR="007E50AC" w:rsidRPr="00D0376C" w:rsidRDefault="000E1837"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1440" w:type="dxa"/>
            <w:noWrap/>
            <w:hideMark/>
          </w:tcPr>
          <w:p w14:paraId="5166191E" w14:textId="35D856EB" w:rsidR="007E50AC" w:rsidRPr="00D0376C" w:rsidRDefault="007278D4"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w:t>
            </w:r>
          </w:p>
        </w:tc>
        <w:tc>
          <w:tcPr>
            <w:tcW w:w="1530" w:type="dxa"/>
          </w:tcPr>
          <w:p w14:paraId="52B90A79" w14:textId="5DD5287E" w:rsidR="007E50AC" w:rsidRPr="00D0376C" w:rsidRDefault="005E6758"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86</w:t>
            </w:r>
            <w:r w:rsidR="007E50AC" w:rsidRPr="00D0376C">
              <w:rPr>
                <w:rFonts w:ascii="Baskerville Old Face" w:hAnsi="Baskerville Old Face"/>
              </w:rPr>
              <w:t>%</w:t>
            </w:r>
          </w:p>
        </w:tc>
      </w:tr>
      <w:tr w:rsidR="007E50AC" w:rsidRPr="00D0376C" w14:paraId="09B29E4E" w14:textId="57574864" w:rsidTr="00CB37CF">
        <w:trPr>
          <w:trHeight w:val="288"/>
        </w:trPr>
        <w:tc>
          <w:tcPr>
            <w:tcW w:w="1580" w:type="dxa"/>
            <w:noWrap/>
            <w:hideMark/>
          </w:tcPr>
          <w:p w14:paraId="72F40B0A" w14:textId="7B788529" w:rsidR="007E50AC" w:rsidRPr="00D0376C" w:rsidRDefault="007E50AC" w:rsidP="007E50AC">
            <w:pPr>
              <w:cnfStyle w:val="001000000000" w:firstRow="0" w:lastRow="0" w:firstColumn="1" w:lastColumn="0" w:oddVBand="0" w:evenVBand="0" w:oddHBand="0" w:evenHBand="0" w:firstRowFirstColumn="0" w:firstRowLastColumn="0" w:lastRowFirstColumn="0" w:lastRowLastColumn="0"/>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Admin</w:t>
            </w:r>
          </w:p>
        </w:tc>
        <w:tc>
          <w:tcPr>
            <w:tcW w:w="1745" w:type="dxa"/>
            <w:noWrap/>
            <w:hideMark/>
          </w:tcPr>
          <w:p w14:paraId="175866DC" w14:textId="615860C9" w:rsidR="007E50AC" w:rsidRPr="00D0376C" w:rsidRDefault="007E50AC" w:rsidP="007E50AC">
            <w:pPr>
              <w:jc w:val="right"/>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CB5B6D">
              <w:rPr>
                <w:rFonts w:ascii="Baskerville Old Face" w:hAnsi="Baskerville Old Face"/>
              </w:rPr>
              <w:t>8</w:t>
            </w:r>
          </w:p>
        </w:tc>
        <w:tc>
          <w:tcPr>
            <w:tcW w:w="1620" w:type="dxa"/>
            <w:noWrap/>
            <w:hideMark/>
          </w:tcPr>
          <w:p w14:paraId="356ED2E0" w14:textId="41486033" w:rsidR="007E50AC" w:rsidRPr="00D0376C" w:rsidRDefault="00620A8B" w:rsidP="00620A8B">
            <w:pPr>
              <w:ind w:right="110"/>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1440" w:type="dxa"/>
            <w:noWrap/>
            <w:hideMark/>
          </w:tcPr>
          <w:p w14:paraId="4F430EC9" w14:textId="3B910E33" w:rsidR="007E50AC" w:rsidRPr="00D0376C" w:rsidRDefault="000E1837"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1440" w:type="dxa"/>
            <w:noWrap/>
            <w:hideMark/>
          </w:tcPr>
          <w:p w14:paraId="5A9B0F9B" w14:textId="564656BC" w:rsidR="007E50AC" w:rsidRPr="00D0376C" w:rsidRDefault="007E50AC" w:rsidP="007E50AC">
            <w:pPr>
              <w:jc w:val="right"/>
              <w:rPr>
                <w:rFonts w:ascii="Baskerville Old Face" w:eastAsia="Times New Roman" w:hAnsi="Baskerville Old Face" w:cs="Calibri"/>
                <w:color w:val="000000"/>
                <w:kern w:val="0"/>
                <w14:ligatures w14:val="none"/>
              </w:rPr>
            </w:pPr>
            <w:r w:rsidRPr="00D0376C">
              <w:rPr>
                <w:rFonts w:ascii="Baskerville Old Face" w:hAnsi="Baskerville Old Face"/>
              </w:rPr>
              <w:t>8</w:t>
            </w:r>
          </w:p>
        </w:tc>
        <w:tc>
          <w:tcPr>
            <w:tcW w:w="1530" w:type="dxa"/>
          </w:tcPr>
          <w:p w14:paraId="16AF51E2" w14:textId="7388137A" w:rsidR="007E50AC" w:rsidRPr="00D0376C" w:rsidRDefault="005E6758" w:rsidP="007E50AC">
            <w:pPr>
              <w:jc w:val="right"/>
              <w:rPr>
                <w:rFonts w:ascii="Baskerville Old Face" w:hAnsi="Baskerville Old Face"/>
              </w:rPr>
            </w:pPr>
            <w:r>
              <w:rPr>
                <w:rFonts w:ascii="Baskerville Old Face" w:hAnsi="Baskerville Old Face"/>
              </w:rPr>
              <w:t>56</w:t>
            </w:r>
            <w:r w:rsidR="007E50AC" w:rsidRPr="00D0376C">
              <w:rPr>
                <w:rFonts w:ascii="Baskerville Old Face" w:hAnsi="Baskerville Old Face"/>
              </w:rPr>
              <w:t>%</w:t>
            </w:r>
          </w:p>
        </w:tc>
      </w:tr>
      <w:tr w:rsidR="007E50AC" w:rsidRPr="00D0376C" w14:paraId="038206F8" w14:textId="534CF627"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246FC684" w14:textId="6FB62A6E"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SWD</w:t>
            </w:r>
          </w:p>
        </w:tc>
        <w:tc>
          <w:tcPr>
            <w:tcW w:w="1745" w:type="dxa"/>
            <w:noWrap/>
            <w:hideMark/>
          </w:tcPr>
          <w:p w14:paraId="6F1F87EC" w14:textId="3F66CDE6" w:rsidR="007E50AC" w:rsidRPr="00D0376C" w:rsidRDefault="007E50A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2C4D91">
              <w:rPr>
                <w:rFonts w:ascii="Baskerville Old Face" w:hAnsi="Baskerville Old Face"/>
              </w:rPr>
              <w:t>1</w:t>
            </w:r>
          </w:p>
        </w:tc>
        <w:tc>
          <w:tcPr>
            <w:tcW w:w="1620" w:type="dxa"/>
            <w:noWrap/>
            <w:hideMark/>
          </w:tcPr>
          <w:p w14:paraId="27AE5E00" w14:textId="4F66B1A0" w:rsidR="007E50AC" w:rsidRPr="00D0376C" w:rsidRDefault="00620A8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w:t>
            </w:r>
          </w:p>
        </w:tc>
        <w:tc>
          <w:tcPr>
            <w:tcW w:w="1440" w:type="dxa"/>
            <w:noWrap/>
            <w:hideMark/>
          </w:tcPr>
          <w:p w14:paraId="58289D25" w14:textId="2790622B" w:rsidR="007E50AC" w:rsidRPr="00D0376C" w:rsidRDefault="009241B0"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w:t>
            </w:r>
          </w:p>
        </w:tc>
        <w:tc>
          <w:tcPr>
            <w:tcW w:w="1440" w:type="dxa"/>
            <w:noWrap/>
            <w:hideMark/>
          </w:tcPr>
          <w:p w14:paraId="29217493" w14:textId="4012E85B" w:rsidR="007E50AC" w:rsidRPr="00D0376C" w:rsidRDefault="00E14BE8"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4</w:t>
            </w:r>
          </w:p>
        </w:tc>
        <w:tc>
          <w:tcPr>
            <w:tcW w:w="1530" w:type="dxa"/>
          </w:tcPr>
          <w:p w14:paraId="15BBDAC3" w14:textId="149935B3" w:rsidR="007E50AC" w:rsidRPr="00D0376C" w:rsidRDefault="0036463D"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64</w:t>
            </w:r>
            <w:r w:rsidR="007E50AC" w:rsidRPr="00D0376C">
              <w:rPr>
                <w:rFonts w:ascii="Baskerville Old Face" w:hAnsi="Baskerville Old Face"/>
              </w:rPr>
              <w:t>%</w:t>
            </w:r>
          </w:p>
        </w:tc>
      </w:tr>
      <w:tr w:rsidR="007E50AC" w:rsidRPr="00D0376C" w14:paraId="1213BF06" w14:textId="7AD32872" w:rsidTr="00CB37CF">
        <w:trPr>
          <w:trHeight w:val="288"/>
        </w:trPr>
        <w:tc>
          <w:tcPr>
            <w:tcW w:w="1580" w:type="dxa"/>
            <w:noWrap/>
            <w:hideMark/>
          </w:tcPr>
          <w:p w14:paraId="2E520A39" w14:textId="70A75900" w:rsidR="007E50AC" w:rsidRPr="00D0376C" w:rsidRDefault="007E50AC" w:rsidP="007E50AC">
            <w:pPr>
              <w:cnfStyle w:val="001000000000" w:firstRow="0" w:lastRow="0" w:firstColumn="1" w:lastColumn="0" w:oddVBand="0" w:evenVBand="0" w:oddHBand="0" w:evenHBand="0" w:firstRowFirstColumn="0" w:firstRowLastColumn="0" w:lastRowFirstColumn="0" w:lastRowLastColumn="0"/>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Modernisation</w:t>
            </w:r>
          </w:p>
        </w:tc>
        <w:tc>
          <w:tcPr>
            <w:tcW w:w="1745" w:type="dxa"/>
            <w:noWrap/>
            <w:hideMark/>
          </w:tcPr>
          <w:p w14:paraId="1C5EF40B" w14:textId="1F292FF9" w:rsidR="007E50AC" w:rsidRPr="00D0376C" w:rsidRDefault="007E50AC" w:rsidP="007E50AC">
            <w:pPr>
              <w:jc w:val="right"/>
              <w:rPr>
                <w:rFonts w:ascii="Baskerville Old Face" w:eastAsia="Times New Roman" w:hAnsi="Baskerville Old Face" w:cs="Calibri"/>
                <w:color w:val="000000"/>
                <w:kern w:val="0"/>
                <w14:ligatures w14:val="none"/>
              </w:rPr>
            </w:pPr>
            <w:r w:rsidRPr="00D0376C">
              <w:rPr>
                <w:rFonts w:ascii="Baskerville Old Face" w:hAnsi="Baskerville Old Face"/>
              </w:rPr>
              <w:t>1</w:t>
            </w:r>
            <w:r w:rsidR="002C4D91">
              <w:rPr>
                <w:rFonts w:ascii="Baskerville Old Face" w:hAnsi="Baskerville Old Face"/>
              </w:rPr>
              <w:t>0</w:t>
            </w:r>
          </w:p>
        </w:tc>
        <w:tc>
          <w:tcPr>
            <w:tcW w:w="1620" w:type="dxa"/>
            <w:noWrap/>
            <w:hideMark/>
          </w:tcPr>
          <w:p w14:paraId="01C4FA7B" w14:textId="2979CFA4" w:rsidR="007E50AC" w:rsidRPr="00D0376C" w:rsidRDefault="00620A8B"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5</w:t>
            </w:r>
          </w:p>
        </w:tc>
        <w:tc>
          <w:tcPr>
            <w:tcW w:w="1440" w:type="dxa"/>
            <w:noWrap/>
            <w:hideMark/>
          </w:tcPr>
          <w:p w14:paraId="67E85A40" w14:textId="142D9AB9" w:rsidR="007E50AC" w:rsidRPr="00D0376C" w:rsidRDefault="009241B0" w:rsidP="007E50AC">
            <w:pPr>
              <w:jc w:val="right"/>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1</w:t>
            </w:r>
          </w:p>
        </w:tc>
        <w:tc>
          <w:tcPr>
            <w:tcW w:w="1440" w:type="dxa"/>
            <w:noWrap/>
            <w:hideMark/>
          </w:tcPr>
          <w:p w14:paraId="57DB45DB" w14:textId="75C040CF" w:rsidR="007E50AC" w:rsidRPr="00D0376C" w:rsidRDefault="00E14BE8" w:rsidP="007E50AC">
            <w:pPr>
              <w:jc w:val="right"/>
              <w:rPr>
                <w:rFonts w:ascii="Baskerville Old Face" w:eastAsia="Times New Roman" w:hAnsi="Baskerville Old Face" w:cs="Calibri"/>
                <w:color w:val="000000"/>
                <w:kern w:val="0"/>
                <w14:ligatures w14:val="none"/>
              </w:rPr>
            </w:pPr>
            <w:r>
              <w:rPr>
                <w:rFonts w:ascii="Baskerville Old Face" w:hAnsi="Baskerville Old Face"/>
              </w:rPr>
              <w:t>4</w:t>
            </w:r>
          </w:p>
        </w:tc>
        <w:tc>
          <w:tcPr>
            <w:tcW w:w="1530" w:type="dxa"/>
          </w:tcPr>
          <w:p w14:paraId="1BE53768" w14:textId="4CAF09A8" w:rsidR="007E50AC" w:rsidRPr="00D0376C" w:rsidRDefault="0036463D" w:rsidP="007E50AC">
            <w:pPr>
              <w:jc w:val="right"/>
              <w:rPr>
                <w:rFonts w:ascii="Baskerville Old Face" w:hAnsi="Baskerville Old Face"/>
              </w:rPr>
            </w:pPr>
            <w:r>
              <w:rPr>
                <w:rFonts w:ascii="Baskerville Old Face" w:hAnsi="Baskerville Old Face"/>
              </w:rPr>
              <w:t>60</w:t>
            </w:r>
            <w:r w:rsidR="007E50AC" w:rsidRPr="00D0376C">
              <w:rPr>
                <w:rFonts w:ascii="Baskerville Old Face" w:hAnsi="Baskerville Old Face"/>
              </w:rPr>
              <w:t>%</w:t>
            </w:r>
          </w:p>
        </w:tc>
      </w:tr>
      <w:tr w:rsidR="007E50AC" w:rsidRPr="00D0376C" w14:paraId="38D6C015" w14:textId="18C7850B" w:rsidTr="00CB37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0" w:type="dxa"/>
            <w:noWrap/>
            <w:hideMark/>
          </w:tcPr>
          <w:p w14:paraId="1A940234" w14:textId="455C6056" w:rsidR="007E50AC" w:rsidRPr="00D0376C" w:rsidRDefault="007E50AC" w:rsidP="007E50AC">
            <w:pPr>
              <w:rPr>
                <w:rFonts w:ascii="Baskerville Old Face" w:eastAsia="Times New Roman" w:hAnsi="Baskerville Old Face" w:cs="Calibri"/>
                <w:b w:val="0"/>
                <w:bCs w:val="0"/>
                <w:color w:val="000000"/>
                <w:kern w:val="0"/>
                <w14:ligatures w14:val="none"/>
              </w:rPr>
            </w:pPr>
            <w:r w:rsidRPr="00D0376C">
              <w:rPr>
                <w:rFonts w:ascii="Baskerville Old Face" w:hAnsi="Baskerville Old Face"/>
                <w:b w:val="0"/>
                <w:bCs w:val="0"/>
              </w:rPr>
              <w:t>IAU</w:t>
            </w:r>
          </w:p>
        </w:tc>
        <w:tc>
          <w:tcPr>
            <w:tcW w:w="1745" w:type="dxa"/>
            <w:noWrap/>
            <w:hideMark/>
          </w:tcPr>
          <w:p w14:paraId="3B254122" w14:textId="7E2FEB65" w:rsidR="007E50AC" w:rsidRPr="00D0376C" w:rsidRDefault="007E50A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8</w:t>
            </w:r>
          </w:p>
        </w:tc>
        <w:tc>
          <w:tcPr>
            <w:tcW w:w="1620" w:type="dxa"/>
            <w:noWrap/>
            <w:hideMark/>
          </w:tcPr>
          <w:p w14:paraId="1F4090B1" w14:textId="386EB5A2" w:rsidR="007E50AC" w:rsidRPr="00D0376C" w:rsidRDefault="000B7F6B"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2</w:t>
            </w:r>
          </w:p>
        </w:tc>
        <w:tc>
          <w:tcPr>
            <w:tcW w:w="1440" w:type="dxa"/>
            <w:noWrap/>
            <w:hideMark/>
          </w:tcPr>
          <w:p w14:paraId="714B6D28" w14:textId="004D1B3C" w:rsidR="007E50AC" w:rsidRPr="00D0376C" w:rsidRDefault="007E50AC"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D0376C">
              <w:rPr>
                <w:rFonts w:ascii="Baskerville Old Face" w:hAnsi="Baskerville Old Face"/>
              </w:rPr>
              <w:t>3</w:t>
            </w:r>
          </w:p>
        </w:tc>
        <w:tc>
          <w:tcPr>
            <w:tcW w:w="1440" w:type="dxa"/>
            <w:noWrap/>
            <w:hideMark/>
          </w:tcPr>
          <w:p w14:paraId="75A7939C" w14:textId="6B85C257" w:rsidR="007E50AC" w:rsidRPr="00D0376C" w:rsidRDefault="00164720"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Pr>
                <w:rFonts w:ascii="Baskerville Old Face" w:eastAsia="Times New Roman" w:hAnsi="Baskerville Old Face" w:cs="Calibri"/>
                <w:color w:val="000000"/>
                <w:kern w:val="0"/>
                <w14:ligatures w14:val="none"/>
              </w:rPr>
              <w:t>3</w:t>
            </w:r>
          </w:p>
        </w:tc>
        <w:tc>
          <w:tcPr>
            <w:tcW w:w="1530" w:type="dxa"/>
          </w:tcPr>
          <w:p w14:paraId="52BA9325" w14:textId="18143CCC" w:rsidR="007E50AC" w:rsidRPr="00D0376C" w:rsidRDefault="00F415A8" w:rsidP="007E50AC">
            <w:pPr>
              <w:jc w:val="right"/>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Pr>
                <w:rFonts w:ascii="Baskerville Old Face" w:hAnsi="Baskerville Old Face"/>
              </w:rPr>
              <w:t>63</w:t>
            </w:r>
            <w:r w:rsidR="007E50AC" w:rsidRPr="00D0376C">
              <w:rPr>
                <w:rFonts w:ascii="Baskerville Old Face" w:hAnsi="Baskerville Old Face"/>
              </w:rPr>
              <w:t>%</w:t>
            </w:r>
          </w:p>
        </w:tc>
      </w:tr>
      <w:tr w:rsidR="007E50AC" w:rsidRPr="00D0376C" w14:paraId="17F332EF" w14:textId="10CAAE72" w:rsidTr="00CB37CF">
        <w:trPr>
          <w:trHeight w:val="300"/>
        </w:trPr>
        <w:tc>
          <w:tcPr>
            <w:cnfStyle w:val="001000000000" w:firstRow="0" w:lastRow="0" w:firstColumn="1" w:lastColumn="0" w:oddVBand="0" w:evenVBand="0" w:oddHBand="0" w:evenHBand="0" w:firstRowFirstColumn="0" w:firstRowLastColumn="0" w:lastRowFirstColumn="0" w:lastRowLastColumn="0"/>
            <w:tcW w:w="1580" w:type="dxa"/>
            <w:noWrap/>
            <w:hideMark/>
          </w:tcPr>
          <w:p w14:paraId="2193BB93" w14:textId="77777777" w:rsidR="007E50AC" w:rsidRPr="00D0376C" w:rsidRDefault="007E50AC" w:rsidP="007E50AC">
            <w:pPr>
              <w:rPr>
                <w:rFonts w:ascii="Baskerville Old Face" w:eastAsia="Times New Roman" w:hAnsi="Baskerville Old Face" w:cs="Calibri"/>
                <w:color w:val="000000"/>
                <w:kern w:val="0"/>
                <w14:ligatures w14:val="none"/>
              </w:rPr>
            </w:pPr>
            <w:r w:rsidRPr="00D0376C">
              <w:rPr>
                <w:rFonts w:ascii="Baskerville Old Face" w:eastAsia="Times New Roman" w:hAnsi="Baskerville Old Face" w:cs="Calibri"/>
                <w:color w:val="000000"/>
                <w:kern w:val="0"/>
                <w:lang w:val="en-GB"/>
                <w14:ligatures w14:val="none"/>
              </w:rPr>
              <w:t>TOTAL</w:t>
            </w:r>
          </w:p>
        </w:tc>
        <w:tc>
          <w:tcPr>
            <w:tcW w:w="1745" w:type="dxa"/>
            <w:noWrap/>
            <w:hideMark/>
          </w:tcPr>
          <w:p w14:paraId="3B8FB6FE" w14:textId="179A7BC7" w:rsidR="007E50AC" w:rsidRPr="007E50A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7E50AC">
              <w:rPr>
                <w:rFonts w:ascii="Baskerville Old Face" w:hAnsi="Baskerville Old Face"/>
                <w:b/>
                <w:bCs/>
              </w:rPr>
              <w:t>3</w:t>
            </w:r>
            <w:r w:rsidR="002D6A8E">
              <w:rPr>
                <w:rFonts w:ascii="Baskerville Old Face" w:hAnsi="Baskerville Old Face"/>
                <w:b/>
                <w:bCs/>
              </w:rPr>
              <w:t>04</w:t>
            </w:r>
          </w:p>
        </w:tc>
        <w:tc>
          <w:tcPr>
            <w:tcW w:w="1620" w:type="dxa"/>
            <w:noWrap/>
            <w:hideMark/>
          </w:tcPr>
          <w:p w14:paraId="136BF7C8" w14:textId="275240A5" w:rsidR="007E50AC" w:rsidRPr="007E50AC" w:rsidRDefault="00AF16DD"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Pr>
                <w:rFonts w:ascii="Baskerville Old Face" w:eastAsia="Times New Roman" w:hAnsi="Baskerville Old Face" w:cs="Calibri"/>
                <w:b/>
                <w:bCs/>
                <w:color w:val="000000"/>
                <w:kern w:val="0"/>
                <w14:ligatures w14:val="none"/>
              </w:rPr>
              <w:t>124</w:t>
            </w:r>
          </w:p>
        </w:tc>
        <w:tc>
          <w:tcPr>
            <w:tcW w:w="1440" w:type="dxa"/>
            <w:noWrap/>
            <w:hideMark/>
          </w:tcPr>
          <w:p w14:paraId="0E51287B" w14:textId="779F1755" w:rsidR="007E50AC" w:rsidRPr="007E50AC" w:rsidRDefault="007E50AC"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7E50AC">
              <w:rPr>
                <w:rFonts w:ascii="Baskerville Old Face" w:hAnsi="Baskerville Old Face"/>
                <w:b/>
                <w:bCs/>
              </w:rPr>
              <w:t>10</w:t>
            </w:r>
            <w:r w:rsidR="003555DB">
              <w:rPr>
                <w:rFonts w:ascii="Baskerville Old Face" w:hAnsi="Baskerville Old Face"/>
                <w:b/>
                <w:bCs/>
              </w:rPr>
              <w:t>8</w:t>
            </w:r>
          </w:p>
        </w:tc>
        <w:tc>
          <w:tcPr>
            <w:tcW w:w="1440" w:type="dxa"/>
            <w:noWrap/>
            <w:hideMark/>
          </w:tcPr>
          <w:p w14:paraId="5A8ABFF6" w14:textId="4EF75D25" w:rsidR="007E50AC" w:rsidRPr="007E50AC" w:rsidRDefault="00FB17BE"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Pr>
                <w:rFonts w:ascii="Baskerville Old Face" w:eastAsia="Times New Roman" w:hAnsi="Baskerville Old Face" w:cs="Calibri"/>
                <w:b/>
                <w:bCs/>
                <w:color w:val="000000"/>
                <w:kern w:val="0"/>
                <w14:ligatures w14:val="none"/>
              </w:rPr>
              <w:t>72</w:t>
            </w:r>
          </w:p>
        </w:tc>
        <w:tc>
          <w:tcPr>
            <w:tcW w:w="1530" w:type="dxa"/>
          </w:tcPr>
          <w:p w14:paraId="0D7DA42D" w14:textId="6E858D36" w:rsidR="007E50AC" w:rsidRPr="007E50AC" w:rsidRDefault="00F415A8" w:rsidP="007E50AC">
            <w:pPr>
              <w:jc w:val="right"/>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Pr>
                <w:rFonts w:ascii="Baskerville Old Face" w:eastAsia="Times New Roman" w:hAnsi="Baskerville Old Face" w:cs="Calibri"/>
                <w:b/>
                <w:bCs/>
                <w:color w:val="000000"/>
                <w:kern w:val="0"/>
                <w:lang w:val="en-GB"/>
                <w14:ligatures w14:val="none"/>
              </w:rPr>
              <w:t>76</w:t>
            </w:r>
            <w:r w:rsidR="007E50AC" w:rsidRPr="007E50AC">
              <w:rPr>
                <w:rFonts w:ascii="Baskerville Old Face" w:eastAsia="Times New Roman" w:hAnsi="Baskerville Old Face" w:cs="Calibri"/>
                <w:b/>
                <w:bCs/>
                <w:color w:val="000000"/>
                <w:kern w:val="0"/>
                <w:lang w:val="en-GB"/>
                <w14:ligatures w14:val="none"/>
              </w:rPr>
              <w:t>%</w:t>
            </w:r>
          </w:p>
        </w:tc>
      </w:tr>
    </w:tbl>
    <w:p w14:paraId="67F5CA3F" w14:textId="1BD7DC80"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76EE5C7D" w14:textId="6B23CD55" w:rsidR="00923771" w:rsidRPr="00D84071" w:rsidRDefault="00923771" w:rsidP="005966A9">
      <w:pPr>
        <w:spacing w:line="276" w:lineRule="auto"/>
        <w:jc w:val="both"/>
        <w:rPr>
          <w:rFonts w:ascii="Baskerville Old Face" w:hAnsi="Baskerville Old Face"/>
          <w:sz w:val="24"/>
          <w:szCs w:val="24"/>
        </w:rPr>
      </w:pPr>
      <w:r w:rsidRPr="00923771">
        <w:rPr>
          <w:rFonts w:ascii="Baskerville Old Face" w:hAnsi="Baskerville Old Face"/>
          <w:sz w:val="24"/>
          <w:szCs w:val="24"/>
        </w:rPr>
        <w:t xml:space="preserve">Evaluation of </w:t>
      </w:r>
      <w:r w:rsidR="00961436">
        <w:rPr>
          <w:rFonts w:ascii="Baskerville Old Face" w:hAnsi="Baskerville Old Face"/>
          <w:sz w:val="24"/>
          <w:szCs w:val="24"/>
        </w:rPr>
        <w:t xml:space="preserve">the </w:t>
      </w:r>
      <w:r w:rsidRPr="00923771">
        <w:rPr>
          <w:rFonts w:ascii="Baskerville Old Face" w:hAnsi="Baskerville Old Face"/>
          <w:sz w:val="24"/>
          <w:szCs w:val="24"/>
        </w:rPr>
        <w:t>KPIs for 202</w:t>
      </w:r>
      <w:r w:rsidR="00961436">
        <w:rPr>
          <w:rFonts w:ascii="Baskerville Old Face" w:hAnsi="Baskerville Old Face"/>
          <w:sz w:val="24"/>
          <w:szCs w:val="24"/>
        </w:rPr>
        <w:t>4</w:t>
      </w:r>
      <w:r w:rsidRPr="00923771">
        <w:rPr>
          <w:rFonts w:ascii="Baskerville Old Face" w:hAnsi="Baskerville Old Face"/>
          <w:sz w:val="24"/>
          <w:szCs w:val="24"/>
        </w:rPr>
        <w:t xml:space="preserve"> reveals that while the Authority met </w:t>
      </w:r>
      <w:r w:rsidR="00961436">
        <w:rPr>
          <w:rFonts w:ascii="Baskerville Old Face" w:hAnsi="Baskerville Old Face"/>
          <w:sz w:val="24"/>
          <w:szCs w:val="24"/>
        </w:rPr>
        <w:t>24</w:t>
      </w:r>
      <w:r w:rsidRPr="00923771">
        <w:rPr>
          <w:rFonts w:ascii="Baskerville Old Face" w:hAnsi="Baskerville Old Face"/>
          <w:sz w:val="24"/>
          <w:szCs w:val="24"/>
        </w:rPr>
        <w:t xml:space="preserve"> KPIs and made progress on 1</w:t>
      </w:r>
      <w:r w:rsidR="00961436">
        <w:rPr>
          <w:rFonts w:ascii="Baskerville Old Face" w:hAnsi="Baskerville Old Face"/>
          <w:sz w:val="24"/>
          <w:szCs w:val="24"/>
        </w:rPr>
        <w:t>6</w:t>
      </w:r>
      <w:r w:rsidRPr="00923771">
        <w:rPr>
          <w:rFonts w:ascii="Baskerville Old Face" w:hAnsi="Baskerville Old Face"/>
          <w:sz w:val="24"/>
          <w:szCs w:val="24"/>
        </w:rPr>
        <w:t xml:space="preserve">, it missed out on </w:t>
      </w:r>
      <w:r w:rsidR="00961436">
        <w:rPr>
          <w:rFonts w:ascii="Baskerville Old Face" w:hAnsi="Baskerville Old Face"/>
          <w:sz w:val="24"/>
          <w:szCs w:val="24"/>
        </w:rPr>
        <w:t xml:space="preserve">5. </w:t>
      </w:r>
      <w:r w:rsidRPr="00923771">
        <w:rPr>
          <w:rFonts w:ascii="Baskerville Old Face" w:hAnsi="Baskerville Old Face"/>
          <w:sz w:val="24"/>
          <w:szCs w:val="24"/>
        </w:rPr>
        <w:t xml:space="preserve">However, updates on </w:t>
      </w:r>
      <w:r w:rsidR="00961436">
        <w:rPr>
          <w:rFonts w:ascii="Baskerville Old Face" w:hAnsi="Baskerville Old Face"/>
          <w:sz w:val="24"/>
          <w:szCs w:val="24"/>
        </w:rPr>
        <w:t>8</w:t>
      </w:r>
      <w:r w:rsidRPr="00923771">
        <w:rPr>
          <w:rFonts w:ascii="Baskerville Old Face" w:hAnsi="Baskerville Old Face"/>
          <w:sz w:val="24"/>
          <w:szCs w:val="24"/>
        </w:rPr>
        <w:t xml:space="preserve"> KPIs (</w:t>
      </w:r>
      <w:r w:rsidR="00961436">
        <w:rPr>
          <w:rFonts w:ascii="Baskerville Old Face" w:hAnsi="Baskerville Old Face"/>
          <w:sz w:val="24"/>
          <w:szCs w:val="24"/>
        </w:rPr>
        <w:t>15</w:t>
      </w:r>
      <w:r w:rsidRPr="00923771">
        <w:rPr>
          <w:rFonts w:ascii="Baskerville Old Face" w:hAnsi="Baskerville Old Face"/>
          <w:sz w:val="24"/>
          <w:szCs w:val="24"/>
        </w:rPr>
        <w:t>.</w:t>
      </w:r>
      <w:r w:rsidR="00961436">
        <w:rPr>
          <w:rFonts w:ascii="Baskerville Old Face" w:hAnsi="Baskerville Old Face"/>
          <w:sz w:val="24"/>
          <w:szCs w:val="24"/>
        </w:rPr>
        <w:t>1</w:t>
      </w:r>
      <w:r w:rsidRPr="00923771">
        <w:rPr>
          <w:rFonts w:ascii="Baskerville Old Face" w:hAnsi="Baskerville Old Face"/>
          <w:sz w:val="24"/>
          <w:szCs w:val="24"/>
        </w:rPr>
        <w:t xml:space="preserve">% of the total) were unavailable. </w:t>
      </w:r>
    </w:p>
    <w:p w14:paraId="447F5526" w14:textId="77777777" w:rsidR="004A439E" w:rsidRDefault="0046423E" w:rsidP="005966A9">
      <w:pPr>
        <w:spacing w:line="276" w:lineRule="auto"/>
        <w:jc w:val="both"/>
        <w:rPr>
          <w:rFonts w:ascii="Baskerville Old Face" w:hAnsi="Baskerville Old Face" w:cs="Times New Roman"/>
          <w:sz w:val="24"/>
          <w:szCs w:val="24"/>
        </w:rPr>
      </w:pPr>
      <w:r w:rsidRPr="0046423E">
        <w:rPr>
          <w:rFonts w:ascii="Baskerville Old Face" w:hAnsi="Baskerville Old Face" w:cs="Times New Roman"/>
          <w:sz w:val="24"/>
          <w:szCs w:val="24"/>
        </w:rPr>
        <w:t xml:space="preserve">Numerous obstacles, stemming from both internal NRA dynamics and external </w:t>
      </w:r>
      <w:r>
        <w:rPr>
          <w:rFonts w:ascii="Baskerville Old Face" w:hAnsi="Baskerville Old Face" w:cs="Times New Roman"/>
          <w:sz w:val="24"/>
          <w:szCs w:val="24"/>
        </w:rPr>
        <w:t>factors</w:t>
      </w:r>
      <w:r w:rsidRPr="0046423E">
        <w:rPr>
          <w:rFonts w:ascii="Baskerville Old Face" w:hAnsi="Baskerville Old Face" w:cs="Times New Roman"/>
          <w:sz w:val="24"/>
          <w:szCs w:val="24"/>
        </w:rPr>
        <w:t xml:space="preserve">, impeded the seamless </w:t>
      </w:r>
      <w:r>
        <w:rPr>
          <w:rFonts w:ascii="Baskerville Old Face" w:hAnsi="Baskerville Old Face" w:cs="Times New Roman"/>
          <w:sz w:val="24"/>
          <w:szCs w:val="24"/>
        </w:rPr>
        <w:t>implementation</w:t>
      </w:r>
      <w:r w:rsidRPr="0046423E">
        <w:rPr>
          <w:rFonts w:ascii="Baskerville Old Face" w:hAnsi="Baskerville Old Face" w:cs="Times New Roman"/>
          <w:sz w:val="24"/>
          <w:szCs w:val="24"/>
        </w:rPr>
        <w:t xml:space="preserve"> of the Strategic Plan. </w:t>
      </w:r>
    </w:p>
    <w:p w14:paraId="7233313A" w14:textId="5DA5E38D"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Internally, several factors hindered implementation. Staff capacity limitations emerged as a recurring issue, affecting not only the technical proficiency needed for modern reforms but also the ability to implement complex initiatives. The non-approval of departmental organograms and lower comparative remuneration impacted staff morale and retention—particularly in key technical areas such as ICT </w:t>
      </w:r>
      <w:r w:rsidR="00511E2A">
        <w:rPr>
          <w:rFonts w:ascii="Baskerville Old Face" w:eastAsia="Times New Roman" w:hAnsi="Baskerville Old Face" w:cs="Times New Roman"/>
          <w:kern w:val="0"/>
          <w:sz w:val="24"/>
          <w:szCs w:val="24"/>
          <w14:ligatures w14:val="none"/>
        </w:rPr>
        <w:t xml:space="preserve">and </w:t>
      </w:r>
      <w:r w:rsidRPr="00A25123">
        <w:rPr>
          <w:rFonts w:ascii="Baskerville Old Face" w:eastAsia="Times New Roman" w:hAnsi="Baskerville Old Face" w:cs="Times New Roman"/>
          <w:kern w:val="0"/>
          <w:sz w:val="24"/>
          <w:szCs w:val="24"/>
          <w14:ligatures w14:val="none"/>
        </w:rPr>
        <w:t>legal</w:t>
      </w:r>
      <w:r w:rsidR="00511E2A">
        <w:rPr>
          <w:rFonts w:ascii="Baskerville Old Face" w:eastAsia="Times New Roman" w:hAnsi="Baskerville Old Face" w:cs="Times New Roman"/>
          <w:kern w:val="0"/>
          <w:sz w:val="24"/>
          <w:szCs w:val="24"/>
          <w14:ligatures w14:val="none"/>
        </w:rPr>
        <w:t xml:space="preserve"> </w:t>
      </w:r>
      <w:r w:rsidR="00F016DF">
        <w:rPr>
          <w:rFonts w:ascii="Baskerville Old Face" w:eastAsia="Times New Roman" w:hAnsi="Baskerville Old Face" w:cs="Times New Roman"/>
          <w:kern w:val="0"/>
          <w:sz w:val="24"/>
          <w:szCs w:val="24"/>
          <w14:ligatures w14:val="none"/>
        </w:rPr>
        <w:t>functions</w:t>
      </w:r>
      <w:r w:rsidRPr="00A25123">
        <w:rPr>
          <w:rFonts w:ascii="Baskerville Old Face" w:eastAsia="Times New Roman" w:hAnsi="Baskerville Old Face" w:cs="Times New Roman"/>
          <w:kern w:val="0"/>
          <w:sz w:val="24"/>
          <w:szCs w:val="24"/>
          <w14:ligatures w14:val="none"/>
        </w:rPr>
        <w:t>. High staff turnover, especially in critical departments, further reduced institutional memory and disrupted workflow continuity.</w:t>
      </w:r>
    </w:p>
    <w:p w14:paraId="30F477E8" w14:textId="5C2E993D"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The limited availability of essential tools and resources—including insufficient computers, outdated network infrastructure, inadequate office space, and logistical shortfalls—further constrained operational efficiency. Budget constraints also negatively affected the roll-out of IT projects, procurement of essential supplies, infrastructure development, and tax education initiatives.</w:t>
      </w:r>
    </w:p>
    <w:p w14:paraId="2DA8C03F" w14:textId="7E376B38"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Administrative delays, particularly in the procurement process and in securing approvals from senior management and oversight </w:t>
      </w:r>
      <w:r w:rsidR="00BB52CD">
        <w:rPr>
          <w:rFonts w:ascii="Baskerville Old Face" w:eastAsia="Times New Roman" w:hAnsi="Baskerville Old Face" w:cs="Times New Roman"/>
          <w:kern w:val="0"/>
          <w:sz w:val="24"/>
          <w:szCs w:val="24"/>
          <w14:ligatures w14:val="none"/>
        </w:rPr>
        <w:t>structures</w:t>
      </w:r>
      <w:r w:rsidRPr="00A25123">
        <w:rPr>
          <w:rFonts w:ascii="Baskerville Old Face" w:eastAsia="Times New Roman" w:hAnsi="Baskerville Old Face" w:cs="Times New Roman"/>
          <w:kern w:val="0"/>
          <w:sz w:val="24"/>
          <w:szCs w:val="24"/>
          <w14:ligatures w14:val="none"/>
        </w:rPr>
        <w:t xml:space="preserve"> (e.g., NPPA and the Board), led to missed implementation timelines. Paper-based financial systems, the lack of reconciliation software, and delays in audit </w:t>
      </w:r>
      <w:r w:rsidRPr="00A25123">
        <w:rPr>
          <w:rFonts w:ascii="Baskerville Old Face" w:eastAsia="Times New Roman" w:hAnsi="Baskerville Old Face" w:cs="Times New Roman"/>
          <w:kern w:val="0"/>
          <w:sz w:val="24"/>
          <w:szCs w:val="24"/>
          <w14:ligatures w14:val="none"/>
        </w:rPr>
        <w:lastRenderedPageBreak/>
        <w:t xml:space="preserve">response and internal reporting processes highlighted the continued need for </w:t>
      </w:r>
      <w:proofErr w:type="spellStart"/>
      <w:r w:rsidRPr="00A25123">
        <w:rPr>
          <w:rFonts w:ascii="Baskerville Old Face" w:eastAsia="Times New Roman" w:hAnsi="Baskerville Old Face" w:cs="Times New Roman"/>
          <w:kern w:val="0"/>
          <w:sz w:val="24"/>
          <w:szCs w:val="24"/>
          <w14:ligatures w14:val="none"/>
        </w:rPr>
        <w:t>digitisation</w:t>
      </w:r>
      <w:proofErr w:type="spellEnd"/>
      <w:r w:rsidRPr="00A25123">
        <w:rPr>
          <w:rFonts w:ascii="Baskerville Old Face" w:eastAsia="Times New Roman" w:hAnsi="Baskerville Old Face" w:cs="Times New Roman"/>
          <w:kern w:val="0"/>
          <w:sz w:val="24"/>
          <w:szCs w:val="24"/>
          <w14:ligatures w14:val="none"/>
        </w:rPr>
        <w:t xml:space="preserve"> and </w:t>
      </w:r>
      <w:r w:rsidR="00BB52CD">
        <w:rPr>
          <w:rFonts w:ascii="Baskerville Old Face" w:eastAsia="Times New Roman" w:hAnsi="Baskerville Old Face" w:cs="Times New Roman"/>
          <w:kern w:val="0"/>
          <w:sz w:val="24"/>
          <w:szCs w:val="24"/>
          <w14:ligatures w14:val="none"/>
        </w:rPr>
        <w:t xml:space="preserve">strengthening of </w:t>
      </w:r>
      <w:r w:rsidRPr="00A25123">
        <w:rPr>
          <w:rFonts w:ascii="Baskerville Old Face" w:eastAsia="Times New Roman" w:hAnsi="Baskerville Old Face" w:cs="Times New Roman"/>
          <w:kern w:val="0"/>
          <w:sz w:val="24"/>
          <w:szCs w:val="24"/>
          <w14:ligatures w14:val="none"/>
        </w:rPr>
        <w:t>internal control.</w:t>
      </w:r>
    </w:p>
    <w:p w14:paraId="6D829583" w14:textId="2C2C902C"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On the external front, the NRA faced systemic barriers that hindered collaboration with key stakeholders. Limited infrastructure and connectivity issues at partner institutions such as </w:t>
      </w:r>
      <w:r w:rsidR="009C47F1">
        <w:rPr>
          <w:rFonts w:ascii="Baskerville Old Face" w:eastAsia="Times New Roman" w:hAnsi="Baskerville Old Face" w:cs="Times New Roman"/>
          <w:kern w:val="0"/>
          <w:sz w:val="24"/>
          <w:szCs w:val="24"/>
          <w14:ligatures w14:val="none"/>
        </w:rPr>
        <w:t xml:space="preserve">the </w:t>
      </w:r>
      <w:r w:rsidR="00BB52CD" w:rsidRPr="00BB52CD">
        <w:rPr>
          <w:rFonts w:ascii="Baskerville Old Face" w:eastAsia="Times New Roman" w:hAnsi="Baskerville Old Face" w:cs="Times New Roman"/>
          <w:kern w:val="0"/>
          <w:sz w:val="24"/>
          <w:szCs w:val="24"/>
          <w14:ligatures w14:val="none"/>
        </w:rPr>
        <w:t xml:space="preserve">National Social Security and Insurance Trust </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NASSIT</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w:t>
      </w:r>
      <w:r w:rsidR="00BB52CD">
        <w:rPr>
          <w:rFonts w:ascii="Baskerville Old Face" w:eastAsia="Times New Roman" w:hAnsi="Baskerville Old Face" w:cs="Times New Roman"/>
          <w:kern w:val="0"/>
          <w:sz w:val="24"/>
          <w:szCs w:val="24"/>
          <w14:ligatures w14:val="none"/>
        </w:rPr>
        <w:t xml:space="preserve"> </w:t>
      </w:r>
      <w:r w:rsidR="00A40F32">
        <w:rPr>
          <w:rFonts w:ascii="Baskerville Old Face" w:eastAsia="Times New Roman" w:hAnsi="Baskerville Old Face" w:cs="Times New Roman"/>
          <w:kern w:val="0"/>
          <w:sz w:val="24"/>
          <w:szCs w:val="24"/>
          <w14:ligatures w14:val="none"/>
        </w:rPr>
        <w:t xml:space="preserve">the </w:t>
      </w:r>
      <w:r w:rsidR="00BB52CD">
        <w:rPr>
          <w:rFonts w:ascii="Baskerville Old Face" w:eastAsia="Times New Roman" w:hAnsi="Baskerville Old Face" w:cs="Times New Roman"/>
          <w:kern w:val="0"/>
          <w:sz w:val="24"/>
          <w:szCs w:val="24"/>
          <w14:ligatures w14:val="none"/>
        </w:rPr>
        <w:t>Bank of Sierra Leone (</w:t>
      </w:r>
      <w:r w:rsidR="00BB52CD" w:rsidRPr="00A25123">
        <w:rPr>
          <w:rFonts w:ascii="Baskerville Old Face" w:eastAsia="Times New Roman" w:hAnsi="Baskerville Old Face" w:cs="Times New Roman"/>
          <w:kern w:val="0"/>
          <w:sz w:val="24"/>
          <w:szCs w:val="24"/>
          <w14:ligatures w14:val="none"/>
        </w:rPr>
        <w:t>BSL</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 and</w:t>
      </w:r>
      <w:r w:rsidR="00BB52CD">
        <w:rPr>
          <w:rFonts w:ascii="Baskerville Old Face" w:eastAsia="Times New Roman" w:hAnsi="Baskerville Old Face" w:cs="Times New Roman"/>
          <w:kern w:val="0"/>
          <w:sz w:val="24"/>
          <w:szCs w:val="24"/>
          <w14:ligatures w14:val="none"/>
        </w:rPr>
        <w:t xml:space="preserve"> </w:t>
      </w:r>
      <w:r w:rsidR="00A40F32">
        <w:rPr>
          <w:rFonts w:ascii="Baskerville Old Face" w:eastAsia="Times New Roman" w:hAnsi="Baskerville Old Face" w:cs="Times New Roman"/>
          <w:kern w:val="0"/>
          <w:sz w:val="24"/>
          <w:szCs w:val="24"/>
          <w14:ligatures w14:val="none"/>
        </w:rPr>
        <w:t xml:space="preserve">the </w:t>
      </w:r>
      <w:r w:rsidR="00BB52CD">
        <w:rPr>
          <w:rFonts w:ascii="Baskerville Old Face" w:eastAsia="Times New Roman" w:hAnsi="Baskerville Old Face" w:cs="Times New Roman"/>
          <w:kern w:val="0"/>
          <w:sz w:val="24"/>
          <w:szCs w:val="24"/>
          <w14:ligatures w14:val="none"/>
        </w:rPr>
        <w:t>National Civil Registration Authority (</w:t>
      </w:r>
      <w:r w:rsidR="00BB52CD" w:rsidRPr="00A25123">
        <w:rPr>
          <w:rFonts w:ascii="Baskerville Old Face" w:eastAsia="Times New Roman" w:hAnsi="Baskerville Old Face" w:cs="Times New Roman"/>
          <w:kern w:val="0"/>
          <w:sz w:val="24"/>
          <w:szCs w:val="24"/>
          <w14:ligatures w14:val="none"/>
        </w:rPr>
        <w:t>NCRA</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 xml:space="preserve"> delayed the integration of external interfaces and restricted access to critical third-party data. This limited the full </w:t>
      </w:r>
      <w:proofErr w:type="spellStart"/>
      <w:r w:rsidRPr="00A25123">
        <w:rPr>
          <w:rFonts w:ascii="Baskerville Old Face" w:eastAsia="Times New Roman" w:hAnsi="Baskerville Old Face" w:cs="Times New Roman"/>
          <w:kern w:val="0"/>
          <w:sz w:val="24"/>
          <w:szCs w:val="24"/>
          <w14:ligatures w14:val="none"/>
        </w:rPr>
        <w:t>operationali</w:t>
      </w:r>
      <w:r w:rsidR="00644633" w:rsidRPr="00A25123">
        <w:rPr>
          <w:rFonts w:ascii="Baskerville Old Face" w:eastAsia="Times New Roman" w:hAnsi="Baskerville Old Face" w:cs="Times New Roman"/>
          <w:kern w:val="0"/>
          <w:sz w:val="24"/>
          <w:szCs w:val="24"/>
          <w14:ligatures w14:val="none"/>
        </w:rPr>
        <w:t>s</w:t>
      </w:r>
      <w:r w:rsidRPr="00A25123">
        <w:rPr>
          <w:rFonts w:ascii="Baskerville Old Face" w:eastAsia="Times New Roman" w:hAnsi="Baskerville Old Face" w:cs="Times New Roman"/>
          <w:kern w:val="0"/>
          <w:sz w:val="24"/>
          <w:szCs w:val="24"/>
          <w14:ligatures w14:val="none"/>
        </w:rPr>
        <w:t>ation</w:t>
      </w:r>
      <w:proofErr w:type="spellEnd"/>
      <w:r w:rsidRPr="00A25123">
        <w:rPr>
          <w:rFonts w:ascii="Baskerville Old Face" w:eastAsia="Times New Roman" w:hAnsi="Baskerville Old Face" w:cs="Times New Roman"/>
          <w:kern w:val="0"/>
          <w:sz w:val="24"/>
          <w:szCs w:val="24"/>
          <w14:ligatures w14:val="none"/>
        </w:rPr>
        <w:t xml:space="preserve"> of core systems like ITAS and ASYCUDA World. Additionally, </w:t>
      </w:r>
      <w:r w:rsidR="00BB52CD" w:rsidRPr="00BB52CD">
        <w:rPr>
          <w:rFonts w:ascii="Baskerville Old Face" w:eastAsia="Times New Roman" w:hAnsi="Baskerville Old Face" w:cs="Times New Roman"/>
          <w:kern w:val="0"/>
          <w:sz w:val="24"/>
          <w:szCs w:val="24"/>
          <w14:ligatures w14:val="none"/>
        </w:rPr>
        <w:t xml:space="preserve">challenges in collecting and </w:t>
      </w:r>
      <w:proofErr w:type="spellStart"/>
      <w:r w:rsidR="00BB52CD" w:rsidRPr="00BB52CD">
        <w:rPr>
          <w:rFonts w:ascii="Baskerville Old Face" w:eastAsia="Times New Roman" w:hAnsi="Baskerville Old Face" w:cs="Times New Roman"/>
          <w:kern w:val="0"/>
          <w:sz w:val="24"/>
          <w:szCs w:val="24"/>
          <w14:ligatures w14:val="none"/>
        </w:rPr>
        <w:t>analysing</w:t>
      </w:r>
      <w:proofErr w:type="spellEnd"/>
      <w:r w:rsidR="00BB52CD" w:rsidRPr="00BB52CD">
        <w:rPr>
          <w:rFonts w:ascii="Baskerville Old Face" w:eastAsia="Times New Roman" w:hAnsi="Baskerville Old Face" w:cs="Times New Roman"/>
          <w:kern w:val="0"/>
          <w:sz w:val="24"/>
          <w:szCs w:val="24"/>
          <w14:ligatures w14:val="none"/>
        </w:rPr>
        <w:t xml:space="preserve"> third-party data</w:t>
      </w:r>
      <w:r w:rsidR="00BB52CD">
        <w:rPr>
          <w:rFonts w:ascii="Baskerville Old Face" w:eastAsia="Times New Roman" w:hAnsi="Baskerville Old Face" w:cs="Times New Roman"/>
          <w:kern w:val="0"/>
          <w:sz w:val="24"/>
          <w:szCs w:val="24"/>
          <w14:ligatures w14:val="none"/>
        </w:rPr>
        <w:t>, and</w:t>
      </w:r>
      <w:r w:rsidR="00BB52CD"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 xml:space="preserve">the lack of post-implementation support from key technical partners, such as </w:t>
      </w:r>
      <w:r w:rsidR="00BB52CD">
        <w:rPr>
          <w:rFonts w:ascii="Baskerville Old Face" w:eastAsia="Times New Roman" w:hAnsi="Baskerville Old Face" w:cs="Times New Roman"/>
          <w:kern w:val="0"/>
          <w:sz w:val="24"/>
          <w:szCs w:val="24"/>
          <w14:ligatures w14:val="none"/>
        </w:rPr>
        <w:t>the United Nations Trade and Development (</w:t>
      </w:r>
      <w:r w:rsidRPr="00A25123">
        <w:rPr>
          <w:rFonts w:ascii="Baskerville Old Face" w:eastAsia="Times New Roman" w:hAnsi="Baskerville Old Face" w:cs="Times New Roman"/>
          <w:kern w:val="0"/>
          <w:sz w:val="24"/>
          <w:szCs w:val="24"/>
          <w14:ligatures w14:val="none"/>
        </w:rPr>
        <w:t>UNCTAD</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 xml:space="preserve"> and the suspension of </w:t>
      </w:r>
      <w:r w:rsidR="00644633" w:rsidRPr="00A25123">
        <w:rPr>
          <w:rFonts w:ascii="Baskerville Old Face" w:eastAsia="Times New Roman" w:hAnsi="Baskerville Old Face" w:cs="Times New Roman"/>
          <w:kern w:val="0"/>
          <w:sz w:val="24"/>
          <w:szCs w:val="24"/>
          <w14:ligatures w14:val="none"/>
        </w:rPr>
        <w:t>technical assistance</w:t>
      </w:r>
      <w:r w:rsidRPr="00A25123">
        <w:rPr>
          <w:rFonts w:ascii="Baskerville Old Face" w:eastAsia="Times New Roman" w:hAnsi="Baskerville Old Face" w:cs="Times New Roman"/>
          <w:kern w:val="0"/>
          <w:sz w:val="24"/>
          <w:szCs w:val="24"/>
          <w14:ligatures w14:val="none"/>
        </w:rPr>
        <w:t xml:space="preserve"> from </w:t>
      </w:r>
      <w:r w:rsidR="00BB52CD">
        <w:rPr>
          <w:rFonts w:ascii="Baskerville Old Face" w:eastAsia="Times New Roman" w:hAnsi="Baskerville Old Face" w:cs="Times New Roman"/>
          <w:kern w:val="0"/>
          <w:sz w:val="24"/>
          <w:szCs w:val="24"/>
          <w14:ligatures w14:val="none"/>
        </w:rPr>
        <w:t>the World Customs Organisation (</w:t>
      </w:r>
      <w:r w:rsidRPr="00A25123">
        <w:rPr>
          <w:rFonts w:ascii="Baskerville Old Face" w:eastAsia="Times New Roman" w:hAnsi="Baskerville Old Face" w:cs="Times New Roman"/>
          <w:kern w:val="0"/>
          <w:sz w:val="24"/>
          <w:szCs w:val="24"/>
          <w14:ligatures w14:val="none"/>
        </w:rPr>
        <w:t>WCO</w:t>
      </w:r>
      <w:r w:rsidR="00BB52CD">
        <w:rPr>
          <w:rFonts w:ascii="Baskerville Old Face" w:eastAsia="Times New Roman" w:hAnsi="Baskerville Old Face" w:cs="Times New Roman"/>
          <w:kern w:val="0"/>
          <w:sz w:val="24"/>
          <w:szCs w:val="24"/>
          <w14:ligatures w14:val="none"/>
        </w:rPr>
        <w:t>)</w:t>
      </w:r>
      <w:r w:rsidRPr="00A25123">
        <w:rPr>
          <w:rFonts w:ascii="Baskerville Old Face" w:eastAsia="Times New Roman" w:hAnsi="Baskerville Old Face" w:cs="Times New Roman"/>
          <w:kern w:val="0"/>
          <w:sz w:val="24"/>
          <w:szCs w:val="24"/>
          <w14:ligatures w14:val="none"/>
        </w:rPr>
        <w:t xml:space="preserve"> due to unpaid membership fees, affected ongoing system </w:t>
      </w:r>
      <w:proofErr w:type="spellStart"/>
      <w:r w:rsidRPr="00A25123">
        <w:rPr>
          <w:rFonts w:ascii="Baskerville Old Face" w:eastAsia="Times New Roman" w:hAnsi="Baskerville Old Face" w:cs="Times New Roman"/>
          <w:kern w:val="0"/>
          <w:sz w:val="24"/>
          <w:szCs w:val="24"/>
          <w14:ligatures w14:val="none"/>
        </w:rPr>
        <w:t>optimi</w:t>
      </w:r>
      <w:r w:rsidR="00644633" w:rsidRPr="00A25123">
        <w:rPr>
          <w:rFonts w:ascii="Baskerville Old Face" w:eastAsia="Times New Roman" w:hAnsi="Baskerville Old Face" w:cs="Times New Roman"/>
          <w:kern w:val="0"/>
          <w:sz w:val="24"/>
          <w:szCs w:val="24"/>
          <w14:ligatures w14:val="none"/>
        </w:rPr>
        <w:t>s</w:t>
      </w:r>
      <w:r w:rsidRPr="00A25123">
        <w:rPr>
          <w:rFonts w:ascii="Baskerville Old Face" w:eastAsia="Times New Roman" w:hAnsi="Baskerville Old Face" w:cs="Times New Roman"/>
          <w:kern w:val="0"/>
          <w:sz w:val="24"/>
          <w:szCs w:val="24"/>
          <w14:ligatures w14:val="none"/>
        </w:rPr>
        <w:t>ation</w:t>
      </w:r>
      <w:proofErr w:type="spellEnd"/>
      <w:r w:rsidRPr="00A25123">
        <w:rPr>
          <w:rFonts w:ascii="Baskerville Old Face" w:eastAsia="Times New Roman" w:hAnsi="Baskerville Old Face" w:cs="Times New Roman"/>
          <w:kern w:val="0"/>
          <w:sz w:val="24"/>
          <w:szCs w:val="24"/>
          <w14:ligatures w14:val="none"/>
        </w:rPr>
        <w:t xml:space="preserve"> and reform efforts.</w:t>
      </w:r>
    </w:p>
    <w:p w14:paraId="45AEADE3" w14:textId="03D5F5FB"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Policy and legislative challenges also played a significant role. These included delays in reviewing and implementing Finance Act measures, the non-</w:t>
      </w:r>
      <w:proofErr w:type="spellStart"/>
      <w:r w:rsidRPr="00A25123">
        <w:rPr>
          <w:rFonts w:ascii="Baskerville Old Face" w:eastAsia="Times New Roman" w:hAnsi="Baskerville Old Face" w:cs="Times New Roman"/>
          <w:kern w:val="0"/>
          <w:sz w:val="24"/>
          <w:szCs w:val="24"/>
          <w14:ligatures w14:val="none"/>
        </w:rPr>
        <w:t>operationali</w:t>
      </w:r>
      <w:r w:rsidR="00644633" w:rsidRPr="00A25123">
        <w:rPr>
          <w:rFonts w:ascii="Baskerville Old Face" w:eastAsia="Times New Roman" w:hAnsi="Baskerville Old Face" w:cs="Times New Roman"/>
          <w:kern w:val="0"/>
          <w:sz w:val="24"/>
          <w:szCs w:val="24"/>
          <w14:ligatures w14:val="none"/>
        </w:rPr>
        <w:t>s</w:t>
      </w:r>
      <w:r w:rsidRPr="00A25123">
        <w:rPr>
          <w:rFonts w:ascii="Baskerville Old Face" w:eastAsia="Times New Roman" w:hAnsi="Baskerville Old Face" w:cs="Times New Roman"/>
          <w:kern w:val="0"/>
          <w:sz w:val="24"/>
          <w:szCs w:val="24"/>
          <w14:ligatures w14:val="none"/>
        </w:rPr>
        <w:t>ation</w:t>
      </w:r>
      <w:proofErr w:type="spellEnd"/>
      <w:r w:rsidRPr="00A25123">
        <w:rPr>
          <w:rFonts w:ascii="Baskerville Old Face" w:eastAsia="Times New Roman" w:hAnsi="Baskerville Old Face" w:cs="Times New Roman"/>
          <w:kern w:val="0"/>
          <w:sz w:val="24"/>
          <w:szCs w:val="24"/>
          <w14:ligatures w14:val="none"/>
        </w:rPr>
        <w:t xml:space="preserve"> of the </w:t>
      </w:r>
      <w:r w:rsidR="00822845">
        <w:rPr>
          <w:rFonts w:ascii="Baskerville Old Face" w:eastAsia="Times New Roman" w:hAnsi="Baskerville Old Face" w:cs="Times New Roman"/>
          <w:kern w:val="0"/>
          <w:sz w:val="24"/>
          <w:szCs w:val="24"/>
          <w14:ligatures w14:val="none"/>
        </w:rPr>
        <w:t>r</w:t>
      </w:r>
      <w:r w:rsidRPr="00A25123">
        <w:rPr>
          <w:rFonts w:ascii="Baskerville Old Face" w:eastAsia="Times New Roman" w:hAnsi="Baskerville Old Face" w:cs="Times New Roman"/>
          <w:kern w:val="0"/>
          <w:sz w:val="24"/>
          <w:szCs w:val="24"/>
          <w14:ligatures w14:val="none"/>
        </w:rPr>
        <w:t xml:space="preserve">evenue </w:t>
      </w:r>
      <w:r w:rsidR="00822845">
        <w:rPr>
          <w:rFonts w:ascii="Baskerville Old Face" w:eastAsia="Times New Roman" w:hAnsi="Baskerville Old Face" w:cs="Times New Roman"/>
          <w:kern w:val="0"/>
          <w:sz w:val="24"/>
          <w:szCs w:val="24"/>
          <w14:ligatures w14:val="none"/>
        </w:rPr>
        <w:t>c</w:t>
      </w:r>
      <w:r w:rsidRPr="00A25123">
        <w:rPr>
          <w:rFonts w:ascii="Baskerville Old Face" w:eastAsia="Times New Roman" w:hAnsi="Baskerville Old Face" w:cs="Times New Roman"/>
          <w:kern w:val="0"/>
          <w:sz w:val="24"/>
          <w:szCs w:val="24"/>
          <w14:ligatures w14:val="none"/>
        </w:rPr>
        <w:t>ourt, the limited capacity for legal drafting and international tax negotiations</w:t>
      </w:r>
      <w:r w:rsidR="00130CF4">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 xml:space="preserve">and </w:t>
      </w:r>
      <w:r w:rsidR="00EA4031" w:rsidRPr="00A25123">
        <w:rPr>
          <w:rFonts w:ascii="Baskerville Old Face" w:eastAsia="Times New Roman" w:hAnsi="Baskerville Old Face" w:cs="Times New Roman"/>
          <w:kern w:val="0"/>
          <w:sz w:val="24"/>
          <w:szCs w:val="24"/>
          <w14:ligatures w14:val="none"/>
        </w:rPr>
        <w:t>limited</w:t>
      </w:r>
      <w:r w:rsidRPr="00A25123">
        <w:rPr>
          <w:rFonts w:ascii="Baskerville Old Face" w:eastAsia="Times New Roman" w:hAnsi="Baskerville Old Face" w:cs="Times New Roman"/>
          <w:kern w:val="0"/>
          <w:sz w:val="24"/>
          <w:szCs w:val="24"/>
          <w14:ligatures w14:val="none"/>
        </w:rPr>
        <w:t xml:space="preserve"> capacity for </w:t>
      </w:r>
      <w:r w:rsidR="00A40F32">
        <w:rPr>
          <w:rFonts w:ascii="Baskerville Old Face" w:eastAsia="Times New Roman" w:hAnsi="Baskerville Old Face" w:cs="Times New Roman"/>
          <w:kern w:val="0"/>
          <w:sz w:val="24"/>
          <w:szCs w:val="24"/>
          <w14:ligatures w14:val="none"/>
        </w:rPr>
        <w:t>reform</w:t>
      </w:r>
      <w:r w:rsidRPr="00A25123">
        <w:rPr>
          <w:rFonts w:ascii="Baskerville Old Face" w:eastAsia="Times New Roman" w:hAnsi="Baskerville Old Face" w:cs="Times New Roman"/>
          <w:kern w:val="0"/>
          <w:sz w:val="24"/>
          <w:szCs w:val="24"/>
          <w14:ligatures w14:val="none"/>
        </w:rPr>
        <w:t xml:space="preserve"> management undermined progress in key reform areas.</w:t>
      </w:r>
    </w:p>
    <w:p w14:paraId="5951BB80" w14:textId="7AD9D084" w:rsidR="004A439E" w:rsidRPr="00A25123" w:rsidRDefault="004A439E" w:rsidP="005966A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Finally, public engagement challenges affected stakeholder buy-in. Limited media outreach, the absence of a tax education strategy, and the slow implementation of the Authority’s communication strategy weakened public awareness—particularly at a time when taxpayer cooperation and voluntary compliance are crucial.</w:t>
      </w:r>
    </w:p>
    <w:p w14:paraId="6489DB45" w14:textId="77777777" w:rsidR="004A439E" w:rsidRDefault="004A439E" w:rsidP="00EA4031">
      <w:pPr>
        <w:spacing w:line="360" w:lineRule="auto"/>
        <w:jc w:val="both"/>
        <w:rPr>
          <w:rFonts w:ascii="Baskerville Old Face" w:hAnsi="Baskerville Old Face" w:cs="Times New Roman"/>
          <w:sz w:val="24"/>
          <w:szCs w:val="24"/>
        </w:rPr>
      </w:pPr>
    </w:p>
    <w:p w14:paraId="65E2AED9" w14:textId="77777777" w:rsidR="005966A9" w:rsidRDefault="005966A9" w:rsidP="00EA4031">
      <w:pPr>
        <w:spacing w:line="360" w:lineRule="auto"/>
        <w:jc w:val="both"/>
        <w:rPr>
          <w:rFonts w:ascii="Baskerville Old Face" w:hAnsi="Baskerville Old Face" w:cs="Times New Roman"/>
          <w:sz w:val="24"/>
          <w:szCs w:val="24"/>
        </w:rPr>
      </w:pPr>
    </w:p>
    <w:p w14:paraId="6422C3D7" w14:textId="77777777" w:rsidR="005966A9" w:rsidRDefault="005966A9" w:rsidP="00EA4031">
      <w:pPr>
        <w:spacing w:line="360" w:lineRule="auto"/>
        <w:jc w:val="both"/>
        <w:rPr>
          <w:rFonts w:ascii="Baskerville Old Face" w:hAnsi="Baskerville Old Face" w:cs="Times New Roman"/>
          <w:sz w:val="24"/>
          <w:szCs w:val="24"/>
        </w:rPr>
      </w:pPr>
    </w:p>
    <w:p w14:paraId="180D1F03" w14:textId="77777777" w:rsidR="004D120F" w:rsidRDefault="004D120F" w:rsidP="00EA4031">
      <w:pPr>
        <w:spacing w:line="360" w:lineRule="auto"/>
        <w:jc w:val="both"/>
        <w:rPr>
          <w:rFonts w:ascii="Baskerville Old Face" w:hAnsi="Baskerville Old Face" w:cs="Times New Roman"/>
          <w:sz w:val="24"/>
          <w:szCs w:val="24"/>
        </w:rPr>
      </w:pPr>
    </w:p>
    <w:p w14:paraId="4049838E" w14:textId="77777777" w:rsidR="004D120F" w:rsidRDefault="004D120F" w:rsidP="00EA4031">
      <w:pPr>
        <w:spacing w:line="360" w:lineRule="auto"/>
        <w:jc w:val="both"/>
        <w:rPr>
          <w:rFonts w:ascii="Baskerville Old Face" w:hAnsi="Baskerville Old Face" w:cs="Times New Roman"/>
          <w:sz w:val="24"/>
          <w:szCs w:val="24"/>
        </w:rPr>
      </w:pPr>
    </w:p>
    <w:p w14:paraId="00F82062" w14:textId="77777777" w:rsidR="004D120F" w:rsidRDefault="004D120F" w:rsidP="00EA4031">
      <w:pPr>
        <w:spacing w:line="360" w:lineRule="auto"/>
        <w:jc w:val="both"/>
        <w:rPr>
          <w:rFonts w:ascii="Baskerville Old Face" w:hAnsi="Baskerville Old Face" w:cs="Times New Roman"/>
          <w:sz w:val="24"/>
          <w:szCs w:val="24"/>
        </w:rPr>
      </w:pPr>
    </w:p>
    <w:p w14:paraId="5434C9D2" w14:textId="77777777" w:rsidR="004D120F" w:rsidRDefault="004D120F" w:rsidP="00EA4031">
      <w:pPr>
        <w:spacing w:line="360" w:lineRule="auto"/>
        <w:jc w:val="both"/>
        <w:rPr>
          <w:rFonts w:ascii="Baskerville Old Face" w:hAnsi="Baskerville Old Face" w:cs="Times New Roman"/>
          <w:sz w:val="24"/>
          <w:szCs w:val="24"/>
        </w:rPr>
      </w:pPr>
    </w:p>
    <w:p w14:paraId="1DA9A215" w14:textId="77777777" w:rsidR="004D120F" w:rsidRDefault="004D120F" w:rsidP="00EA4031">
      <w:pPr>
        <w:spacing w:line="360" w:lineRule="auto"/>
        <w:jc w:val="both"/>
        <w:rPr>
          <w:rFonts w:ascii="Baskerville Old Face" w:hAnsi="Baskerville Old Face" w:cs="Times New Roman"/>
          <w:sz w:val="24"/>
          <w:szCs w:val="24"/>
        </w:rPr>
      </w:pPr>
    </w:p>
    <w:p w14:paraId="414547AF" w14:textId="77777777" w:rsidR="00822845" w:rsidRDefault="00822845" w:rsidP="00EA4031">
      <w:pPr>
        <w:spacing w:line="360" w:lineRule="auto"/>
        <w:jc w:val="both"/>
        <w:rPr>
          <w:rFonts w:ascii="Baskerville Old Face" w:hAnsi="Baskerville Old Face" w:cs="Times New Roman"/>
          <w:sz w:val="24"/>
          <w:szCs w:val="24"/>
        </w:rPr>
      </w:pPr>
    </w:p>
    <w:p w14:paraId="6F5C1474" w14:textId="6D04B930" w:rsidR="006B6ADE" w:rsidRPr="00520DD2" w:rsidRDefault="00285F16" w:rsidP="00520DD2">
      <w:pPr>
        <w:pStyle w:val="Heading1"/>
        <w:jc w:val="center"/>
        <w:rPr>
          <w:rFonts w:ascii="Baskerville Old Face" w:hAnsi="Baskerville Old Face"/>
          <w:b/>
          <w:bCs/>
          <w:lang w:val="en-GB"/>
        </w:rPr>
      </w:pPr>
      <w:bookmarkStart w:id="19" w:name="_Toc198043911"/>
      <w:r w:rsidRPr="00520DD2">
        <w:rPr>
          <w:rFonts w:ascii="Baskerville Old Face" w:hAnsi="Baskerville Old Face"/>
          <w:b/>
          <w:bCs/>
          <w:lang w:val="en-GB"/>
        </w:rPr>
        <w:lastRenderedPageBreak/>
        <w:t>CHAPTER TWO</w:t>
      </w:r>
      <w:bookmarkEnd w:id="19"/>
    </w:p>
    <w:p w14:paraId="4D4680B4" w14:textId="1DCC05D9" w:rsidR="006B6ADE" w:rsidRPr="00520DD2" w:rsidRDefault="00395E0D" w:rsidP="00C03BAC">
      <w:pPr>
        <w:pStyle w:val="Heading1"/>
        <w:rPr>
          <w:rFonts w:ascii="Baskerville Old Face" w:eastAsia="Times New Roman" w:hAnsi="Baskerville Old Face"/>
          <w:b/>
          <w:bCs/>
          <w:iCs/>
        </w:rPr>
      </w:pPr>
      <w:bookmarkStart w:id="20" w:name="_Toc198043912"/>
      <w:r w:rsidRPr="00520DD2">
        <w:rPr>
          <w:rFonts w:ascii="Baskerville Old Face" w:eastAsia="Times New Roman" w:hAnsi="Baskerville Old Face"/>
          <w:b/>
          <w:bCs/>
          <w:iCs/>
        </w:rPr>
        <w:t xml:space="preserve">2.0 </w:t>
      </w:r>
      <w:r w:rsidR="00C82318" w:rsidRPr="00520DD2">
        <w:rPr>
          <w:rFonts w:ascii="Baskerville Old Face" w:eastAsia="Times New Roman" w:hAnsi="Baskerville Old Face"/>
          <w:b/>
          <w:bCs/>
          <w:iCs/>
        </w:rPr>
        <w:t>REVENUE AND DUTY-WAIVER PERFORMANCE</w:t>
      </w:r>
      <w:bookmarkEnd w:id="20"/>
    </w:p>
    <w:p w14:paraId="501A177E" w14:textId="1185ED6C" w:rsidR="002A15BC" w:rsidRPr="002A15BC" w:rsidRDefault="002A15BC" w:rsidP="00FE20B1">
      <w:pPr>
        <w:spacing w:line="276"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In this chapter, the performance of revenue and duty waivers is examined, covering various aspects. A comparative analysis of revenue performance between 202</w:t>
      </w:r>
      <w:r w:rsidR="007F39A4">
        <w:rPr>
          <w:rFonts w:ascii="Baskerville Old Face" w:hAnsi="Baskerville Old Face" w:cs="Times New Roman"/>
          <w:sz w:val="24"/>
          <w:szCs w:val="24"/>
        </w:rPr>
        <w:t>3</w:t>
      </w:r>
      <w:r w:rsidRPr="002A15BC">
        <w:rPr>
          <w:rFonts w:ascii="Baskerville Old Face" w:hAnsi="Baskerville Old Face" w:cs="Times New Roman"/>
          <w:sz w:val="24"/>
          <w:szCs w:val="24"/>
        </w:rPr>
        <w:t xml:space="preserve"> and 202</w:t>
      </w:r>
      <w:r w:rsidR="007F39A4">
        <w:rPr>
          <w:rFonts w:ascii="Baskerville Old Face" w:hAnsi="Baskerville Old Face" w:cs="Times New Roman"/>
          <w:sz w:val="24"/>
          <w:szCs w:val="24"/>
        </w:rPr>
        <w:t>4</w:t>
      </w:r>
      <w:r w:rsidRPr="002A15BC">
        <w:rPr>
          <w:rFonts w:ascii="Baskerville Old Face" w:hAnsi="Baskerville Old Face" w:cs="Times New Roman"/>
          <w:sz w:val="24"/>
          <w:szCs w:val="24"/>
        </w:rPr>
        <w:t xml:space="preserve"> is conducted, alongside an examination of quarterly revenue collection trends throughout the fiscal year. Additionally, the evaluation of revenue performance against targets and the exploration of challenges faced in revenue mobili</w:t>
      </w:r>
      <w:r w:rsidR="00EA6657">
        <w:rPr>
          <w:rFonts w:ascii="Baskerville Old Face" w:hAnsi="Baskerville Old Face" w:cs="Times New Roman"/>
          <w:sz w:val="24"/>
          <w:szCs w:val="24"/>
        </w:rPr>
        <w:t>s</w:t>
      </w:r>
      <w:r w:rsidRPr="002A15BC">
        <w:rPr>
          <w:rFonts w:ascii="Baskerville Old Face" w:hAnsi="Baskerville Old Face" w:cs="Times New Roman"/>
          <w:sz w:val="24"/>
          <w:szCs w:val="24"/>
        </w:rPr>
        <w:t xml:space="preserve">ation aim to unveil the underlying reasons for the observed performance. </w:t>
      </w:r>
    </w:p>
    <w:p w14:paraId="7BC8506C" w14:textId="6B9DA9CD" w:rsidR="006B6ADE" w:rsidRPr="00285F16" w:rsidRDefault="002A15BC" w:rsidP="00FE20B1">
      <w:pPr>
        <w:spacing w:line="276"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Furthermore, this chapter delves into a comparative analysis of duty-free performance between 202</w:t>
      </w:r>
      <w:r w:rsidR="007F39A4">
        <w:rPr>
          <w:rFonts w:ascii="Baskerville Old Face" w:hAnsi="Baskerville Old Face" w:cs="Times New Roman"/>
          <w:sz w:val="24"/>
          <w:szCs w:val="24"/>
        </w:rPr>
        <w:t>3</w:t>
      </w:r>
      <w:r w:rsidRPr="002A15BC">
        <w:rPr>
          <w:rFonts w:ascii="Baskerville Old Face" w:hAnsi="Baskerville Old Face" w:cs="Times New Roman"/>
          <w:sz w:val="24"/>
          <w:szCs w:val="24"/>
        </w:rPr>
        <w:t xml:space="preserve"> and 202</w:t>
      </w:r>
      <w:r w:rsidR="007F39A4">
        <w:rPr>
          <w:rFonts w:ascii="Baskerville Old Face" w:hAnsi="Baskerville Old Face" w:cs="Times New Roman"/>
          <w:sz w:val="24"/>
          <w:szCs w:val="24"/>
        </w:rPr>
        <w:t>4</w:t>
      </w:r>
      <w:r w:rsidRPr="002A15BC">
        <w:rPr>
          <w:rFonts w:ascii="Baskerville Old Face" w:hAnsi="Baskerville Old Face" w:cs="Times New Roman"/>
          <w:sz w:val="24"/>
          <w:szCs w:val="24"/>
        </w:rPr>
        <w:t>, identifying shifts and trends. To provide a comprehensive understanding, the 202</w:t>
      </w:r>
      <w:r w:rsidR="007F39A4">
        <w:rPr>
          <w:rFonts w:ascii="Baskerville Old Face" w:hAnsi="Baskerville Old Face" w:cs="Times New Roman"/>
          <w:sz w:val="24"/>
          <w:szCs w:val="24"/>
        </w:rPr>
        <w:t>4</w:t>
      </w:r>
      <w:r w:rsidRPr="002A15BC">
        <w:rPr>
          <w:rFonts w:ascii="Baskerville Old Face" w:hAnsi="Baskerville Old Face" w:cs="Times New Roman"/>
          <w:sz w:val="24"/>
          <w:szCs w:val="24"/>
        </w:rPr>
        <w:t xml:space="preserve"> revenue performance is </w:t>
      </w:r>
      <w:proofErr w:type="spellStart"/>
      <w:r w:rsidRPr="002A15BC">
        <w:rPr>
          <w:rFonts w:ascii="Baskerville Old Face" w:hAnsi="Baskerville Old Face" w:cs="Times New Roman"/>
          <w:sz w:val="24"/>
          <w:szCs w:val="24"/>
        </w:rPr>
        <w:t>contextuali</w:t>
      </w:r>
      <w:r w:rsidR="00F74994">
        <w:rPr>
          <w:rFonts w:ascii="Baskerville Old Face" w:hAnsi="Baskerville Old Face" w:cs="Times New Roman"/>
          <w:sz w:val="24"/>
          <w:szCs w:val="24"/>
        </w:rPr>
        <w:t>s</w:t>
      </w:r>
      <w:r w:rsidRPr="002A15BC">
        <w:rPr>
          <w:rFonts w:ascii="Baskerville Old Face" w:hAnsi="Baskerville Old Face" w:cs="Times New Roman"/>
          <w:sz w:val="24"/>
          <w:szCs w:val="24"/>
        </w:rPr>
        <w:t>ed</w:t>
      </w:r>
      <w:proofErr w:type="spellEnd"/>
      <w:r w:rsidRPr="002A15BC">
        <w:rPr>
          <w:rFonts w:ascii="Baskerville Old Face" w:hAnsi="Baskerville Old Face" w:cs="Times New Roman"/>
          <w:sz w:val="24"/>
          <w:szCs w:val="24"/>
        </w:rPr>
        <w:t xml:space="preserve"> within a broader historical perspective, assessing revenue performance </w:t>
      </w:r>
      <w:r w:rsidRPr="008C3D0F">
        <w:rPr>
          <w:rFonts w:ascii="Baskerville Old Face" w:hAnsi="Baskerville Old Face" w:cs="Times New Roman"/>
          <w:sz w:val="24"/>
          <w:szCs w:val="24"/>
        </w:rPr>
        <w:t>over the past five years</w:t>
      </w:r>
      <w:r w:rsidRPr="002A15BC">
        <w:rPr>
          <w:rFonts w:ascii="Baskerville Old Face" w:hAnsi="Baskerville Old Face" w:cs="Times New Roman"/>
          <w:sz w:val="24"/>
          <w:szCs w:val="24"/>
        </w:rPr>
        <w:t>.</w:t>
      </w:r>
    </w:p>
    <w:p w14:paraId="3B9D691C" w14:textId="3C238779" w:rsidR="00F72C71" w:rsidRPr="00520DD2" w:rsidRDefault="00395E0D" w:rsidP="00C03BAC">
      <w:pPr>
        <w:pStyle w:val="Heading2"/>
        <w:rPr>
          <w:rFonts w:ascii="Baskerville Old Face" w:hAnsi="Baskerville Old Face"/>
          <w:b/>
          <w:bCs/>
        </w:rPr>
      </w:pPr>
      <w:bookmarkStart w:id="21" w:name="_Toc198043913"/>
      <w:r w:rsidRPr="00520DD2">
        <w:rPr>
          <w:rFonts w:ascii="Baskerville Old Face" w:hAnsi="Baskerville Old Face"/>
          <w:b/>
          <w:bCs/>
        </w:rPr>
        <w:t xml:space="preserve">2.1 </w:t>
      </w:r>
      <w:r w:rsidR="00F72C71" w:rsidRPr="00520DD2">
        <w:rPr>
          <w:rFonts w:ascii="Baskerville Old Face" w:hAnsi="Baskerville Old Face"/>
          <w:b/>
          <w:bCs/>
        </w:rPr>
        <w:t>OVERVIEW OF REVENUE TARGETS IN 202</w:t>
      </w:r>
      <w:r w:rsidR="002441D0" w:rsidRPr="00520DD2">
        <w:rPr>
          <w:rFonts w:ascii="Baskerville Old Face" w:hAnsi="Baskerville Old Face"/>
          <w:b/>
          <w:bCs/>
        </w:rPr>
        <w:t>4</w:t>
      </w:r>
      <w:bookmarkEnd w:id="21"/>
    </w:p>
    <w:p w14:paraId="4A31BFEF" w14:textId="77777777" w:rsidR="00932802" w:rsidRPr="00932802" w:rsidRDefault="00932802" w:rsidP="00932802">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932802">
        <w:rPr>
          <w:rFonts w:ascii="Baskerville Old Face" w:eastAsia="Times New Roman" w:hAnsi="Baskerville Old Face" w:cs="Times New Roman"/>
          <w:kern w:val="0"/>
          <w:sz w:val="24"/>
          <w:szCs w:val="24"/>
          <w14:ligatures w14:val="none"/>
        </w:rPr>
        <w:t xml:space="preserve">The initial 2024 national budget projected an annual revenue target of </w:t>
      </w:r>
      <w:proofErr w:type="spellStart"/>
      <w:r w:rsidRPr="00932802">
        <w:rPr>
          <w:rFonts w:ascii="Baskerville Old Face" w:eastAsia="Times New Roman" w:hAnsi="Baskerville Old Face" w:cs="Times New Roman"/>
          <w:kern w:val="0"/>
          <w:sz w:val="24"/>
          <w:szCs w:val="24"/>
          <w14:ligatures w14:val="none"/>
        </w:rPr>
        <w:t>NLe</w:t>
      </w:r>
      <w:proofErr w:type="spellEnd"/>
      <w:r w:rsidRPr="00932802">
        <w:rPr>
          <w:rFonts w:ascii="Baskerville Old Face" w:eastAsia="Times New Roman" w:hAnsi="Baskerville Old Face" w:cs="Times New Roman"/>
          <w:kern w:val="0"/>
          <w:sz w:val="24"/>
          <w:szCs w:val="24"/>
          <w14:ligatures w14:val="none"/>
        </w:rPr>
        <w:t xml:space="preserve"> 14.972 billion. Following the preliminary discussions in April 2024 regarding a new Extended Credit Facility (ECF) for Sierra Leone, the target was slightly revised downward to </w:t>
      </w:r>
      <w:proofErr w:type="spellStart"/>
      <w:r w:rsidRPr="00932802">
        <w:rPr>
          <w:rFonts w:ascii="Baskerville Old Face" w:eastAsia="Times New Roman" w:hAnsi="Baskerville Old Face" w:cs="Times New Roman"/>
          <w:kern w:val="0"/>
          <w:sz w:val="24"/>
          <w:szCs w:val="24"/>
          <w14:ligatures w14:val="none"/>
        </w:rPr>
        <w:t>NLe</w:t>
      </w:r>
      <w:proofErr w:type="spellEnd"/>
      <w:r w:rsidRPr="00932802">
        <w:rPr>
          <w:rFonts w:ascii="Baskerville Old Face" w:eastAsia="Times New Roman" w:hAnsi="Baskerville Old Face" w:cs="Times New Roman"/>
          <w:kern w:val="0"/>
          <w:sz w:val="24"/>
          <w:szCs w:val="24"/>
          <w14:ligatures w14:val="none"/>
        </w:rPr>
        <w:t xml:space="preserve"> 14.595 billion—a reduction of </w:t>
      </w:r>
      <w:proofErr w:type="spellStart"/>
      <w:r w:rsidRPr="00932802">
        <w:rPr>
          <w:rFonts w:ascii="Baskerville Old Face" w:eastAsia="Times New Roman" w:hAnsi="Baskerville Old Face" w:cs="Times New Roman"/>
          <w:kern w:val="0"/>
          <w:sz w:val="24"/>
          <w:szCs w:val="24"/>
          <w14:ligatures w14:val="none"/>
        </w:rPr>
        <w:t>NLe</w:t>
      </w:r>
      <w:proofErr w:type="spellEnd"/>
      <w:r w:rsidRPr="00932802">
        <w:rPr>
          <w:rFonts w:ascii="Baskerville Old Face" w:eastAsia="Times New Roman" w:hAnsi="Baskerville Old Face" w:cs="Times New Roman"/>
          <w:kern w:val="0"/>
          <w:sz w:val="24"/>
          <w:szCs w:val="24"/>
          <w14:ligatures w14:val="none"/>
        </w:rPr>
        <w:t xml:space="preserve"> 377 million, or approximately 3%.</w:t>
      </w:r>
    </w:p>
    <w:p w14:paraId="719D136E" w14:textId="2CF81A4E" w:rsidR="00932802" w:rsidRPr="00932802" w:rsidRDefault="00932802" w:rsidP="00932802">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932802">
        <w:rPr>
          <w:rFonts w:ascii="Baskerville Old Face" w:eastAsia="Times New Roman" w:hAnsi="Baskerville Old Face" w:cs="Times New Roman"/>
          <w:kern w:val="0"/>
          <w:sz w:val="24"/>
          <w:szCs w:val="24"/>
          <w14:ligatures w14:val="none"/>
        </w:rPr>
        <w:t>Subsequently, during the September 2024</w:t>
      </w:r>
      <w:r w:rsidR="00315314">
        <w:rPr>
          <w:rFonts w:ascii="Baskerville Old Face" w:eastAsia="Times New Roman" w:hAnsi="Baskerville Old Face" w:cs="Times New Roman"/>
          <w:kern w:val="0"/>
          <w:sz w:val="24"/>
          <w:szCs w:val="24"/>
          <w14:ligatures w14:val="none"/>
        </w:rPr>
        <w:t xml:space="preserve"> </w:t>
      </w:r>
      <w:r w:rsidRPr="00932802">
        <w:rPr>
          <w:rFonts w:ascii="Baskerville Old Face" w:eastAsia="Times New Roman" w:hAnsi="Baskerville Old Face" w:cs="Times New Roman"/>
          <w:kern w:val="0"/>
          <w:sz w:val="24"/>
          <w:szCs w:val="24"/>
          <w14:ligatures w14:val="none"/>
        </w:rPr>
        <w:t xml:space="preserve">ECF discussions, the revenue target was modestly adjusted upward to </w:t>
      </w:r>
      <w:proofErr w:type="spellStart"/>
      <w:r w:rsidRPr="00932802">
        <w:rPr>
          <w:rFonts w:ascii="Baskerville Old Face" w:eastAsia="Times New Roman" w:hAnsi="Baskerville Old Face" w:cs="Times New Roman"/>
          <w:kern w:val="0"/>
          <w:sz w:val="24"/>
          <w:szCs w:val="24"/>
          <w14:ligatures w14:val="none"/>
        </w:rPr>
        <w:t>NLe</w:t>
      </w:r>
      <w:proofErr w:type="spellEnd"/>
      <w:r w:rsidRPr="00932802">
        <w:rPr>
          <w:rFonts w:ascii="Baskerville Old Face" w:eastAsia="Times New Roman" w:hAnsi="Baskerville Old Face" w:cs="Times New Roman"/>
          <w:kern w:val="0"/>
          <w:sz w:val="24"/>
          <w:szCs w:val="24"/>
          <w14:ligatures w14:val="none"/>
        </w:rPr>
        <w:t xml:space="preserve"> 14.690 billion. This represents a net reduction of </w:t>
      </w:r>
      <w:proofErr w:type="spellStart"/>
      <w:r w:rsidRPr="00932802">
        <w:rPr>
          <w:rFonts w:ascii="Baskerville Old Face" w:eastAsia="Times New Roman" w:hAnsi="Baskerville Old Face" w:cs="Times New Roman"/>
          <w:kern w:val="0"/>
          <w:sz w:val="24"/>
          <w:szCs w:val="24"/>
          <w14:ligatures w14:val="none"/>
        </w:rPr>
        <w:t>NLe</w:t>
      </w:r>
      <w:proofErr w:type="spellEnd"/>
      <w:r w:rsidRPr="00932802">
        <w:rPr>
          <w:rFonts w:ascii="Baskerville Old Face" w:eastAsia="Times New Roman" w:hAnsi="Baskerville Old Face" w:cs="Times New Roman"/>
          <w:kern w:val="0"/>
          <w:sz w:val="24"/>
          <w:szCs w:val="24"/>
          <w14:ligatures w14:val="none"/>
        </w:rPr>
        <w:t xml:space="preserve"> 282 million, or about 2%, </w:t>
      </w:r>
      <w:r>
        <w:rPr>
          <w:rFonts w:ascii="Baskerville Old Face" w:eastAsia="Times New Roman" w:hAnsi="Baskerville Old Face" w:cs="Times New Roman"/>
          <w:kern w:val="0"/>
          <w:sz w:val="24"/>
          <w:szCs w:val="24"/>
          <w14:ligatures w14:val="none"/>
        </w:rPr>
        <w:t>from</w:t>
      </w:r>
      <w:r w:rsidRPr="00932802">
        <w:rPr>
          <w:rFonts w:ascii="Baskerville Old Face" w:eastAsia="Times New Roman" w:hAnsi="Baskerville Old Face" w:cs="Times New Roman"/>
          <w:kern w:val="0"/>
          <w:sz w:val="24"/>
          <w:szCs w:val="24"/>
          <w14:ligatures w14:val="none"/>
        </w:rPr>
        <w:t xml:space="preserve"> the original </w:t>
      </w:r>
      <w:r>
        <w:rPr>
          <w:rFonts w:ascii="Baskerville Old Face" w:eastAsia="Times New Roman" w:hAnsi="Baskerville Old Face" w:cs="Times New Roman"/>
          <w:kern w:val="0"/>
          <w:sz w:val="24"/>
          <w:szCs w:val="24"/>
          <w14:ligatures w14:val="none"/>
        </w:rPr>
        <w:t>target</w:t>
      </w:r>
      <w:r w:rsidRPr="00932802">
        <w:rPr>
          <w:rFonts w:ascii="Baskerville Old Face" w:eastAsia="Times New Roman" w:hAnsi="Baskerville Old Face" w:cs="Times New Roman"/>
          <w:kern w:val="0"/>
          <w:sz w:val="24"/>
          <w:szCs w:val="24"/>
          <w14:ligatures w14:val="none"/>
        </w:rPr>
        <w:t>.</w:t>
      </w:r>
    </w:p>
    <w:p w14:paraId="31FF5A79" w14:textId="44C436E4" w:rsidR="00932802" w:rsidRPr="00932802" w:rsidRDefault="00932802"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932802">
        <w:rPr>
          <w:rFonts w:ascii="Baskerville Old Face" w:eastAsia="Times New Roman" w:hAnsi="Baskerville Old Face" w:cs="Times New Roman"/>
          <w:kern w:val="0"/>
          <w:sz w:val="24"/>
          <w:szCs w:val="24"/>
          <w14:ligatures w14:val="none"/>
        </w:rPr>
        <w:t xml:space="preserve">It </w:t>
      </w:r>
      <w:r>
        <w:rPr>
          <w:rFonts w:ascii="Baskerville Old Face" w:eastAsia="Times New Roman" w:hAnsi="Baskerville Old Face" w:cs="Times New Roman"/>
          <w:kern w:val="0"/>
          <w:sz w:val="24"/>
          <w:szCs w:val="24"/>
          <w14:ligatures w14:val="none"/>
        </w:rPr>
        <w:t>should be noted</w:t>
      </w:r>
      <w:r w:rsidRPr="00932802">
        <w:rPr>
          <w:rFonts w:ascii="Baskerville Old Face" w:eastAsia="Times New Roman" w:hAnsi="Baskerville Old Face" w:cs="Times New Roman"/>
          <w:kern w:val="0"/>
          <w:sz w:val="24"/>
          <w:szCs w:val="24"/>
          <w14:ligatures w14:val="none"/>
        </w:rPr>
        <w:t xml:space="preserve"> that certain revenue categories experienced upward revisions in their annual targets, including Petroleum Excise, Mining Royalties and </w:t>
      </w:r>
      <w:proofErr w:type="spellStart"/>
      <w:r w:rsidRPr="00932802">
        <w:rPr>
          <w:rFonts w:ascii="Baskerville Old Face" w:eastAsia="Times New Roman" w:hAnsi="Baskerville Old Face" w:cs="Times New Roman"/>
          <w:kern w:val="0"/>
          <w:sz w:val="24"/>
          <w:szCs w:val="24"/>
          <w14:ligatures w14:val="none"/>
        </w:rPr>
        <w:t>Licences</w:t>
      </w:r>
      <w:proofErr w:type="spellEnd"/>
      <w:r w:rsidRPr="00932802">
        <w:rPr>
          <w:rFonts w:ascii="Baskerville Old Face" w:eastAsia="Times New Roman" w:hAnsi="Baskerville Old Face" w:cs="Times New Roman"/>
          <w:kern w:val="0"/>
          <w:sz w:val="24"/>
          <w:szCs w:val="24"/>
          <w14:ligatures w14:val="none"/>
        </w:rPr>
        <w:t>, Parastatal Dividends, and Treasury Single Account (TSA) receipts. Conversely, downward adjustments were made to the targets for Goods and Services Tax (GST), Import Duty, Import Excise, and Fisheries revenue.</w:t>
      </w:r>
    </w:p>
    <w:p w14:paraId="0B4251DF" w14:textId="167448DE" w:rsidR="006B6ADE" w:rsidRPr="00520DD2" w:rsidRDefault="00395E0D" w:rsidP="00C03BAC">
      <w:pPr>
        <w:pStyle w:val="Heading2"/>
        <w:rPr>
          <w:rFonts w:ascii="Baskerville Old Face" w:hAnsi="Baskerville Old Face"/>
          <w:b/>
          <w:bCs/>
        </w:rPr>
      </w:pPr>
      <w:bookmarkStart w:id="22" w:name="_Toc198043914"/>
      <w:r w:rsidRPr="00520DD2">
        <w:rPr>
          <w:rFonts w:ascii="Baskerville Old Face" w:hAnsi="Baskerville Old Face"/>
          <w:b/>
          <w:bCs/>
        </w:rPr>
        <w:t xml:space="preserve">2.2 </w:t>
      </w:r>
      <w:r w:rsidR="006B6ADE" w:rsidRPr="00520DD2">
        <w:rPr>
          <w:rFonts w:ascii="Baskerville Old Face" w:hAnsi="Baskerville Old Face"/>
          <w:b/>
          <w:bCs/>
        </w:rPr>
        <w:t>REVENUE PERFORMANCE IN 202</w:t>
      </w:r>
      <w:r w:rsidR="00732D8E" w:rsidRPr="00520DD2">
        <w:rPr>
          <w:rFonts w:ascii="Baskerville Old Face" w:hAnsi="Baskerville Old Face"/>
          <w:b/>
          <w:bCs/>
        </w:rPr>
        <w:t>4</w:t>
      </w:r>
      <w:bookmarkEnd w:id="22"/>
    </w:p>
    <w:p w14:paraId="1AF0FDEB" w14:textId="072DD63F" w:rsidR="0045055F" w:rsidRPr="00520DD2" w:rsidRDefault="00520DD2" w:rsidP="00C03BAC">
      <w:pPr>
        <w:pStyle w:val="Heading3"/>
        <w:rPr>
          <w:rFonts w:ascii="Baskerville Old Face" w:hAnsi="Baskerville Old Face"/>
          <w:b/>
          <w:bCs/>
        </w:rPr>
      </w:pPr>
      <w:bookmarkStart w:id="23" w:name="_Toc198043915"/>
      <w:bookmarkStart w:id="24" w:name="_Hlk158190382"/>
      <w:r>
        <w:rPr>
          <w:rFonts w:ascii="Baskerville Old Face" w:hAnsi="Baskerville Old Face"/>
          <w:b/>
          <w:bCs/>
        </w:rPr>
        <w:t xml:space="preserve">2.2.1 </w:t>
      </w:r>
      <w:r w:rsidR="0045055F" w:rsidRPr="00520DD2">
        <w:rPr>
          <w:rFonts w:ascii="Baskerville Old Face" w:hAnsi="Baskerville Old Face"/>
          <w:b/>
          <w:bCs/>
        </w:rPr>
        <w:t>Revenue Performance in 202</w:t>
      </w:r>
      <w:r w:rsidR="00CC4DB2" w:rsidRPr="00520DD2">
        <w:rPr>
          <w:rFonts w:ascii="Baskerville Old Face" w:hAnsi="Baskerville Old Face"/>
          <w:b/>
          <w:bCs/>
        </w:rPr>
        <w:t>4</w:t>
      </w:r>
      <w:r w:rsidR="0045055F" w:rsidRPr="00520DD2">
        <w:rPr>
          <w:rFonts w:ascii="Baskerville Old Face" w:hAnsi="Baskerville Old Face"/>
          <w:b/>
          <w:bCs/>
        </w:rPr>
        <w:t xml:space="preserve"> Compared to 202</w:t>
      </w:r>
      <w:r w:rsidR="00CC4DB2" w:rsidRPr="00520DD2">
        <w:rPr>
          <w:rFonts w:ascii="Baskerville Old Face" w:hAnsi="Baskerville Old Face"/>
          <w:b/>
          <w:bCs/>
        </w:rPr>
        <w:t>3</w:t>
      </w:r>
      <w:bookmarkEnd w:id="23"/>
    </w:p>
    <w:bookmarkEnd w:id="24"/>
    <w:p w14:paraId="2A649E0B" w14:textId="77777777" w:rsidR="00146FB9" w:rsidRPr="00182E9F" w:rsidRDefault="00146FB9" w:rsidP="00146FB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182E9F">
        <w:rPr>
          <w:rFonts w:ascii="Baskerville Old Face" w:eastAsia="Times New Roman" w:hAnsi="Baskerville Old Face" w:cs="Times New Roman"/>
          <w:kern w:val="0"/>
          <w:sz w:val="24"/>
          <w:szCs w:val="24"/>
          <w14:ligatures w14:val="none"/>
        </w:rPr>
        <w:t xml:space="preserve">The 2024 revenue performance shows robust overall growth across most revenue streams, with particularly strong gains in petroleum excise, income tax, and non-tax revenues. While Import GST and Parastatal Dividends declined slightly, their impact was offset by strong performance in nearly all other categories. </w:t>
      </w:r>
    </w:p>
    <w:p w14:paraId="561A276A" w14:textId="12672003" w:rsidR="00146FB9" w:rsidRPr="00A25123" w:rsidRDefault="00742F5E" w:rsidP="00146FB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Total domestic revenue collected in 2024 amounted to Le 14.56</w:t>
      </w:r>
      <w:r w:rsidR="006D4FA1">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billion, reflecting an increase of Le 4.46</w:t>
      </w:r>
      <w:r w:rsidR="006D4FA1">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billion compared to the Le 10.10</w:t>
      </w:r>
      <w:r w:rsidR="006D4FA1">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billion recorded in 2023. This represents a strong year-on-year growth of 44.2%.</w:t>
      </w:r>
      <w:r w:rsidR="00146FB9" w:rsidRPr="00A25123">
        <w:rPr>
          <w:rFonts w:ascii="Times New Roman" w:eastAsia="Times New Roman" w:hAnsi="Times New Roman" w:cs="Times New Roman"/>
          <w:kern w:val="0"/>
          <w:sz w:val="24"/>
          <w:szCs w:val="24"/>
          <w14:ligatures w14:val="none"/>
        </w:rPr>
        <w:t xml:space="preserve"> </w:t>
      </w:r>
    </w:p>
    <w:p w14:paraId="3A4FF82D" w14:textId="041358B3" w:rsidR="00742F5E" w:rsidRPr="00A25123" w:rsidRDefault="00742F5E" w:rsidP="00146FB9">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lastRenderedPageBreak/>
        <w:t>A notable contributor to this performance was the Le 1.74</w:t>
      </w:r>
      <w:r w:rsidR="006D4FA1">
        <w:rPr>
          <w:rFonts w:ascii="Baskerville Old Face" w:eastAsia="Times New Roman" w:hAnsi="Baskerville Old Face" w:cs="Times New Roman"/>
          <w:kern w:val="0"/>
          <w:sz w:val="24"/>
          <w:szCs w:val="24"/>
          <w14:ligatures w14:val="none"/>
        </w:rPr>
        <w:t>3</w:t>
      </w:r>
      <w:r w:rsidRPr="00A25123">
        <w:rPr>
          <w:rFonts w:ascii="Baskerville Old Face" w:eastAsia="Times New Roman" w:hAnsi="Baskerville Old Face" w:cs="Times New Roman"/>
          <w:kern w:val="0"/>
          <w:sz w:val="24"/>
          <w:szCs w:val="24"/>
          <w14:ligatures w14:val="none"/>
        </w:rPr>
        <w:t xml:space="preserve"> billion increase in Income Tax, which rose from Le 3.99</w:t>
      </w:r>
      <w:r w:rsidR="006D4FA1">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billion in 2023 to Le 5.73</w:t>
      </w:r>
      <w:r w:rsidR="006D4FA1">
        <w:rPr>
          <w:rFonts w:ascii="Baskerville Old Face" w:eastAsia="Times New Roman" w:hAnsi="Baskerville Old Face" w:cs="Times New Roman"/>
          <w:kern w:val="0"/>
          <w:sz w:val="24"/>
          <w:szCs w:val="24"/>
          <w14:ligatures w14:val="none"/>
        </w:rPr>
        <w:t>4</w:t>
      </w:r>
      <w:r w:rsidRPr="00A25123">
        <w:rPr>
          <w:rFonts w:ascii="Baskerville Old Face" w:eastAsia="Times New Roman" w:hAnsi="Baskerville Old Face" w:cs="Times New Roman"/>
          <w:kern w:val="0"/>
          <w:sz w:val="24"/>
          <w:szCs w:val="24"/>
          <w14:ligatures w14:val="none"/>
        </w:rPr>
        <w:t xml:space="preserve"> billion in 2024, representing a growth rate of 43.7%. This was complemented by a Le 233.57</w:t>
      </w:r>
      <w:r w:rsidR="006D4FA1">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million increase in Domestic GST, which recorded a growth of 23.6% over the previous year.</w:t>
      </w:r>
      <w:r w:rsidR="008D2F52"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Import GST, however, declined slightly by Le 22.4</w:t>
      </w:r>
      <w:r w:rsidR="006D4FA1">
        <w:rPr>
          <w:rFonts w:ascii="Baskerville Old Face" w:eastAsia="Times New Roman" w:hAnsi="Baskerville Old Face" w:cs="Times New Roman"/>
          <w:kern w:val="0"/>
          <w:sz w:val="24"/>
          <w:szCs w:val="24"/>
          <w14:ligatures w14:val="none"/>
        </w:rPr>
        <w:t>38</w:t>
      </w:r>
      <w:r w:rsidRPr="00A25123">
        <w:rPr>
          <w:rFonts w:ascii="Baskerville Old Face" w:eastAsia="Times New Roman" w:hAnsi="Baskerville Old Face" w:cs="Times New Roman"/>
          <w:kern w:val="0"/>
          <w:sz w:val="24"/>
          <w:szCs w:val="24"/>
          <w14:ligatures w14:val="none"/>
        </w:rPr>
        <w:t xml:space="preserve"> million, moving from Le 1.1</w:t>
      </w:r>
      <w:r w:rsidR="006D4FA1">
        <w:rPr>
          <w:rFonts w:ascii="Baskerville Old Face" w:eastAsia="Times New Roman" w:hAnsi="Baskerville Old Face" w:cs="Times New Roman"/>
          <w:kern w:val="0"/>
          <w:sz w:val="24"/>
          <w:szCs w:val="24"/>
          <w14:ligatures w14:val="none"/>
        </w:rPr>
        <w:t>06</w:t>
      </w:r>
      <w:r w:rsidRPr="00A25123">
        <w:rPr>
          <w:rFonts w:ascii="Baskerville Old Face" w:eastAsia="Times New Roman" w:hAnsi="Baskerville Old Face" w:cs="Times New Roman"/>
          <w:kern w:val="0"/>
          <w:sz w:val="24"/>
          <w:szCs w:val="24"/>
          <w14:ligatures w14:val="none"/>
        </w:rPr>
        <w:t xml:space="preserve"> billion in 2023 to Le 1.08</w:t>
      </w:r>
      <w:r w:rsidR="006D4FA1">
        <w:rPr>
          <w:rFonts w:ascii="Baskerville Old Face" w:eastAsia="Times New Roman" w:hAnsi="Baskerville Old Face" w:cs="Times New Roman"/>
          <w:kern w:val="0"/>
          <w:sz w:val="24"/>
          <w:szCs w:val="24"/>
          <w14:ligatures w14:val="none"/>
        </w:rPr>
        <w:t>3</w:t>
      </w:r>
      <w:r w:rsidRPr="00A25123">
        <w:rPr>
          <w:rFonts w:ascii="Baskerville Old Face" w:eastAsia="Times New Roman" w:hAnsi="Baskerville Old Face" w:cs="Times New Roman"/>
          <w:kern w:val="0"/>
          <w:sz w:val="24"/>
          <w:szCs w:val="24"/>
          <w14:ligatures w14:val="none"/>
        </w:rPr>
        <w:t xml:space="preserve"> billion in 2024, showing a -2.0% change. Despite this drop, overall GST revenue still grew by 10.1%, with a total increase of Le 211.13</w:t>
      </w:r>
      <w:r w:rsidR="006D4FA1">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million.</w:t>
      </w:r>
    </w:p>
    <w:p w14:paraId="34143994" w14:textId="39066210" w:rsidR="00742F5E" w:rsidRPr="00A25123" w:rsidRDefault="00742F5E" w:rsidP="00742F5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Another significant increase was recorded in Excise on Petroleum, which grew by Le 1.</w:t>
      </w:r>
      <w:r w:rsidR="006D4FA1">
        <w:rPr>
          <w:rFonts w:ascii="Baskerville Old Face" w:eastAsia="Times New Roman" w:hAnsi="Baskerville Old Face" w:cs="Times New Roman"/>
          <w:kern w:val="0"/>
          <w:sz w:val="24"/>
          <w:szCs w:val="24"/>
          <w14:ligatures w14:val="none"/>
        </w:rPr>
        <w:t>197</w:t>
      </w:r>
      <w:r w:rsidRPr="00A25123">
        <w:rPr>
          <w:rFonts w:ascii="Baskerville Old Face" w:eastAsia="Times New Roman" w:hAnsi="Baskerville Old Face" w:cs="Times New Roman"/>
          <w:kern w:val="0"/>
          <w:sz w:val="24"/>
          <w:szCs w:val="24"/>
          <w14:ligatures w14:val="none"/>
        </w:rPr>
        <w:t xml:space="preserve"> billion—a rise from Le 466.28</w:t>
      </w:r>
      <w:r w:rsidR="006D4FA1">
        <w:rPr>
          <w:rFonts w:ascii="Baskerville Old Face" w:eastAsia="Times New Roman" w:hAnsi="Baskerville Old Face" w:cs="Times New Roman"/>
          <w:kern w:val="0"/>
          <w:sz w:val="24"/>
          <w:szCs w:val="24"/>
          <w14:ligatures w14:val="none"/>
        </w:rPr>
        <w:t>4</w:t>
      </w:r>
      <w:r w:rsidRPr="00A25123">
        <w:rPr>
          <w:rFonts w:ascii="Baskerville Old Face" w:eastAsia="Times New Roman" w:hAnsi="Baskerville Old Face" w:cs="Times New Roman"/>
          <w:kern w:val="0"/>
          <w:sz w:val="24"/>
          <w:szCs w:val="24"/>
          <w14:ligatures w14:val="none"/>
        </w:rPr>
        <w:t xml:space="preserve"> million in 2023 to Le 1.66</w:t>
      </w:r>
      <w:r w:rsidR="005006DA">
        <w:rPr>
          <w:rFonts w:ascii="Baskerville Old Face" w:eastAsia="Times New Roman" w:hAnsi="Baskerville Old Face" w:cs="Times New Roman"/>
          <w:kern w:val="0"/>
          <w:sz w:val="24"/>
          <w:szCs w:val="24"/>
          <w14:ligatures w14:val="none"/>
        </w:rPr>
        <w:t>3</w:t>
      </w:r>
      <w:r w:rsidRPr="00A25123">
        <w:rPr>
          <w:rFonts w:ascii="Baskerville Old Face" w:eastAsia="Times New Roman" w:hAnsi="Baskerville Old Face" w:cs="Times New Roman"/>
          <w:kern w:val="0"/>
          <w:sz w:val="24"/>
          <w:szCs w:val="24"/>
          <w14:ligatures w14:val="none"/>
        </w:rPr>
        <w:t xml:space="preserve"> billion in 2024, representing a remarkable growth of 256.7%. Other Excise revenue also increased by Le 45.9</w:t>
      </w:r>
      <w:r w:rsidR="005006DA">
        <w:rPr>
          <w:rFonts w:ascii="Baskerville Old Face" w:eastAsia="Times New Roman" w:hAnsi="Baskerville Old Face" w:cs="Times New Roman"/>
          <w:kern w:val="0"/>
          <w:sz w:val="24"/>
          <w:szCs w:val="24"/>
          <w14:ligatures w14:val="none"/>
        </w:rPr>
        <w:t>17</w:t>
      </w:r>
      <w:r w:rsidRPr="00A25123">
        <w:rPr>
          <w:rFonts w:ascii="Baskerville Old Face" w:eastAsia="Times New Roman" w:hAnsi="Baskerville Old Face" w:cs="Times New Roman"/>
          <w:kern w:val="0"/>
          <w:sz w:val="24"/>
          <w:szCs w:val="24"/>
          <w14:ligatures w14:val="none"/>
        </w:rPr>
        <w:t xml:space="preserve"> million, a 44.7% growth rate.</w:t>
      </w:r>
      <w:r w:rsidR="008D2F52"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Import Duties rose by Le 254.3</w:t>
      </w:r>
      <w:r w:rsidR="005006DA">
        <w:rPr>
          <w:rFonts w:ascii="Baskerville Old Face" w:eastAsia="Times New Roman" w:hAnsi="Baskerville Old Face" w:cs="Times New Roman"/>
          <w:kern w:val="0"/>
          <w:sz w:val="24"/>
          <w:szCs w:val="24"/>
          <w14:ligatures w14:val="none"/>
        </w:rPr>
        <w:t>55</w:t>
      </w:r>
      <w:r w:rsidRPr="00A25123">
        <w:rPr>
          <w:rFonts w:ascii="Baskerville Old Face" w:eastAsia="Times New Roman" w:hAnsi="Baskerville Old Face" w:cs="Times New Roman"/>
          <w:kern w:val="0"/>
          <w:sz w:val="24"/>
          <w:szCs w:val="24"/>
          <w14:ligatures w14:val="none"/>
        </w:rPr>
        <w:t xml:space="preserve"> million, from Le 1.19</w:t>
      </w:r>
      <w:r w:rsidR="005006DA">
        <w:rPr>
          <w:rFonts w:ascii="Baskerville Old Face" w:eastAsia="Times New Roman" w:hAnsi="Baskerville Old Face" w:cs="Times New Roman"/>
          <w:kern w:val="0"/>
          <w:sz w:val="24"/>
          <w:szCs w:val="24"/>
          <w14:ligatures w14:val="none"/>
        </w:rPr>
        <w:t>5</w:t>
      </w:r>
      <w:r w:rsidRPr="00A25123">
        <w:rPr>
          <w:rFonts w:ascii="Baskerville Old Face" w:eastAsia="Times New Roman" w:hAnsi="Baskerville Old Face" w:cs="Times New Roman"/>
          <w:kern w:val="0"/>
          <w:sz w:val="24"/>
          <w:szCs w:val="24"/>
          <w14:ligatures w14:val="none"/>
        </w:rPr>
        <w:t xml:space="preserve"> billion to Le 1.4</w:t>
      </w:r>
      <w:r w:rsidR="005006DA">
        <w:rPr>
          <w:rFonts w:ascii="Baskerville Old Face" w:eastAsia="Times New Roman" w:hAnsi="Baskerville Old Face" w:cs="Times New Roman"/>
          <w:kern w:val="0"/>
          <w:sz w:val="24"/>
          <w:szCs w:val="24"/>
          <w14:ligatures w14:val="none"/>
        </w:rPr>
        <w:t>49</w:t>
      </w:r>
      <w:r w:rsidRPr="00A25123">
        <w:rPr>
          <w:rFonts w:ascii="Baskerville Old Face" w:eastAsia="Times New Roman" w:hAnsi="Baskerville Old Face" w:cs="Times New Roman"/>
          <w:kern w:val="0"/>
          <w:sz w:val="24"/>
          <w:szCs w:val="24"/>
          <w14:ligatures w14:val="none"/>
        </w:rPr>
        <w:t xml:space="preserve"> billion, representing 21.3% growth. Combined, the revenue from import taxes showed notable improvement over 2023 figures, excluding Import GST.</w:t>
      </w:r>
    </w:p>
    <w:p w14:paraId="52394032" w14:textId="033F9BC2" w:rsidR="00742F5E" w:rsidRPr="00A25123" w:rsidRDefault="00742F5E" w:rsidP="00742F5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In the area of non-tax revenue, there was a Le 1.00</w:t>
      </w:r>
      <w:r w:rsidR="004328AE">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billion increase, from Le 2.04</w:t>
      </w:r>
      <w:r w:rsidR="004328AE">
        <w:rPr>
          <w:rFonts w:ascii="Baskerville Old Face" w:eastAsia="Times New Roman" w:hAnsi="Baskerville Old Face" w:cs="Times New Roman"/>
          <w:kern w:val="0"/>
          <w:sz w:val="24"/>
          <w:szCs w:val="24"/>
          <w14:ligatures w14:val="none"/>
        </w:rPr>
        <w:t>2</w:t>
      </w:r>
      <w:r w:rsidRPr="00A25123">
        <w:rPr>
          <w:rFonts w:ascii="Baskerville Old Face" w:eastAsia="Times New Roman" w:hAnsi="Baskerville Old Face" w:cs="Times New Roman"/>
          <w:kern w:val="0"/>
          <w:sz w:val="24"/>
          <w:szCs w:val="24"/>
          <w14:ligatures w14:val="none"/>
        </w:rPr>
        <w:t xml:space="preserve"> billion to Le 3.04</w:t>
      </w:r>
      <w:r w:rsidR="004328AE">
        <w:rPr>
          <w:rFonts w:ascii="Baskerville Old Face" w:eastAsia="Times New Roman" w:hAnsi="Baskerville Old Face" w:cs="Times New Roman"/>
          <w:kern w:val="0"/>
          <w:sz w:val="24"/>
          <w:szCs w:val="24"/>
          <w14:ligatures w14:val="none"/>
        </w:rPr>
        <w:t>3</w:t>
      </w:r>
      <w:r w:rsidRPr="00A25123">
        <w:rPr>
          <w:rFonts w:ascii="Baskerville Old Face" w:eastAsia="Times New Roman" w:hAnsi="Baskerville Old Face" w:cs="Times New Roman"/>
          <w:kern w:val="0"/>
          <w:sz w:val="24"/>
          <w:szCs w:val="24"/>
          <w14:ligatures w14:val="none"/>
        </w:rPr>
        <w:t xml:space="preserve"> billion, representing a 49.0% growth. Within this, revenue from the Mines sector increased by Le 304.0</w:t>
      </w:r>
      <w:r w:rsidR="004328AE">
        <w:rPr>
          <w:rFonts w:ascii="Baskerville Old Face" w:eastAsia="Times New Roman" w:hAnsi="Baskerville Old Face" w:cs="Times New Roman"/>
          <w:kern w:val="0"/>
          <w:sz w:val="24"/>
          <w:szCs w:val="24"/>
          <w14:ligatures w14:val="none"/>
        </w:rPr>
        <w:t>7</w:t>
      </w:r>
      <w:r w:rsidRPr="00A25123">
        <w:rPr>
          <w:rFonts w:ascii="Baskerville Old Face" w:eastAsia="Times New Roman" w:hAnsi="Baskerville Old Face" w:cs="Times New Roman"/>
          <w:kern w:val="0"/>
          <w:sz w:val="24"/>
          <w:szCs w:val="24"/>
          <w14:ligatures w14:val="none"/>
        </w:rPr>
        <w:t>8 million, a 45.3% increase.</w:t>
      </w:r>
      <w:r w:rsidR="008D2F52"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Revenues from Other Departments rose sharply by Le 696.4</w:t>
      </w:r>
      <w:r w:rsidR="004328AE">
        <w:rPr>
          <w:rFonts w:ascii="Baskerville Old Face" w:eastAsia="Times New Roman" w:hAnsi="Baskerville Old Face" w:cs="Times New Roman"/>
          <w:kern w:val="0"/>
          <w:sz w:val="24"/>
          <w:szCs w:val="24"/>
          <w14:ligatures w14:val="none"/>
        </w:rPr>
        <w:t>46</w:t>
      </w:r>
      <w:r w:rsidRPr="00A25123">
        <w:rPr>
          <w:rFonts w:ascii="Baskerville Old Face" w:eastAsia="Times New Roman" w:hAnsi="Baskerville Old Face" w:cs="Times New Roman"/>
          <w:kern w:val="0"/>
          <w:sz w:val="24"/>
          <w:szCs w:val="24"/>
          <w14:ligatures w14:val="none"/>
        </w:rPr>
        <w:t xml:space="preserve"> million, increasing from Le 1.37</w:t>
      </w:r>
      <w:r w:rsidR="004328AE">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billion to Le 2.0</w:t>
      </w:r>
      <w:r w:rsidR="004328AE">
        <w:rPr>
          <w:rFonts w:ascii="Baskerville Old Face" w:eastAsia="Times New Roman" w:hAnsi="Baskerville Old Face" w:cs="Times New Roman"/>
          <w:kern w:val="0"/>
          <w:sz w:val="24"/>
          <w:szCs w:val="24"/>
          <w14:ligatures w14:val="none"/>
        </w:rPr>
        <w:t>6</w:t>
      </w:r>
      <w:r w:rsidRPr="00A25123">
        <w:rPr>
          <w:rFonts w:ascii="Baskerville Old Face" w:eastAsia="Times New Roman" w:hAnsi="Baskerville Old Face" w:cs="Times New Roman"/>
          <w:kern w:val="0"/>
          <w:sz w:val="24"/>
          <w:szCs w:val="24"/>
          <w14:ligatures w14:val="none"/>
        </w:rPr>
        <w:t>7 billion (a 50.8% growth). Meanwhile, Royalty on Fisheries increased by Le 26.6</w:t>
      </w:r>
      <w:r w:rsidR="004328AE">
        <w:rPr>
          <w:rFonts w:ascii="Baskerville Old Face" w:eastAsia="Times New Roman" w:hAnsi="Baskerville Old Face" w:cs="Times New Roman"/>
          <w:kern w:val="0"/>
          <w:sz w:val="24"/>
          <w:szCs w:val="24"/>
          <w14:ligatures w14:val="none"/>
        </w:rPr>
        <w:t>19</w:t>
      </w:r>
      <w:r w:rsidRPr="00A25123">
        <w:rPr>
          <w:rFonts w:ascii="Baskerville Old Face" w:eastAsia="Times New Roman" w:hAnsi="Baskerville Old Face" w:cs="Times New Roman"/>
          <w:kern w:val="0"/>
          <w:sz w:val="24"/>
          <w:szCs w:val="24"/>
          <w14:ligatures w14:val="none"/>
        </w:rPr>
        <w:t xml:space="preserve"> million (a 22.5% increase), but Parastatal Dividends declined slightly by Le 22.31</w:t>
      </w:r>
      <w:r w:rsidR="004328AE">
        <w:rPr>
          <w:rFonts w:ascii="Baskerville Old Face" w:eastAsia="Times New Roman" w:hAnsi="Baskerville Old Face" w:cs="Times New Roman"/>
          <w:kern w:val="0"/>
          <w:sz w:val="24"/>
          <w:szCs w:val="24"/>
          <w14:ligatures w14:val="none"/>
        </w:rPr>
        <w:t>4</w:t>
      </w:r>
      <w:r w:rsidRPr="00A25123">
        <w:rPr>
          <w:rFonts w:ascii="Baskerville Old Face" w:eastAsia="Times New Roman" w:hAnsi="Baskerville Old Face" w:cs="Times New Roman"/>
          <w:kern w:val="0"/>
          <w:sz w:val="24"/>
          <w:szCs w:val="24"/>
          <w14:ligatures w14:val="none"/>
        </w:rPr>
        <w:t xml:space="preserve"> million, recording a -7.1% contraction.</w:t>
      </w:r>
      <w:r w:rsidR="008D2F52"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There was also strong performance in “Other Revenues”, which increased by Le 692.14</w:t>
      </w:r>
      <w:r w:rsidR="004328AE">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million or 73.6%, with TSA revenues up by Le 584.00</w:t>
      </w:r>
      <w:r w:rsidR="004328AE">
        <w:rPr>
          <w:rFonts w:ascii="Baskerville Old Face" w:eastAsia="Times New Roman" w:hAnsi="Baskerville Old Face" w:cs="Times New Roman"/>
          <w:kern w:val="0"/>
          <w:sz w:val="24"/>
          <w:szCs w:val="24"/>
          <w14:ligatures w14:val="none"/>
        </w:rPr>
        <w:t>1</w:t>
      </w:r>
      <w:r w:rsidRPr="00A25123">
        <w:rPr>
          <w:rFonts w:ascii="Baskerville Old Face" w:eastAsia="Times New Roman" w:hAnsi="Baskerville Old Face" w:cs="Times New Roman"/>
          <w:kern w:val="0"/>
          <w:sz w:val="24"/>
          <w:szCs w:val="24"/>
          <w14:ligatures w14:val="none"/>
        </w:rPr>
        <w:t xml:space="preserve"> million (70.6%), Timber up by Le 11.34</w:t>
      </w:r>
      <w:r w:rsidR="004328AE">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million (63.5%), and Other MDAs more than doubling their contribution by Le 96.80</w:t>
      </w:r>
      <w:r w:rsidR="004328AE">
        <w:rPr>
          <w:rFonts w:ascii="Baskerville Old Face" w:eastAsia="Times New Roman" w:hAnsi="Baskerville Old Face" w:cs="Times New Roman"/>
          <w:kern w:val="0"/>
          <w:sz w:val="24"/>
          <w:szCs w:val="24"/>
          <w14:ligatures w14:val="none"/>
        </w:rPr>
        <w:t>0</w:t>
      </w:r>
      <w:r w:rsidRPr="00A25123">
        <w:rPr>
          <w:rFonts w:ascii="Baskerville Old Face" w:eastAsia="Times New Roman" w:hAnsi="Baskerville Old Face" w:cs="Times New Roman"/>
          <w:kern w:val="0"/>
          <w:sz w:val="24"/>
          <w:szCs w:val="24"/>
          <w14:ligatures w14:val="none"/>
        </w:rPr>
        <w:t xml:space="preserve"> million (101.6%).</w:t>
      </w:r>
      <w:r w:rsidR="008E2264" w:rsidRPr="00A25123">
        <w:rPr>
          <w:rFonts w:ascii="Baskerville Old Face" w:eastAsia="Times New Roman" w:hAnsi="Baskerville Old Face" w:cs="Times New Roman"/>
          <w:kern w:val="0"/>
          <w:sz w:val="24"/>
          <w:szCs w:val="24"/>
          <w14:ligatures w14:val="none"/>
        </w:rPr>
        <w:t xml:space="preserve"> </w:t>
      </w:r>
      <w:r w:rsidRPr="00A25123">
        <w:rPr>
          <w:rFonts w:ascii="Baskerville Old Face" w:eastAsia="Times New Roman" w:hAnsi="Baskerville Old Face" w:cs="Times New Roman"/>
          <w:kern w:val="0"/>
          <w:sz w:val="24"/>
          <w:szCs w:val="24"/>
          <w14:ligatures w14:val="none"/>
        </w:rPr>
        <w:t>Road User Charges (RUC) saw a marginal increase of Le 7.49</w:t>
      </w:r>
      <w:r w:rsidR="004328AE">
        <w:rPr>
          <w:rFonts w:ascii="Baskerville Old Face" w:eastAsia="Times New Roman" w:hAnsi="Baskerville Old Face" w:cs="Times New Roman"/>
          <w:kern w:val="0"/>
          <w:sz w:val="24"/>
          <w:szCs w:val="24"/>
          <w14:ligatures w14:val="none"/>
        </w:rPr>
        <w:t>3</w:t>
      </w:r>
      <w:r w:rsidRPr="00A25123">
        <w:rPr>
          <w:rFonts w:ascii="Baskerville Old Face" w:eastAsia="Times New Roman" w:hAnsi="Baskerville Old Face" w:cs="Times New Roman"/>
          <w:kern w:val="0"/>
          <w:sz w:val="24"/>
          <w:szCs w:val="24"/>
          <w14:ligatures w14:val="none"/>
        </w:rPr>
        <w:t xml:space="preserve"> million, representing 3.6% growth over the previous year.</w:t>
      </w:r>
    </w:p>
    <w:p w14:paraId="53F5E963" w14:textId="77777777" w:rsidR="00F573A1" w:rsidRDefault="00F573A1" w:rsidP="0045055F">
      <w:pPr>
        <w:spacing w:line="240" w:lineRule="auto"/>
        <w:jc w:val="both"/>
        <w:rPr>
          <w:rFonts w:ascii="Baskerville Old Face" w:hAnsi="Baskerville Old Face" w:cs="Times New Roman"/>
          <w:b/>
          <w:bCs/>
          <w:i/>
          <w:iCs/>
          <w:sz w:val="24"/>
          <w:szCs w:val="24"/>
        </w:rPr>
      </w:pPr>
    </w:p>
    <w:p w14:paraId="6391AEDF" w14:textId="77777777" w:rsidR="00F573A1" w:rsidRDefault="00F573A1" w:rsidP="0045055F">
      <w:pPr>
        <w:spacing w:line="240" w:lineRule="auto"/>
        <w:jc w:val="both"/>
        <w:rPr>
          <w:rFonts w:ascii="Baskerville Old Face" w:hAnsi="Baskerville Old Face" w:cs="Times New Roman"/>
          <w:b/>
          <w:bCs/>
          <w:i/>
          <w:iCs/>
          <w:sz w:val="24"/>
          <w:szCs w:val="24"/>
        </w:rPr>
      </w:pPr>
    </w:p>
    <w:p w14:paraId="6A1BFEA0" w14:textId="77777777" w:rsidR="00F573A1" w:rsidRDefault="00F573A1" w:rsidP="0045055F">
      <w:pPr>
        <w:spacing w:line="240" w:lineRule="auto"/>
        <w:jc w:val="both"/>
        <w:rPr>
          <w:rFonts w:ascii="Baskerville Old Face" w:hAnsi="Baskerville Old Face" w:cs="Times New Roman"/>
          <w:b/>
          <w:bCs/>
          <w:i/>
          <w:iCs/>
          <w:sz w:val="24"/>
          <w:szCs w:val="24"/>
        </w:rPr>
      </w:pPr>
    </w:p>
    <w:p w14:paraId="70AECD7D" w14:textId="77777777" w:rsidR="00F573A1" w:rsidRDefault="00F573A1" w:rsidP="0045055F">
      <w:pPr>
        <w:spacing w:line="240" w:lineRule="auto"/>
        <w:jc w:val="both"/>
        <w:rPr>
          <w:rFonts w:ascii="Baskerville Old Face" w:hAnsi="Baskerville Old Face" w:cs="Times New Roman"/>
          <w:b/>
          <w:bCs/>
          <w:i/>
          <w:iCs/>
          <w:sz w:val="24"/>
          <w:szCs w:val="24"/>
        </w:rPr>
      </w:pPr>
    </w:p>
    <w:p w14:paraId="218744EE" w14:textId="77777777" w:rsidR="00F573A1" w:rsidRDefault="00F573A1" w:rsidP="0045055F">
      <w:pPr>
        <w:spacing w:line="240" w:lineRule="auto"/>
        <w:jc w:val="both"/>
        <w:rPr>
          <w:rFonts w:ascii="Baskerville Old Face" w:hAnsi="Baskerville Old Face" w:cs="Times New Roman"/>
          <w:b/>
          <w:bCs/>
          <w:i/>
          <w:iCs/>
          <w:sz w:val="24"/>
          <w:szCs w:val="24"/>
        </w:rPr>
      </w:pPr>
    </w:p>
    <w:p w14:paraId="18435B7B" w14:textId="77777777" w:rsidR="00F573A1" w:rsidRDefault="00F573A1" w:rsidP="0045055F">
      <w:pPr>
        <w:spacing w:line="240" w:lineRule="auto"/>
        <w:jc w:val="both"/>
        <w:rPr>
          <w:rFonts w:ascii="Baskerville Old Face" w:hAnsi="Baskerville Old Face" w:cs="Times New Roman"/>
          <w:b/>
          <w:bCs/>
          <w:i/>
          <w:iCs/>
          <w:sz w:val="24"/>
          <w:szCs w:val="24"/>
        </w:rPr>
      </w:pPr>
    </w:p>
    <w:p w14:paraId="40ECFEA7" w14:textId="77777777" w:rsidR="00F573A1" w:rsidRDefault="00F573A1" w:rsidP="0045055F">
      <w:pPr>
        <w:spacing w:line="240" w:lineRule="auto"/>
        <w:jc w:val="both"/>
        <w:rPr>
          <w:rFonts w:ascii="Baskerville Old Face" w:hAnsi="Baskerville Old Face" w:cs="Times New Roman"/>
          <w:b/>
          <w:bCs/>
          <w:i/>
          <w:iCs/>
          <w:sz w:val="24"/>
          <w:szCs w:val="24"/>
        </w:rPr>
      </w:pPr>
    </w:p>
    <w:p w14:paraId="0A32211C" w14:textId="77777777" w:rsidR="00F573A1" w:rsidRDefault="00F573A1" w:rsidP="0045055F">
      <w:pPr>
        <w:spacing w:line="240" w:lineRule="auto"/>
        <w:jc w:val="both"/>
        <w:rPr>
          <w:rFonts w:ascii="Baskerville Old Face" w:hAnsi="Baskerville Old Face" w:cs="Times New Roman"/>
          <w:b/>
          <w:bCs/>
          <w:i/>
          <w:iCs/>
          <w:sz w:val="24"/>
          <w:szCs w:val="24"/>
        </w:rPr>
      </w:pPr>
    </w:p>
    <w:p w14:paraId="15D48269" w14:textId="77777777" w:rsidR="00F573A1" w:rsidRDefault="00F573A1" w:rsidP="0045055F">
      <w:pPr>
        <w:spacing w:line="240" w:lineRule="auto"/>
        <w:jc w:val="both"/>
        <w:rPr>
          <w:rFonts w:ascii="Baskerville Old Face" w:hAnsi="Baskerville Old Face" w:cs="Times New Roman"/>
          <w:b/>
          <w:bCs/>
          <w:i/>
          <w:iCs/>
          <w:sz w:val="24"/>
          <w:szCs w:val="24"/>
        </w:rPr>
      </w:pPr>
    </w:p>
    <w:p w14:paraId="330087D9" w14:textId="77777777" w:rsidR="00F573A1" w:rsidRDefault="00F573A1" w:rsidP="0045055F">
      <w:pPr>
        <w:spacing w:line="240" w:lineRule="auto"/>
        <w:jc w:val="both"/>
        <w:rPr>
          <w:rFonts w:ascii="Baskerville Old Face" w:hAnsi="Baskerville Old Face" w:cs="Times New Roman"/>
          <w:b/>
          <w:bCs/>
          <w:i/>
          <w:iCs/>
          <w:sz w:val="24"/>
          <w:szCs w:val="24"/>
        </w:rPr>
      </w:pPr>
    </w:p>
    <w:p w14:paraId="5DBF07C2" w14:textId="77777777" w:rsidR="00F573A1" w:rsidRDefault="00F573A1" w:rsidP="0045055F">
      <w:pPr>
        <w:spacing w:line="240" w:lineRule="auto"/>
        <w:jc w:val="both"/>
        <w:rPr>
          <w:rFonts w:ascii="Baskerville Old Face" w:hAnsi="Baskerville Old Face" w:cs="Times New Roman"/>
          <w:b/>
          <w:bCs/>
          <w:i/>
          <w:iCs/>
          <w:sz w:val="24"/>
          <w:szCs w:val="24"/>
        </w:rPr>
      </w:pPr>
    </w:p>
    <w:p w14:paraId="1317FB56" w14:textId="77777777" w:rsidR="00F573A1" w:rsidRDefault="00F573A1" w:rsidP="0045055F">
      <w:pPr>
        <w:spacing w:line="240" w:lineRule="auto"/>
        <w:jc w:val="both"/>
        <w:rPr>
          <w:rFonts w:ascii="Baskerville Old Face" w:hAnsi="Baskerville Old Face" w:cs="Times New Roman"/>
          <w:b/>
          <w:bCs/>
          <w:i/>
          <w:iCs/>
          <w:sz w:val="24"/>
          <w:szCs w:val="24"/>
        </w:rPr>
      </w:pPr>
    </w:p>
    <w:p w14:paraId="1DA6F16B" w14:textId="0F27E546" w:rsidR="00326812" w:rsidRPr="0068040E" w:rsidRDefault="00326812" w:rsidP="00326812">
      <w:pPr>
        <w:pStyle w:val="Caption"/>
        <w:keepNext/>
        <w:rPr>
          <w:rFonts w:ascii="Baskerville Old Face" w:hAnsi="Baskerville Old Face"/>
          <w:b/>
          <w:bCs/>
          <w:sz w:val="24"/>
          <w:szCs w:val="24"/>
        </w:rPr>
      </w:pPr>
      <w:bookmarkStart w:id="25" w:name="_Toc198044021"/>
      <w:r w:rsidRPr="0068040E">
        <w:rPr>
          <w:rFonts w:ascii="Baskerville Old Face" w:hAnsi="Baskerville Old Face"/>
          <w:b/>
          <w:bCs/>
          <w:sz w:val="24"/>
          <w:szCs w:val="24"/>
        </w:rPr>
        <w:lastRenderedPageBreak/>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0071721B" w:rsidRPr="0068040E">
        <w:rPr>
          <w:rFonts w:ascii="Baskerville Old Face" w:hAnsi="Baskerville Old Face"/>
          <w:b/>
          <w:bCs/>
          <w:noProof/>
          <w:sz w:val="24"/>
          <w:szCs w:val="24"/>
        </w:rPr>
        <w:t>3</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Domestic Revenue Collection: 2024 versus 2023 (</w:t>
      </w:r>
      <w:proofErr w:type="spellStart"/>
      <w:r w:rsidRPr="0068040E">
        <w:rPr>
          <w:rFonts w:ascii="Baskerville Old Face" w:hAnsi="Baskerville Old Face"/>
          <w:b/>
          <w:bCs/>
          <w:sz w:val="24"/>
          <w:szCs w:val="24"/>
        </w:rPr>
        <w:t>NLe</w:t>
      </w:r>
      <w:proofErr w:type="spellEnd"/>
      <w:r w:rsidRPr="0068040E">
        <w:rPr>
          <w:rFonts w:ascii="Baskerville Old Face" w:hAnsi="Baskerville Old Face"/>
          <w:b/>
          <w:bCs/>
          <w:sz w:val="24"/>
          <w:szCs w:val="24"/>
        </w:rPr>
        <w:t xml:space="preserve"> Thousand)</w:t>
      </w:r>
      <w:bookmarkEnd w:id="25"/>
    </w:p>
    <w:tbl>
      <w:tblPr>
        <w:tblStyle w:val="GridTable4-Accent61"/>
        <w:tblW w:w="10075" w:type="dxa"/>
        <w:tblLook w:val="04A0" w:firstRow="1" w:lastRow="0" w:firstColumn="1" w:lastColumn="0" w:noHBand="0" w:noVBand="1"/>
      </w:tblPr>
      <w:tblGrid>
        <w:gridCol w:w="4495"/>
        <w:gridCol w:w="1530"/>
        <w:gridCol w:w="1440"/>
        <w:gridCol w:w="1350"/>
        <w:gridCol w:w="1260"/>
      </w:tblGrid>
      <w:tr w:rsidR="001E1B4E" w:rsidRPr="000C486F" w14:paraId="4C632521" w14:textId="77777777" w:rsidTr="00732D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DEB33DF" w14:textId="77777777" w:rsidR="001E1B4E" w:rsidRPr="00732D8E" w:rsidRDefault="001E1B4E" w:rsidP="001E1B4E">
            <w:pPr>
              <w:jc w:val="both"/>
              <w:rPr>
                <w:rFonts w:ascii="Baskerville Old Face" w:hAnsi="Baskerville Old Face" w:cs="Times New Roman"/>
                <w:color w:val="auto"/>
              </w:rPr>
            </w:pPr>
            <w:r w:rsidRPr="00732D8E">
              <w:rPr>
                <w:rFonts w:ascii="Baskerville Old Face" w:hAnsi="Baskerville Old Face" w:cs="Times New Roman"/>
                <w:color w:val="auto"/>
              </w:rPr>
              <w:t> </w:t>
            </w:r>
          </w:p>
        </w:tc>
        <w:tc>
          <w:tcPr>
            <w:tcW w:w="1530" w:type="dxa"/>
            <w:noWrap/>
            <w:hideMark/>
          </w:tcPr>
          <w:p w14:paraId="4331DE6F" w14:textId="77777777" w:rsidR="001E1B4E" w:rsidRPr="00732D8E" w:rsidRDefault="001E1B4E" w:rsidP="001E1B4E">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732D8E">
              <w:rPr>
                <w:rFonts w:ascii="Baskerville Old Face" w:hAnsi="Baskerville Old Face" w:cs="Times New Roman"/>
                <w:color w:val="auto"/>
              </w:rPr>
              <w:t>2024 Actual</w:t>
            </w:r>
          </w:p>
        </w:tc>
        <w:tc>
          <w:tcPr>
            <w:tcW w:w="1440" w:type="dxa"/>
            <w:noWrap/>
            <w:hideMark/>
          </w:tcPr>
          <w:p w14:paraId="6B2F1BDE" w14:textId="77777777" w:rsidR="001E1B4E" w:rsidRPr="00732D8E" w:rsidRDefault="001E1B4E" w:rsidP="001E1B4E">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732D8E">
              <w:rPr>
                <w:rFonts w:ascii="Baskerville Old Face" w:hAnsi="Baskerville Old Face" w:cs="Times New Roman"/>
                <w:color w:val="auto"/>
              </w:rPr>
              <w:t>2023 Actual</w:t>
            </w:r>
          </w:p>
        </w:tc>
        <w:tc>
          <w:tcPr>
            <w:tcW w:w="1350" w:type="dxa"/>
            <w:noWrap/>
            <w:hideMark/>
          </w:tcPr>
          <w:p w14:paraId="094D01CC" w14:textId="77777777" w:rsidR="001E1B4E" w:rsidRPr="00732D8E" w:rsidRDefault="001E1B4E" w:rsidP="001E1B4E">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732D8E">
              <w:rPr>
                <w:rFonts w:ascii="Baskerville Old Face" w:hAnsi="Baskerville Old Face" w:cs="Times New Roman"/>
                <w:color w:val="auto"/>
              </w:rPr>
              <w:t>Variance</w:t>
            </w:r>
          </w:p>
        </w:tc>
        <w:tc>
          <w:tcPr>
            <w:tcW w:w="1260" w:type="dxa"/>
            <w:noWrap/>
            <w:hideMark/>
          </w:tcPr>
          <w:p w14:paraId="6A4AA32F" w14:textId="77777777" w:rsidR="001E1B4E" w:rsidRPr="00732D8E" w:rsidRDefault="001E1B4E" w:rsidP="001E1B4E">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732D8E">
              <w:rPr>
                <w:rFonts w:ascii="Baskerville Old Face" w:hAnsi="Baskerville Old Face" w:cs="Times New Roman"/>
                <w:color w:val="auto"/>
              </w:rPr>
              <w:t>% Variance</w:t>
            </w:r>
          </w:p>
        </w:tc>
      </w:tr>
      <w:tr w:rsidR="00732D8E" w:rsidRPr="000C486F" w14:paraId="43B9352C"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129441C7" w14:textId="41ABECA2" w:rsidR="001E1B4E" w:rsidRPr="000C486F" w:rsidRDefault="001E1B4E" w:rsidP="001E1B4E">
            <w:pPr>
              <w:jc w:val="both"/>
              <w:rPr>
                <w:rFonts w:ascii="Baskerville Old Face" w:hAnsi="Baskerville Old Face" w:cs="Times New Roman"/>
                <w:u w:val="single"/>
              </w:rPr>
            </w:pPr>
            <w:r w:rsidRPr="000C486F">
              <w:rPr>
                <w:rFonts w:ascii="Baskerville Old Face" w:hAnsi="Baskerville Old Face" w:cs="Times New Roman"/>
                <w:u w:val="single"/>
              </w:rPr>
              <w:t xml:space="preserve">TOTAL </w:t>
            </w:r>
            <w:r w:rsidR="00732D8E" w:rsidRPr="000C486F">
              <w:rPr>
                <w:rFonts w:ascii="Baskerville Old Face" w:hAnsi="Baskerville Old Face" w:cs="Times New Roman"/>
                <w:u w:val="single"/>
              </w:rPr>
              <w:t>DOMESTIC REVENUE</w:t>
            </w:r>
          </w:p>
        </w:tc>
        <w:tc>
          <w:tcPr>
            <w:tcW w:w="1530" w:type="dxa"/>
            <w:noWrap/>
            <w:hideMark/>
          </w:tcPr>
          <w:p w14:paraId="5CAC1A27"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14,560,237</w:t>
            </w:r>
          </w:p>
        </w:tc>
        <w:tc>
          <w:tcPr>
            <w:tcW w:w="1440" w:type="dxa"/>
            <w:noWrap/>
            <w:hideMark/>
          </w:tcPr>
          <w:p w14:paraId="5174201C"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10,100,463</w:t>
            </w:r>
          </w:p>
        </w:tc>
        <w:tc>
          <w:tcPr>
            <w:tcW w:w="1350" w:type="dxa"/>
            <w:noWrap/>
            <w:hideMark/>
          </w:tcPr>
          <w:p w14:paraId="6F00B91F"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4,459,774</w:t>
            </w:r>
          </w:p>
        </w:tc>
        <w:tc>
          <w:tcPr>
            <w:tcW w:w="1260" w:type="dxa"/>
            <w:noWrap/>
            <w:hideMark/>
          </w:tcPr>
          <w:p w14:paraId="09CACA22" w14:textId="415B70C2"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44.2%</w:t>
            </w:r>
          </w:p>
        </w:tc>
      </w:tr>
      <w:tr w:rsidR="00732D8E" w:rsidRPr="000C486F" w14:paraId="1B3A5117"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339A304" w14:textId="77777777" w:rsidR="001E1B4E" w:rsidRPr="00732D8E" w:rsidRDefault="001E1B4E" w:rsidP="001E1B4E">
            <w:pPr>
              <w:jc w:val="both"/>
              <w:rPr>
                <w:rFonts w:ascii="Baskerville Old Face" w:hAnsi="Baskerville Old Face" w:cs="Times New Roman"/>
                <w:u w:val="single"/>
              </w:rPr>
            </w:pPr>
            <w:r w:rsidRPr="00732D8E">
              <w:rPr>
                <w:rFonts w:ascii="Baskerville Old Face" w:hAnsi="Baskerville Old Face" w:cs="Times New Roman"/>
                <w:u w:val="single"/>
              </w:rPr>
              <w:t>DOMESTIC TAX DEPARTMENT</w:t>
            </w:r>
          </w:p>
        </w:tc>
        <w:tc>
          <w:tcPr>
            <w:tcW w:w="1530" w:type="dxa"/>
            <w:noWrap/>
            <w:hideMark/>
          </w:tcPr>
          <w:p w14:paraId="452F959D"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8,042,068</w:t>
            </w:r>
          </w:p>
        </w:tc>
        <w:tc>
          <w:tcPr>
            <w:tcW w:w="1440" w:type="dxa"/>
            <w:noWrap/>
            <w:hideMark/>
          </w:tcPr>
          <w:p w14:paraId="4D8B749D"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6,087,739</w:t>
            </w:r>
          </w:p>
        </w:tc>
        <w:tc>
          <w:tcPr>
            <w:tcW w:w="1350" w:type="dxa"/>
            <w:noWrap/>
            <w:hideMark/>
          </w:tcPr>
          <w:p w14:paraId="7A0576EF"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1,954,328</w:t>
            </w:r>
          </w:p>
        </w:tc>
        <w:tc>
          <w:tcPr>
            <w:tcW w:w="1260" w:type="dxa"/>
            <w:noWrap/>
            <w:hideMark/>
          </w:tcPr>
          <w:p w14:paraId="3EB0AF1A" w14:textId="6C019FD6"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32.1%</w:t>
            </w:r>
          </w:p>
        </w:tc>
      </w:tr>
      <w:tr w:rsidR="00732D8E" w:rsidRPr="000C486F" w14:paraId="72043EC5"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7458E43" w14:textId="77777777" w:rsidR="001E1B4E" w:rsidRPr="000C486F" w:rsidRDefault="001E1B4E" w:rsidP="001E1B4E">
            <w:pPr>
              <w:jc w:val="both"/>
              <w:rPr>
                <w:rFonts w:ascii="Baskerville Old Face" w:hAnsi="Baskerville Old Face" w:cs="Times New Roman"/>
                <w:b w:val="0"/>
                <w:bCs w:val="0"/>
              </w:rPr>
            </w:pPr>
            <w:r w:rsidRPr="000C486F">
              <w:rPr>
                <w:rFonts w:ascii="Baskerville Old Face" w:hAnsi="Baskerville Old Face" w:cs="Times New Roman"/>
                <w:b w:val="0"/>
                <w:bCs w:val="0"/>
              </w:rPr>
              <w:t xml:space="preserve">Income Tax </w:t>
            </w:r>
          </w:p>
        </w:tc>
        <w:tc>
          <w:tcPr>
            <w:tcW w:w="1530" w:type="dxa"/>
            <w:noWrap/>
            <w:hideMark/>
          </w:tcPr>
          <w:p w14:paraId="326F6EF1"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5,734,321</w:t>
            </w:r>
          </w:p>
        </w:tc>
        <w:tc>
          <w:tcPr>
            <w:tcW w:w="1440" w:type="dxa"/>
            <w:noWrap/>
            <w:hideMark/>
          </w:tcPr>
          <w:p w14:paraId="77FFDBC7"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3,991,124</w:t>
            </w:r>
          </w:p>
        </w:tc>
        <w:tc>
          <w:tcPr>
            <w:tcW w:w="1350" w:type="dxa"/>
            <w:noWrap/>
            <w:hideMark/>
          </w:tcPr>
          <w:p w14:paraId="2D9F6565"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1,743,197</w:t>
            </w:r>
          </w:p>
        </w:tc>
        <w:tc>
          <w:tcPr>
            <w:tcW w:w="1260" w:type="dxa"/>
            <w:noWrap/>
            <w:hideMark/>
          </w:tcPr>
          <w:p w14:paraId="57019028" w14:textId="155DBB06"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43.7%</w:t>
            </w:r>
          </w:p>
        </w:tc>
      </w:tr>
      <w:tr w:rsidR="00732D8E" w:rsidRPr="000C486F" w14:paraId="24406F14"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7E90F84" w14:textId="77777777" w:rsidR="001E1B4E" w:rsidRPr="000C486F" w:rsidRDefault="001E1B4E" w:rsidP="001E1B4E">
            <w:pPr>
              <w:jc w:val="both"/>
              <w:rPr>
                <w:rFonts w:ascii="Baskerville Old Face" w:hAnsi="Baskerville Old Face" w:cs="Times New Roman"/>
                <w:b w:val="0"/>
                <w:bCs w:val="0"/>
              </w:rPr>
            </w:pPr>
            <w:r w:rsidRPr="000C486F">
              <w:rPr>
                <w:rFonts w:ascii="Baskerville Old Face" w:hAnsi="Baskerville Old Face" w:cs="Times New Roman"/>
                <w:b w:val="0"/>
                <w:bCs w:val="0"/>
              </w:rPr>
              <w:t>Goods and Services Tax (GST)</w:t>
            </w:r>
          </w:p>
        </w:tc>
        <w:tc>
          <w:tcPr>
            <w:tcW w:w="1530" w:type="dxa"/>
            <w:noWrap/>
            <w:hideMark/>
          </w:tcPr>
          <w:p w14:paraId="33050FD9"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2,307,747</w:t>
            </w:r>
          </w:p>
        </w:tc>
        <w:tc>
          <w:tcPr>
            <w:tcW w:w="1440" w:type="dxa"/>
            <w:noWrap/>
            <w:hideMark/>
          </w:tcPr>
          <w:p w14:paraId="643DC9F4"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2,096,615</w:t>
            </w:r>
          </w:p>
        </w:tc>
        <w:tc>
          <w:tcPr>
            <w:tcW w:w="1350" w:type="dxa"/>
            <w:noWrap/>
            <w:hideMark/>
          </w:tcPr>
          <w:p w14:paraId="3179727A"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211,131</w:t>
            </w:r>
          </w:p>
        </w:tc>
        <w:tc>
          <w:tcPr>
            <w:tcW w:w="1260" w:type="dxa"/>
            <w:noWrap/>
            <w:hideMark/>
          </w:tcPr>
          <w:p w14:paraId="1B298E2F" w14:textId="47DC8668"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10.1%</w:t>
            </w:r>
          </w:p>
        </w:tc>
      </w:tr>
      <w:tr w:rsidR="00732D8E" w:rsidRPr="000C486F" w14:paraId="76C090B1"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56F2091D" w14:textId="77777777" w:rsidR="001E1B4E" w:rsidRPr="00732D8E" w:rsidRDefault="001E1B4E" w:rsidP="001E1B4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Import GST</w:t>
            </w:r>
          </w:p>
        </w:tc>
        <w:tc>
          <w:tcPr>
            <w:tcW w:w="1530" w:type="dxa"/>
            <w:noWrap/>
            <w:hideMark/>
          </w:tcPr>
          <w:p w14:paraId="1E5475E1"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1,083,487</w:t>
            </w:r>
          </w:p>
        </w:tc>
        <w:tc>
          <w:tcPr>
            <w:tcW w:w="1440" w:type="dxa"/>
            <w:noWrap/>
            <w:hideMark/>
          </w:tcPr>
          <w:p w14:paraId="293AF223"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1,105,926</w:t>
            </w:r>
          </w:p>
        </w:tc>
        <w:tc>
          <w:tcPr>
            <w:tcW w:w="1350" w:type="dxa"/>
            <w:noWrap/>
            <w:hideMark/>
          </w:tcPr>
          <w:p w14:paraId="5567E16F"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-22,438</w:t>
            </w:r>
          </w:p>
        </w:tc>
        <w:tc>
          <w:tcPr>
            <w:tcW w:w="1260" w:type="dxa"/>
            <w:noWrap/>
            <w:hideMark/>
          </w:tcPr>
          <w:p w14:paraId="0D404C6C" w14:textId="721D2A95"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-2.0%</w:t>
            </w:r>
          </w:p>
        </w:tc>
      </w:tr>
      <w:tr w:rsidR="00732D8E" w:rsidRPr="000C486F" w14:paraId="78D71BD3"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547BBEC0" w14:textId="77777777" w:rsidR="001E1B4E" w:rsidRPr="00732D8E" w:rsidRDefault="001E1B4E" w:rsidP="001E1B4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Domestic GST</w:t>
            </w:r>
          </w:p>
        </w:tc>
        <w:tc>
          <w:tcPr>
            <w:tcW w:w="1530" w:type="dxa"/>
            <w:noWrap/>
            <w:hideMark/>
          </w:tcPr>
          <w:p w14:paraId="2A51ADAF"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1,224,259</w:t>
            </w:r>
          </w:p>
        </w:tc>
        <w:tc>
          <w:tcPr>
            <w:tcW w:w="1440" w:type="dxa"/>
            <w:noWrap/>
            <w:hideMark/>
          </w:tcPr>
          <w:p w14:paraId="1A80D590"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990,689</w:t>
            </w:r>
          </w:p>
        </w:tc>
        <w:tc>
          <w:tcPr>
            <w:tcW w:w="1350" w:type="dxa"/>
            <w:noWrap/>
            <w:hideMark/>
          </w:tcPr>
          <w:p w14:paraId="5B8DB79F"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233,570</w:t>
            </w:r>
          </w:p>
        </w:tc>
        <w:tc>
          <w:tcPr>
            <w:tcW w:w="1260" w:type="dxa"/>
            <w:noWrap/>
            <w:hideMark/>
          </w:tcPr>
          <w:p w14:paraId="66CA4572" w14:textId="63F7780F"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23.6%</w:t>
            </w:r>
          </w:p>
        </w:tc>
      </w:tr>
      <w:tr w:rsidR="00732D8E" w:rsidRPr="000C486F" w14:paraId="0374806B"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6F535FB1" w14:textId="77777777" w:rsidR="001E1B4E" w:rsidRPr="00732D8E" w:rsidRDefault="001E1B4E" w:rsidP="001E1B4E">
            <w:pPr>
              <w:rPr>
                <w:rFonts w:ascii="Baskerville Old Face" w:hAnsi="Baskerville Old Face" w:cs="Times New Roman"/>
                <w:u w:val="single"/>
              </w:rPr>
            </w:pPr>
            <w:r w:rsidRPr="00732D8E">
              <w:rPr>
                <w:rFonts w:ascii="Baskerville Old Face" w:hAnsi="Baskerville Old Face" w:cs="Times New Roman"/>
                <w:u w:val="single"/>
              </w:rPr>
              <w:t>CUSTOMS SERVICE DEPARTMENT (CSD)</w:t>
            </w:r>
          </w:p>
        </w:tc>
        <w:tc>
          <w:tcPr>
            <w:tcW w:w="1530" w:type="dxa"/>
            <w:noWrap/>
            <w:hideMark/>
          </w:tcPr>
          <w:p w14:paraId="6C8AF4D2"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3,261,249</w:t>
            </w:r>
          </w:p>
        </w:tc>
        <w:tc>
          <w:tcPr>
            <w:tcW w:w="1440" w:type="dxa"/>
            <w:noWrap/>
            <w:hideMark/>
          </w:tcPr>
          <w:p w14:paraId="29DF0F4E"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1,763,821</w:t>
            </w:r>
          </w:p>
        </w:tc>
        <w:tc>
          <w:tcPr>
            <w:tcW w:w="1350" w:type="dxa"/>
            <w:noWrap/>
            <w:hideMark/>
          </w:tcPr>
          <w:p w14:paraId="6D5AF647"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1,497,428</w:t>
            </w:r>
          </w:p>
        </w:tc>
        <w:tc>
          <w:tcPr>
            <w:tcW w:w="1260" w:type="dxa"/>
            <w:noWrap/>
            <w:hideMark/>
          </w:tcPr>
          <w:p w14:paraId="55A704EB" w14:textId="27C5C0E0"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84.9%</w:t>
            </w:r>
          </w:p>
        </w:tc>
      </w:tr>
      <w:tr w:rsidR="00732D8E" w:rsidRPr="000C486F" w14:paraId="2650C095"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76F4291"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 xml:space="preserve"> Import Duties</w:t>
            </w:r>
          </w:p>
        </w:tc>
        <w:tc>
          <w:tcPr>
            <w:tcW w:w="1530" w:type="dxa"/>
            <w:noWrap/>
            <w:hideMark/>
          </w:tcPr>
          <w:p w14:paraId="72598944"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1,449,083</w:t>
            </w:r>
          </w:p>
        </w:tc>
        <w:tc>
          <w:tcPr>
            <w:tcW w:w="1440" w:type="dxa"/>
            <w:noWrap/>
            <w:hideMark/>
          </w:tcPr>
          <w:p w14:paraId="6FF3F8AD"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1,194,727</w:t>
            </w:r>
          </w:p>
        </w:tc>
        <w:tc>
          <w:tcPr>
            <w:tcW w:w="1350" w:type="dxa"/>
            <w:noWrap/>
            <w:hideMark/>
          </w:tcPr>
          <w:p w14:paraId="7D97F22A"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254,355</w:t>
            </w:r>
          </w:p>
        </w:tc>
        <w:tc>
          <w:tcPr>
            <w:tcW w:w="1260" w:type="dxa"/>
            <w:noWrap/>
            <w:hideMark/>
          </w:tcPr>
          <w:p w14:paraId="4932360F" w14:textId="68851AA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21.3%</w:t>
            </w:r>
          </w:p>
        </w:tc>
      </w:tr>
      <w:tr w:rsidR="00732D8E" w:rsidRPr="000C486F" w14:paraId="0C911E10"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2F8D386"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Excise on Petroleum</w:t>
            </w:r>
          </w:p>
        </w:tc>
        <w:tc>
          <w:tcPr>
            <w:tcW w:w="1530" w:type="dxa"/>
            <w:noWrap/>
            <w:hideMark/>
          </w:tcPr>
          <w:p w14:paraId="1ED7626C"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1,663,439</w:t>
            </w:r>
          </w:p>
        </w:tc>
        <w:tc>
          <w:tcPr>
            <w:tcW w:w="1440" w:type="dxa"/>
            <w:noWrap/>
            <w:hideMark/>
          </w:tcPr>
          <w:p w14:paraId="47E77931"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466,284</w:t>
            </w:r>
          </w:p>
        </w:tc>
        <w:tc>
          <w:tcPr>
            <w:tcW w:w="1350" w:type="dxa"/>
            <w:noWrap/>
            <w:hideMark/>
          </w:tcPr>
          <w:p w14:paraId="162120E0"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1,197,155</w:t>
            </w:r>
          </w:p>
        </w:tc>
        <w:tc>
          <w:tcPr>
            <w:tcW w:w="1260" w:type="dxa"/>
            <w:noWrap/>
            <w:hideMark/>
          </w:tcPr>
          <w:p w14:paraId="0FF6DD36" w14:textId="555C6B3B"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256.7%</w:t>
            </w:r>
          </w:p>
        </w:tc>
      </w:tr>
      <w:tr w:rsidR="00732D8E" w:rsidRPr="000C486F" w14:paraId="48915322"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63AFD31"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Other Excise</w:t>
            </w:r>
          </w:p>
        </w:tc>
        <w:tc>
          <w:tcPr>
            <w:tcW w:w="1530" w:type="dxa"/>
            <w:noWrap/>
            <w:hideMark/>
          </w:tcPr>
          <w:p w14:paraId="10100F2E"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148,727</w:t>
            </w:r>
          </w:p>
        </w:tc>
        <w:tc>
          <w:tcPr>
            <w:tcW w:w="1440" w:type="dxa"/>
            <w:noWrap/>
            <w:hideMark/>
          </w:tcPr>
          <w:p w14:paraId="53230B09"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102,810</w:t>
            </w:r>
          </w:p>
        </w:tc>
        <w:tc>
          <w:tcPr>
            <w:tcW w:w="1350" w:type="dxa"/>
            <w:noWrap/>
            <w:hideMark/>
          </w:tcPr>
          <w:p w14:paraId="026B425F"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45,917</w:t>
            </w:r>
          </w:p>
        </w:tc>
        <w:tc>
          <w:tcPr>
            <w:tcW w:w="1260" w:type="dxa"/>
            <w:noWrap/>
            <w:hideMark/>
          </w:tcPr>
          <w:p w14:paraId="67DDF1C7" w14:textId="558AAC38"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44.7%</w:t>
            </w:r>
          </w:p>
        </w:tc>
      </w:tr>
      <w:tr w:rsidR="00732D8E" w:rsidRPr="000C486F" w14:paraId="2ED9EE71"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A2F2927" w14:textId="097FDC4A" w:rsidR="001E1B4E" w:rsidRPr="00732D8E" w:rsidRDefault="00732D8E" w:rsidP="00732D8E">
            <w:pPr>
              <w:rPr>
                <w:rFonts w:ascii="Baskerville Old Face" w:hAnsi="Baskerville Old Face" w:cs="Times New Roman"/>
                <w:u w:val="single"/>
              </w:rPr>
            </w:pPr>
            <w:r w:rsidRPr="00732D8E">
              <w:rPr>
                <w:rFonts w:ascii="Baskerville Old Face" w:hAnsi="Baskerville Old Face" w:cs="Times New Roman"/>
                <w:u w:val="single"/>
              </w:rPr>
              <w:t>NON-TAX</w:t>
            </w:r>
            <w:r w:rsidR="001E1B4E" w:rsidRPr="00732D8E">
              <w:rPr>
                <w:rFonts w:ascii="Baskerville Old Face" w:hAnsi="Baskerville Old Face" w:cs="Times New Roman"/>
                <w:u w:val="single"/>
              </w:rPr>
              <w:t xml:space="preserve"> REVENUE DEPARTMENT (NTR)</w:t>
            </w:r>
          </w:p>
        </w:tc>
        <w:tc>
          <w:tcPr>
            <w:tcW w:w="1530" w:type="dxa"/>
            <w:noWrap/>
            <w:hideMark/>
          </w:tcPr>
          <w:p w14:paraId="4E4A82ED"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3,042,758</w:t>
            </w:r>
          </w:p>
        </w:tc>
        <w:tc>
          <w:tcPr>
            <w:tcW w:w="1440" w:type="dxa"/>
            <w:noWrap/>
            <w:hideMark/>
          </w:tcPr>
          <w:p w14:paraId="1B8D9C0F"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2,042,234</w:t>
            </w:r>
          </w:p>
        </w:tc>
        <w:tc>
          <w:tcPr>
            <w:tcW w:w="1350" w:type="dxa"/>
            <w:noWrap/>
            <w:hideMark/>
          </w:tcPr>
          <w:p w14:paraId="22A8BCC0"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1,000,524</w:t>
            </w:r>
          </w:p>
        </w:tc>
        <w:tc>
          <w:tcPr>
            <w:tcW w:w="1260" w:type="dxa"/>
            <w:noWrap/>
            <w:hideMark/>
          </w:tcPr>
          <w:p w14:paraId="3E5DC84C" w14:textId="43FDCEDD"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49.0%</w:t>
            </w:r>
          </w:p>
        </w:tc>
      </w:tr>
      <w:tr w:rsidR="00732D8E" w:rsidRPr="000C486F" w14:paraId="574D4336"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99D2EED" w14:textId="77777777" w:rsidR="001E1B4E" w:rsidRPr="000C486F" w:rsidRDefault="001E1B4E" w:rsidP="001E1B4E">
            <w:pPr>
              <w:jc w:val="both"/>
              <w:rPr>
                <w:rFonts w:ascii="Baskerville Old Face" w:hAnsi="Baskerville Old Face" w:cs="Times New Roman"/>
              </w:rPr>
            </w:pPr>
            <w:r w:rsidRPr="000C486F">
              <w:rPr>
                <w:rFonts w:ascii="Baskerville Old Face" w:hAnsi="Baskerville Old Face" w:cs="Times New Roman"/>
              </w:rPr>
              <w:t>Mines Revenue</w:t>
            </w:r>
          </w:p>
        </w:tc>
        <w:tc>
          <w:tcPr>
            <w:tcW w:w="1530" w:type="dxa"/>
            <w:noWrap/>
            <w:hideMark/>
          </w:tcPr>
          <w:p w14:paraId="1E1E3E0C"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975,550</w:t>
            </w:r>
          </w:p>
        </w:tc>
        <w:tc>
          <w:tcPr>
            <w:tcW w:w="1440" w:type="dxa"/>
            <w:noWrap/>
            <w:hideMark/>
          </w:tcPr>
          <w:p w14:paraId="093F2742"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671,472</w:t>
            </w:r>
          </w:p>
        </w:tc>
        <w:tc>
          <w:tcPr>
            <w:tcW w:w="1350" w:type="dxa"/>
            <w:noWrap/>
            <w:hideMark/>
          </w:tcPr>
          <w:p w14:paraId="56D1BABC"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304,078</w:t>
            </w:r>
          </w:p>
        </w:tc>
        <w:tc>
          <w:tcPr>
            <w:tcW w:w="1260" w:type="dxa"/>
            <w:noWrap/>
            <w:hideMark/>
          </w:tcPr>
          <w:p w14:paraId="46F59B22" w14:textId="7AF5CB0D"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45.3%</w:t>
            </w:r>
          </w:p>
        </w:tc>
      </w:tr>
      <w:tr w:rsidR="00732D8E" w:rsidRPr="000C486F" w14:paraId="5CFB7A33"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A1862FB" w14:textId="77777777" w:rsidR="001E1B4E" w:rsidRPr="000C486F" w:rsidRDefault="001E1B4E" w:rsidP="001E1B4E">
            <w:pPr>
              <w:jc w:val="both"/>
              <w:rPr>
                <w:rFonts w:ascii="Baskerville Old Face" w:hAnsi="Baskerville Old Face" w:cs="Times New Roman"/>
              </w:rPr>
            </w:pPr>
            <w:r w:rsidRPr="000C486F">
              <w:rPr>
                <w:rFonts w:ascii="Baskerville Old Face" w:hAnsi="Baskerville Old Face" w:cs="Times New Roman"/>
              </w:rPr>
              <w:t>Other Departments</w:t>
            </w:r>
          </w:p>
        </w:tc>
        <w:tc>
          <w:tcPr>
            <w:tcW w:w="1530" w:type="dxa"/>
            <w:noWrap/>
            <w:hideMark/>
          </w:tcPr>
          <w:p w14:paraId="249A1465"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2,067,207</w:t>
            </w:r>
          </w:p>
        </w:tc>
        <w:tc>
          <w:tcPr>
            <w:tcW w:w="1440" w:type="dxa"/>
            <w:noWrap/>
            <w:hideMark/>
          </w:tcPr>
          <w:p w14:paraId="460D3F08"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1,370,761</w:t>
            </w:r>
          </w:p>
        </w:tc>
        <w:tc>
          <w:tcPr>
            <w:tcW w:w="1350" w:type="dxa"/>
            <w:noWrap/>
            <w:hideMark/>
          </w:tcPr>
          <w:p w14:paraId="0537F5AB"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696,446</w:t>
            </w:r>
          </w:p>
        </w:tc>
        <w:tc>
          <w:tcPr>
            <w:tcW w:w="1260" w:type="dxa"/>
            <w:noWrap/>
            <w:hideMark/>
          </w:tcPr>
          <w:p w14:paraId="4ED859D7" w14:textId="427B9899"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50.8%</w:t>
            </w:r>
          </w:p>
        </w:tc>
      </w:tr>
      <w:tr w:rsidR="00732D8E" w:rsidRPr="000C486F" w14:paraId="67939D92"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68BE25A" w14:textId="34535C9D"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 xml:space="preserve"> Royalty on Fisheries </w:t>
            </w:r>
            <w:r w:rsidR="00732D8E" w:rsidRPr="00732D8E">
              <w:rPr>
                <w:rFonts w:ascii="Baskerville Old Face" w:hAnsi="Baskerville Old Face" w:cs="Times New Roman"/>
                <w:b w:val="0"/>
                <w:bCs w:val="0"/>
                <w:i/>
                <w:iCs/>
              </w:rPr>
              <w:t>etc.</w:t>
            </w:r>
          </w:p>
        </w:tc>
        <w:tc>
          <w:tcPr>
            <w:tcW w:w="1530" w:type="dxa"/>
            <w:noWrap/>
            <w:hideMark/>
          </w:tcPr>
          <w:p w14:paraId="2F7758C9"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144,771</w:t>
            </w:r>
          </w:p>
        </w:tc>
        <w:tc>
          <w:tcPr>
            <w:tcW w:w="1440" w:type="dxa"/>
            <w:noWrap/>
            <w:hideMark/>
          </w:tcPr>
          <w:p w14:paraId="1095D271"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118,151</w:t>
            </w:r>
          </w:p>
        </w:tc>
        <w:tc>
          <w:tcPr>
            <w:tcW w:w="1350" w:type="dxa"/>
            <w:noWrap/>
            <w:hideMark/>
          </w:tcPr>
          <w:p w14:paraId="5EB6EE19"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26,619</w:t>
            </w:r>
          </w:p>
        </w:tc>
        <w:tc>
          <w:tcPr>
            <w:tcW w:w="1260" w:type="dxa"/>
            <w:noWrap/>
            <w:hideMark/>
          </w:tcPr>
          <w:p w14:paraId="2AD92600" w14:textId="1A9A0E8F"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22.5%</w:t>
            </w:r>
          </w:p>
        </w:tc>
      </w:tr>
      <w:tr w:rsidR="00732D8E" w:rsidRPr="000C486F" w14:paraId="6A354714"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510E67F"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Parastatals Dividend</w:t>
            </w:r>
          </w:p>
        </w:tc>
        <w:tc>
          <w:tcPr>
            <w:tcW w:w="1530" w:type="dxa"/>
            <w:noWrap/>
            <w:hideMark/>
          </w:tcPr>
          <w:p w14:paraId="146764AA"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290,086</w:t>
            </w:r>
          </w:p>
        </w:tc>
        <w:tc>
          <w:tcPr>
            <w:tcW w:w="1440" w:type="dxa"/>
            <w:noWrap/>
            <w:hideMark/>
          </w:tcPr>
          <w:p w14:paraId="5D8D8F05"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312,400</w:t>
            </w:r>
          </w:p>
        </w:tc>
        <w:tc>
          <w:tcPr>
            <w:tcW w:w="1350" w:type="dxa"/>
            <w:noWrap/>
            <w:hideMark/>
          </w:tcPr>
          <w:p w14:paraId="1AB494AD"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-22,314</w:t>
            </w:r>
          </w:p>
        </w:tc>
        <w:tc>
          <w:tcPr>
            <w:tcW w:w="1260" w:type="dxa"/>
            <w:noWrap/>
            <w:hideMark/>
          </w:tcPr>
          <w:p w14:paraId="1CB86CDE"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-7.10%</w:t>
            </w:r>
          </w:p>
        </w:tc>
      </w:tr>
      <w:tr w:rsidR="00732D8E" w:rsidRPr="000C486F" w14:paraId="7F3A42A1"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18F4C095" w14:textId="77777777" w:rsidR="001E1B4E" w:rsidRPr="000C486F" w:rsidRDefault="001E1B4E" w:rsidP="001E1B4E">
            <w:pPr>
              <w:jc w:val="both"/>
              <w:rPr>
                <w:rFonts w:ascii="Baskerville Old Face" w:hAnsi="Baskerville Old Face" w:cs="Times New Roman"/>
              </w:rPr>
            </w:pPr>
            <w:r w:rsidRPr="000C486F">
              <w:rPr>
                <w:rFonts w:ascii="Baskerville Old Face" w:hAnsi="Baskerville Old Face" w:cs="Times New Roman"/>
              </w:rPr>
              <w:t>Other Revenues</w:t>
            </w:r>
          </w:p>
        </w:tc>
        <w:tc>
          <w:tcPr>
            <w:tcW w:w="1530" w:type="dxa"/>
            <w:noWrap/>
            <w:hideMark/>
          </w:tcPr>
          <w:p w14:paraId="008CC057"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1,632,351</w:t>
            </w:r>
          </w:p>
        </w:tc>
        <w:tc>
          <w:tcPr>
            <w:tcW w:w="1440" w:type="dxa"/>
            <w:noWrap/>
            <w:hideMark/>
          </w:tcPr>
          <w:p w14:paraId="32BB8387"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940,210</w:t>
            </w:r>
          </w:p>
        </w:tc>
        <w:tc>
          <w:tcPr>
            <w:tcW w:w="1350" w:type="dxa"/>
            <w:noWrap/>
            <w:hideMark/>
          </w:tcPr>
          <w:p w14:paraId="5EB1952E"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692,141</w:t>
            </w:r>
          </w:p>
        </w:tc>
        <w:tc>
          <w:tcPr>
            <w:tcW w:w="1260" w:type="dxa"/>
            <w:noWrap/>
            <w:hideMark/>
          </w:tcPr>
          <w:p w14:paraId="5DB4E176" w14:textId="232D49C9"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73.6%</w:t>
            </w:r>
          </w:p>
        </w:tc>
      </w:tr>
      <w:tr w:rsidR="00732D8E" w:rsidRPr="000C486F" w14:paraId="37CA4829"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91B27BA"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o/w TSA</w:t>
            </w:r>
          </w:p>
        </w:tc>
        <w:tc>
          <w:tcPr>
            <w:tcW w:w="1530" w:type="dxa"/>
            <w:noWrap/>
            <w:hideMark/>
          </w:tcPr>
          <w:p w14:paraId="21CFF38C"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1,411,109</w:t>
            </w:r>
          </w:p>
        </w:tc>
        <w:tc>
          <w:tcPr>
            <w:tcW w:w="1440" w:type="dxa"/>
            <w:noWrap/>
            <w:hideMark/>
          </w:tcPr>
          <w:p w14:paraId="41BF07C5"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827,107</w:t>
            </w:r>
          </w:p>
        </w:tc>
        <w:tc>
          <w:tcPr>
            <w:tcW w:w="1350" w:type="dxa"/>
            <w:noWrap/>
            <w:hideMark/>
          </w:tcPr>
          <w:p w14:paraId="5899D619"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584,001</w:t>
            </w:r>
          </w:p>
        </w:tc>
        <w:tc>
          <w:tcPr>
            <w:tcW w:w="1260" w:type="dxa"/>
            <w:noWrap/>
            <w:hideMark/>
          </w:tcPr>
          <w:p w14:paraId="20B76C81" w14:textId="1B746296"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70.6%</w:t>
            </w:r>
          </w:p>
        </w:tc>
      </w:tr>
      <w:tr w:rsidR="00732D8E" w:rsidRPr="000C486F" w14:paraId="506FC39F" w14:textId="77777777" w:rsidTr="00732D8E">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663F28AE"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o/w Timber</w:t>
            </w:r>
          </w:p>
        </w:tc>
        <w:tc>
          <w:tcPr>
            <w:tcW w:w="1530" w:type="dxa"/>
            <w:noWrap/>
            <w:hideMark/>
          </w:tcPr>
          <w:p w14:paraId="2008889C"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29,197</w:t>
            </w:r>
          </w:p>
        </w:tc>
        <w:tc>
          <w:tcPr>
            <w:tcW w:w="1440" w:type="dxa"/>
            <w:noWrap/>
            <w:hideMark/>
          </w:tcPr>
          <w:p w14:paraId="026D83A5"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17,858</w:t>
            </w:r>
          </w:p>
        </w:tc>
        <w:tc>
          <w:tcPr>
            <w:tcW w:w="1350" w:type="dxa"/>
            <w:noWrap/>
            <w:hideMark/>
          </w:tcPr>
          <w:p w14:paraId="3E60028B"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11,340</w:t>
            </w:r>
          </w:p>
        </w:tc>
        <w:tc>
          <w:tcPr>
            <w:tcW w:w="1260" w:type="dxa"/>
            <w:noWrap/>
            <w:hideMark/>
          </w:tcPr>
          <w:p w14:paraId="044E71C8" w14:textId="5AF6E1AB"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63.5%</w:t>
            </w:r>
          </w:p>
        </w:tc>
      </w:tr>
      <w:tr w:rsidR="00732D8E" w:rsidRPr="000C486F" w14:paraId="632AD230" w14:textId="77777777" w:rsidTr="00732D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6AB08CEA" w14:textId="77777777" w:rsidR="001E1B4E" w:rsidRPr="00732D8E" w:rsidRDefault="001E1B4E" w:rsidP="00732D8E">
            <w:pPr>
              <w:ind w:left="720"/>
              <w:jc w:val="both"/>
              <w:rPr>
                <w:rFonts w:ascii="Baskerville Old Face" w:hAnsi="Baskerville Old Face" w:cs="Times New Roman"/>
                <w:b w:val="0"/>
                <w:bCs w:val="0"/>
                <w:i/>
                <w:iCs/>
              </w:rPr>
            </w:pPr>
            <w:r w:rsidRPr="00732D8E">
              <w:rPr>
                <w:rFonts w:ascii="Baskerville Old Face" w:hAnsi="Baskerville Old Face" w:cs="Times New Roman"/>
                <w:b w:val="0"/>
                <w:bCs w:val="0"/>
                <w:i/>
                <w:iCs/>
              </w:rPr>
              <w:t>o/w Other MDAs</w:t>
            </w:r>
          </w:p>
        </w:tc>
        <w:tc>
          <w:tcPr>
            <w:tcW w:w="1530" w:type="dxa"/>
            <w:noWrap/>
            <w:hideMark/>
          </w:tcPr>
          <w:p w14:paraId="121AEB44"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192,045</w:t>
            </w:r>
          </w:p>
        </w:tc>
        <w:tc>
          <w:tcPr>
            <w:tcW w:w="1440" w:type="dxa"/>
            <w:noWrap/>
            <w:hideMark/>
          </w:tcPr>
          <w:p w14:paraId="2DC045A7"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95,245</w:t>
            </w:r>
          </w:p>
        </w:tc>
        <w:tc>
          <w:tcPr>
            <w:tcW w:w="1350" w:type="dxa"/>
            <w:noWrap/>
            <w:hideMark/>
          </w:tcPr>
          <w:p w14:paraId="443CE91D" w14:textId="77777777"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96,800</w:t>
            </w:r>
          </w:p>
        </w:tc>
        <w:tc>
          <w:tcPr>
            <w:tcW w:w="1260" w:type="dxa"/>
            <w:noWrap/>
            <w:hideMark/>
          </w:tcPr>
          <w:p w14:paraId="6FC7E861" w14:textId="4C3C3A68" w:rsidR="001E1B4E" w:rsidRPr="000C486F" w:rsidRDefault="001E1B4E" w:rsidP="001E1B4E">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0C486F">
              <w:rPr>
                <w:rFonts w:ascii="Baskerville Old Face" w:hAnsi="Baskerville Old Face" w:cs="Times New Roman"/>
              </w:rPr>
              <w:t>101.6%</w:t>
            </w:r>
          </w:p>
        </w:tc>
      </w:tr>
      <w:tr w:rsidR="00732D8E" w:rsidRPr="000C486F" w14:paraId="181810BC" w14:textId="77777777" w:rsidTr="00732D8E">
        <w:trPr>
          <w:trHeight w:val="300"/>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CCE6C80" w14:textId="77777777" w:rsidR="001E1B4E" w:rsidRPr="000C486F" w:rsidRDefault="001E1B4E" w:rsidP="001E1B4E">
            <w:pPr>
              <w:jc w:val="both"/>
              <w:rPr>
                <w:rFonts w:ascii="Baskerville Old Face" w:hAnsi="Baskerville Old Face" w:cs="Times New Roman"/>
              </w:rPr>
            </w:pPr>
            <w:r w:rsidRPr="000C486F">
              <w:rPr>
                <w:rFonts w:ascii="Baskerville Old Face" w:hAnsi="Baskerville Old Face" w:cs="Times New Roman"/>
              </w:rPr>
              <w:t>RUC</w:t>
            </w:r>
          </w:p>
        </w:tc>
        <w:tc>
          <w:tcPr>
            <w:tcW w:w="1530" w:type="dxa"/>
            <w:noWrap/>
            <w:hideMark/>
          </w:tcPr>
          <w:p w14:paraId="16256E60"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214,162</w:t>
            </w:r>
          </w:p>
        </w:tc>
        <w:tc>
          <w:tcPr>
            <w:tcW w:w="1440" w:type="dxa"/>
            <w:noWrap/>
            <w:hideMark/>
          </w:tcPr>
          <w:p w14:paraId="350826BA"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206,669</w:t>
            </w:r>
          </w:p>
        </w:tc>
        <w:tc>
          <w:tcPr>
            <w:tcW w:w="1350" w:type="dxa"/>
            <w:noWrap/>
            <w:hideMark/>
          </w:tcPr>
          <w:p w14:paraId="14C27CD9" w14:textId="7777777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7,493</w:t>
            </w:r>
          </w:p>
        </w:tc>
        <w:tc>
          <w:tcPr>
            <w:tcW w:w="1260" w:type="dxa"/>
            <w:noWrap/>
            <w:hideMark/>
          </w:tcPr>
          <w:p w14:paraId="043C4B0E" w14:textId="3D998717" w:rsidR="001E1B4E" w:rsidRPr="000C486F" w:rsidRDefault="001E1B4E" w:rsidP="001E1B4E">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0C486F">
              <w:rPr>
                <w:rFonts w:ascii="Baskerville Old Face" w:hAnsi="Baskerville Old Face" w:cs="Times New Roman"/>
                <w:b/>
                <w:bCs/>
              </w:rPr>
              <w:t>3.6%</w:t>
            </w:r>
          </w:p>
        </w:tc>
      </w:tr>
    </w:tbl>
    <w:p w14:paraId="3D41F572" w14:textId="77777777" w:rsidR="0045055F" w:rsidRPr="00971BF0" w:rsidRDefault="0045055F" w:rsidP="0045055F">
      <w:pPr>
        <w:spacing w:line="360" w:lineRule="auto"/>
        <w:jc w:val="both"/>
        <w:rPr>
          <w:rFonts w:ascii="Baskerville Old Face" w:hAnsi="Baskerville Old Face" w:cs="Times New Roman"/>
          <w:i/>
          <w:iCs/>
          <w:sz w:val="18"/>
          <w:szCs w:val="18"/>
        </w:rPr>
      </w:pPr>
      <w:r w:rsidRPr="00971BF0">
        <w:rPr>
          <w:rFonts w:ascii="Baskerville Old Face" w:hAnsi="Baskerville Old Face" w:cs="Times New Roman"/>
          <w:i/>
          <w:iCs/>
          <w:sz w:val="18"/>
          <w:szCs w:val="18"/>
        </w:rPr>
        <w:t>Source: MRP Department</w:t>
      </w:r>
    </w:p>
    <w:p w14:paraId="0A290574" w14:textId="5FE8F669" w:rsidR="00EB1DD9" w:rsidRPr="00520DD2" w:rsidRDefault="00395E0D" w:rsidP="00C03BAC">
      <w:pPr>
        <w:pStyle w:val="Heading3"/>
        <w:rPr>
          <w:rFonts w:ascii="Baskerville Old Face" w:hAnsi="Baskerville Old Face"/>
          <w:b/>
          <w:bCs/>
        </w:rPr>
      </w:pPr>
      <w:bookmarkStart w:id="26" w:name="_Hlk158190396"/>
      <w:bookmarkStart w:id="27" w:name="_Toc198043916"/>
      <w:r w:rsidRPr="00520DD2">
        <w:rPr>
          <w:rFonts w:ascii="Baskerville Old Face" w:hAnsi="Baskerville Old Face"/>
          <w:b/>
          <w:bCs/>
        </w:rPr>
        <w:t>2.2.</w:t>
      </w:r>
      <w:r w:rsidR="00520DD2" w:rsidRPr="00520DD2">
        <w:rPr>
          <w:rFonts w:ascii="Baskerville Old Face" w:hAnsi="Baskerville Old Face"/>
          <w:b/>
          <w:bCs/>
        </w:rPr>
        <w:t>2</w:t>
      </w:r>
      <w:r w:rsidRPr="00520DD2">
        <w:rPr>
          <w:rFonts w:ascii="Baskerville Old Face" w:hAnsi="Baskerville Old Face"/>
          <w:b/>
          <w:bCs/>
        </w:rPr>
        <w:t xml:space="preserve"> </w:t>
      </w:r>
      <w:r w:rsidR="006B6ADE" w:rsidRPr="00520DD2">
        <w:rPr>
          <w:rFonts w:ascii="Baskerville Old Face" w:hAnsi="Baskerville Old Face"/>
          <w:b/>
          <w:bCs/>
        </w:rPr>
        <w:t>Quarterly Trend in 202</w:t>
      </w:r>
      <w:r w:rsidR="00EB1DD9" w:rsidRPr="00520DD2">
        <w:rPr>
          <w:rFonts w:ascii="Baskerville Old Face" w:hAnsi="Baskerville Old Face"/>
          <w:b/>
          <w:bCs/>
        </w:rPr>
        <w:t>4</w:t>
      </w:r>
      <w:r w:rsidR="006B6ADE" w:rsidRPr="00520DD2">
        <w:rPr>
          <w:rFonts w:ascii="Baskerville Old Face" w:hAnsi="Baskerville Old Face"/>
          <w:b/>
          <w:bCs/>
        </w:rPr>
        <w:t xml:space="preserve"> Revenue Collection</w:t>
      </w:r>
      <w:bookmarkEnd w:id="26"/>
      <w:bookmarkEnd w:id="27"/>
    </w:p>
    <w:p w14:paraId="7F111C34" w14:textId="53CB0722" w:rsidR="00F871EC" w:rsidRPr="00182E9F" w:rsidRDefault="00F871EC" w:rsidP="00EB1DD9">
      <w:pPr>
        <w:spacing w:line="276" w:lineRule="auto"/>
        <w:jc w:val="both"/>
        <w:rPr>
          <w:rFonts w:ascii="Baskerville Old Face" w:hAnsi="Baskerville Old Face" w:cs="Times New Roman"/>
          <w:sz w:val="24"/>
          <w:szCs w:val="24"/>
        </w:rPr>
      </w:pPr>
      <w:r w:rsidRPr="00A25123">
        <w:rPr>
          <w:rStyle w:val="Strong"/>
          <w:rFonts w:ascii="Baskerville Old Face" w:hAnsi="Baskerville Old Face"/>
          <w:b w:val="0"/>
          <w:bCs w:val="0"/>
          <w:sz w:val="24"/>
          <w:szCs w:val="24"/>
        </w:rPr>
        <w:t>Figure 4 illustrates the quarterly revenue performance for 2024.</w:t>
      </w:r>
      <w:r w:rsidRPr="00A25123">
        <w:rPr>
          <w:rFonts w:ascii="Baskerville Old Face" w:hAnsi="Baskerville Old Face"/>
          <w:b/>
          <w:bCs/>
          <w:sz w:val="24"/>
          <w:szCs w:val="24"/>
        </w:rPr>
        <w:t xml:space="preserve"> </w:t>
      </w:r>
      <w:r w:rsidRPr="00A25123">
        <w:rPr>
          <w:rFonts w:ascii="Baskerville Old Face" w:hAnsi="Baskerville Old Face"/>
          <w:sz w:val="24"/>
          <w:szCs w:val="24"/>
        </w:rPr>
        <w:t>Revenue</w:t>
      </w:r>
      <w:r w:rsidRPr="00182E9F">
        <w:rPr>
          <w:rFonts w:ascii="Baskerville Old Face" w:hAnsi="Baskerville Old Face"/>
          <w:sz w:val="24"/>
          <w:szCs w:val="24"/>
        </w:rPr>
        <w:t xml:space="preserve"> peaked in the second quarter at </w:t>
      </w:r>
      <w:proofErr w:type="spellStart"/>
      <w:r w:rsidRPr="00182E9F">
        <w:rPr>
          <w:rFonts w:ascii="Baskerville Old Face" w:hAnsi="Baskerville Old Face"/>
          <w:sz w:val="24"/>
          <w:szCs w:val="24"/>
        </w:rPr>
        <w:t>NLe</w:t>
      </w:r>
      <w:proofErr w:type="spellEnd"/>
      <w:r w:rsidRPr="00182E9F">
        <w:rPr>
          <w:rFonts w:ascii="Baskerville Old Face" w:hAnsi="Baskerville Old Face"/>
          <w:sz w:val="24"/>
          <w:szCs w:val="24"/>
        </w:rPr>
        <w:t xml:space="preserve"> 3</w:t>
      </w:r>
      <w:r w:rsidR="004328AE">
        <w:rPr>
          <w:rFonts w:ascii="Baskerville Old Face" w:hAnsi="Baskerville Old Face"/>
          <w:sz w:val="24"/>
          <w:szCs w:val="24"/>
        </w:rPr>
        <w:t>.</w:t>
      </w:r>
      <w:r w:rsidRPr="00182E9F">
        <w:rPr>
          <w:rFonts w:ascii="Baskerville Old Face" w:hAnsi="Baskerville Old Face"/>
          <w:sz w:val="24"/>
          <w:szCs w:val="24"/>
        </w:rPr>
        <w:t xml:space="preserve">918 billion, reflecting strong performance largely driven by seasonal factors and improved collection efficiency. However, revenue declined in the third quarter to </w:t>
      </w:r>
      <w:proofErr w:type="spellStart"/>
      <w:r w:rsidRPr="00182E9F">
        <w:rPr>
          <w:rFonts w:ascii="Baskerville Old Face" w:hAnsi="Baskerville Old Face"/>
          <w:sz w:val="24"/>
          <w:szCs w:val="24"/>
        </w:rPr>
        <w:t>NLe</w:t>
      </w:r>
      <w:proofErr w:type="spellEnd"/>
      <w:r w:rsidRPr="00182E9F">
        <w:rPr>
          <w:rFonts w:ascii="Baskerville Old Face" w:hAnsi="Baskerville Old Face"/>
          <w:sz w:val="24"/>
          <w:szCs w:val="24"/>
        </w:rPr>
        <w:t xml:space="preserve"> 3</w:t>
      </w:r>
      <w:r w:rsidR="004328AE">
        <w:rPr>
          <w:rFonts w:ascii="Baskerville Old Face" w:hAnsi="Baskerville Old Face"/>
          <w:sz w:val="24"/>
          <w:szCs w:val="24"/>
        </w:rPr>
        <w:t>.</w:t>
      </w:r>
      <w:r w:rsidRPr="00182E9F">
        <w:rPr>
          <w:rFonts w:ascii="Baskerville Old Face" w:hAnsi="Baskerville Old Face"/>
          <w:sz w:val="24"/>
          <w:szCs w:val="24"/>
        </w:rPr>
        <w:t xml:space="preserve">263 billion, likely due to economic slowdown and reduced tax inflows associated with the peak of the rainy season. Historically, third-quarter collections tend to be the lowest of the year, primarily because economic activity slows during this period of heavy rainfall. Revenue increased in the fourth quarter, signaling a recovery from </w:t>
      </w:r>
      <w:r w:rsidR="00EB1DD9" w:rsidRPr="00182E9F">
        <w:rPr>
          <w:rFonts w:ascii="Baskerville Old Face" w:hAnsi="Baskerville Old Face"/>
          <w:sz w:val="24"/>
          <w:szCs w:val="24"/>
        </w:rPr>
        <w:t xml:space="preserve">the decline in </w:t>
      </w:r>
      <w:r w:rsidRPr="00182E9F">
        <w:rPr>
          <w:rFonts w:ascii="Baskerville Old Face" w:hAnsi="Baskerville Old Face"/>
          <w:sz w:val="24"/>
          <w:szCs w:val="24"/>
        </w:rPr>
        <w:t xml:space="preserve">quarter three. </w:t>
      </w:r>
      <w:r w:rsidRPr="00182E9F">
        <w:rPr>
          <w:rFonts w:ascii="Baskerville Old Face" w:hAnsi="Baskerville Old Face" w:cs="Times New Roman"/>
          <w:sz w:val="24"/>
          <w:szCs w:val="24"/>
        </w:rPr>
        <w:t xml:space="preserve">The increase in quarter four from quarter three </w:t>
      </w:r>
      <w:r w:rsidR="00EB1DD9" w:rsidRPr="00182E9F">
        <w:rPr>
          <w:rFonts w:ascii="Baskerville Old Face" w:hAnsi="Baskerville Old Face" w:cs="Times New Roman"/>
          <w:sz w:val="24"/>
          <w:szCs w:val="24"/>
        </w:rPr>
        <w:t xml:space="preserve">can be attributed to (among other factors) </w:t>
      </w:r>
      <w:r w:rsidRPr="00182E9F">
        <w:rPr>
          <w:rFonts w:ascii="Baskerville Old Face" w:hAnsi="Baskerville Old Face" w:cs="Times New Roman"/>
          <w:sz w:val="24"/>
          <w:szCs w:val="24"/>
        </w:rPr>
        <w:t>increased import activity and domestic consumption due to festivities during this period.</w:t>
      </w:r>
    </w:p>
    <w:p w14:paraId="37C6AAE9" w14:textId="77777777" w:rsidR="00F573A1" w:rsidRDefault="00F573A1" w:rsidP="00D06D8C">
      <w:pPr>
        <w:rPr>
          <w:rFonts w:ascii="Baskerville Old Face" w:hAnsi="Baskerville Old Face" w:cs="Times New Roman"/>
          <w:b/>
          <w:bCs/>
          <w:i/>
          <w:iCs/>
          <w:sz w:val="24"/>
          <w:szCs w:val="24"/>
        </w:rPr>
      </w:pPr>
    </w:p>
    <w:p w14:paraId="601788D2" w14:textId="77777777" w:rsidR="00F573A1" w:rsidRDefault="00F573A1" w:rsidP="00D06D8C">
      <w:pPr>
        <w:rPr>
          <w:rFonts w:ascii="Baskerville Old Face" w:hAnsi="Baskerville Old Face" w:cs="Times New Roman"/>
          <w:b/>
          <w:bCs/>
          <w:i/>
          <w:iCs/>
          <w:sz w:val="24"/>
          <w:szCs w:val="24"/>
        </w:rPr>
      </w:pPr>
    </w:p>
    <w:p w14:paraId="58D48EAD" w14:textId="77777777" w:rsidR="00F573A1" w:rsidRDefault="00F573A1" w:rsidP="00D06D8C">
      <w:pPr>
        <w:rPr>
          <w:rFonts w:ascii="Baskerville Old Face" w:hAnsi="Baskerville Old Face" w:cs="Times New Roman"/>
          <w:b/>
          <w:bCs/>
          <w:i/>
          <w:iCs/>
          <w:sz w:val="24"/>
          <w:szCs w:val="24"/>
        </w:rPr>
      </w:pPr>
    </w:p>
    <w:p w14:paraId="586EA832" w14:textId="77777777" w:rsidR="00F573A1" w:rsidRDefault="00F573A1" w:rsidP="00D06D8C">
      <w:pPr>
        <w:rPr>
          <w:rFonts w:ascii="Baskerville Old Face" w:hAnsi="Baskerville Old Face" w:cs="Times New Roman"/>
          <w:b/>
          <w:bCs/>
          <w:i/>
          <w:iCs/>
          <w:sz w:val="24"/>
          <w:szCs w:val="24"/>
        </w:rPr>
      </w:pPr>
    </w:p>
    <w:p w14:paraId="71F47ACE" w14:textId="77777777" w:rsidR="00F573A1" w:rsidRDefault="00F573A1" w:rsidP="00D06D8C">
      <w:pPr>
        <w:rPr>
          <w:rFonts w:ascii="Baskerville Old Face" w:hAnsi="Baskerville Old Face" w:cs="Times New Roman"/>
          <w:b/>
          <w:bCs/>
          <w:i/>
          <w:iCs/>
          <w:sz w:val="24"/>
          <w:szCs w:val="24"/>
        </w:rPr>
      </w:pPr>
    </w:p>
    <w:p w14:paraId="7A53BA3C" w14:textId="53ABDBCA" w:rsidR="00766021" w:rsidRPr="0068040E" w:rsidRDefault="00766021" w:rsidP="00766021">
      <w:pPr>
        <w:pStyle w:val="Caption"/>
        <w:rPr>
          <w:rFonts w:ascii="Baskerville Old Face" w:hAnsi="Baskerville Old Face" w:cs="Times New Roman"/>
          <w:b/>
          <w:bCs/>
          <w:i w:val="0"/>
          <w:iCs w:val="0"/>
          <w:sz w:val="36"/>
          <w:szCs w:val="36"/>
        </w:rPr>
      </w:pPr>
      <w:bookmarkStart w:id="28" w:name="_Toc198044050"/>
      <w:r w:rsidRPr="0068040E">
        <w:rPr>
          <w:rFonts w:ascii="Baskerville Old Face" w:hAnsi="Baskerville Old Face"/>
          <w:b/>
          <w:bCs/>
          <w:sz w:val="24"/>
          <w:szCs w:val="24"/>
        </w:rPr>
        <w:lastRenderedPageBreak/>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0068040E" w:rsidRPr="0068040E">
        <w:rPr>
          <w:rFonts w:ascii="Baskerville Old Face" w:hAnsi="Baskerville Old Face"/>
          <w:b/>
          <w:bCs/>
          <w:noProof/>
          <w:sz w:val="24"/>
          <w:szCs w:val="24"/>
        </w:rPr>
        <w:t>4</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Quarterly Trend of 2024 Domestic Revenue (</w:t>
      </w:r>
      <w:proofErr w:type="spellStart"/>
      <w:r w:rsidRPr="0068040E">
        <w:rPr>
          <w:rFonts w:ascii="Baskerville Old Face" w:hAnsi="Baskerville Old Face"/>
          <w:b/>
          <w:bCs/>
          <w:sz w:val="24"/>
          <w:szCs w:val="24"/>
        </w:rPr>
        <w:t>NLe</w:t>
      </w:r>
      <w:proofErr w:type="spellEnd"/>
      <w:r w:rsidRPr="0068040E">
        <w:rPr>
          <w:rFonts w:ascii="Baskerville Old Face" w:hAnsi="Baskerville Old Face"/>
          <w:b/>
          <w:bCs/>
          <w:sz w:val="24"/>
          <w:szCs w:val="24"/>
        </w:rPr>
        <w:t xml:space="preserve"> Million)</w:t>
      </w:r>
      <w:bookmarkEnd w:id="28"/>
    </w:p>
    <w:p w14:paraId="536A7BD8" w14:textId="64D90372" w:rsidR="006B6ADE" w:rsidRPr="00285F16" w:rsidRDefault="00146FB9" w:rsidP="004D5FD6">
      <w:pPr>
        <w:rPr>
          <w:rFonts w:ascii="Baskerville Old Face" w:hAnsi="Baskerville Old Face" w:cs="Times New Roman"/>
          <w:sz w:val="24"/>
          <w:szCs w:val="24"/>
        </w:rPr>
      </w:pPr>
      <w:r w:rsidRPr="00146FB9">
        <w:rPr>
          <w:rFonts w:ascii="Baskerville Old Face" w:hAnsi="Baskerville Old Face" w:cs="Times New Roman"/>
          <w:noProof/>
          <w:sz w:val="24"/>
          <w:szCs w:val="24"/>
        </w:rPr>
        <w:drawing>
          <wp:inline distT="0" distB="0" distL="0" distR="0" wp14:anchorId="7466123D" wp14:editId="3EA659A6">
            <wp:extent cx="5943600" cy="2811780"/>
            <wp:effectExtent l="0" t="0" r="0" b="7620"/>
            <wp:docPr id="545582391" name="Chart 1">
              <a:extLst xmlns:a="http://schemas.openxmlformats.org/drawingml/2006/main">
                <a:ext uri="{FF2B5EF4-FFF2-40B4-BE49-F238E27FC236}">
                  <a16:creationId xmlns:a16="http://schemas.microsoft.com/office/drawing/2014/main" id="{023E4A96-68AF-D021-ADD8-8000959AC3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C3E1A6" w14:textId="77777777" w:rsidR="00971BF0" w:rsidRPr="00971BF0" w:rsidRDefault="00971BF0" w:rsidP="00971BF0">
      <w:pPr>
        <w:spacing w:line="360" w:lineRule="auto"/>
        <w:jc w:val="both"/>
        <w:rPr>
          <w:rFonts w:ascii="Baskerville Old Face" w:hAnsi="Baskerville Old Face" w:cs="Times New Roman"/>
          <w:i/>
          <w:iCs/>
          <w:sz w:val="18"/>
          <w:szCs w:val="18"/>
        </w:rPr>
      </w:pPr>
      <w:r w:rsidRPr="00971BF0">
        <w:rPr>
          <w:rFonts w:ascii="Baskerville Old Face" w:hAnsi="Baskerville Old Face" w:cs="Times New Roman"/>
          <w:i/>
          <w:iCs/>
          <w:sz w:val="18"/>
          <w:szCs w:val="18"/>
        </w:rPr>
        <w:t>Source: MRP Department</w:t>
      </w:r>
    </w:p>
    <w:p w14:paraId="10DAF7E7" w14:textId="0CD18754" w:rsidR="006B6ADE" w:rsidRPr="00520DD2" w:rsidRDefault="00395E0D" w:rsidP="00C03BAC">
      <w:pPr>
        <w:pStyle w:val="Heading3"/>
        <w:rPr>
          <w:rFonts w:ascii="Baskerville Old Face" w:hAnsi="Baskerville Old Face"/>
          <w:b/>
          <w:bCs/>
        </w:rPr>
      </w:pPr>
      <w:bookmarkStart w:id="29" w:name="_Toc198043917"/>
      <w:bookmarkStart w:id="30" w:name="_Hlk158190415"/>
      <w:r w:rsidRPr="00520DD2">
        <w:rPr>
          <w:rFonts w:ascii="Baskerville Old Face" w:hAnsi="Baskerville Old Face"/>
          <w:b/>
          <w:bCs/>
        </w:rPr>
        <w:t>2.2.</w:t>
      </w:r>
      <w:r w:rsidR="00520DD2" w:rsidRPr="00520DD2">
        <w:rPr>
          <w:rFonts w:ascii="Baskerville Old Face" w:hAnsi="Baskerville Old Face"/>
          <w:b/>
          <w:bCs/>
        </w:rPr>
        <w:t>3</w:t>
      </w:r>
      <w:r w:rsidRPr="00520DD2">
        <w:rPr>
          <w:rFonts w:ascii="Baskerville Old Face" w:hAnsi="Baskerville Old Face"/>
          <w:b/>
          <w:bCs/>
        </w:rPr>
        <w:t xml:space="preserve"> </w:t>
      </w:r>
      <w:r w:rsidR="006B6ADE" w:rsidRPr="00520DD2">
        <w:rPr>
          <w:rFonts w:ascii="Baskerville Old Face" w:hAnsi="Baskerville Old Face"/>
          <w:b/>
          <w:bCs/>
        </w:rPr>
        <w:t>Revenue Performance in 202</w:t>
      </w:r>
      <w:r w:rsidR="00B91590" w:rsidRPr="00520DD2">
        <w:rPr>
          <w:rFonts w:ascii="Baskerville Old Face" w:hAnsi="Baskerville Old Face"/>
          <w:b/>
          <w:bCs/>
        </w:rPr>
        <w:t>4</w:t>
      </w:r>
      <w:r w:rsidR="006B6ADE" w:rsidRPr="00520DD2">
        <w:rPr>
          <w:rFonts w:ascii="Baskerville Old Face" w:hAnsi="Baskerville Old Face"/>
          <w:b/>
          <w:bCs/>
        </w:rPr>
        <w:t xml:space="preserve"> Relative to Target</w:t>
      </w:r>
      <w:bookmarkEnd w:id="29"/>
    </w:p>
    <w:bookmarkEnd w:id="30"/>
    <w:p w14:paraId="04BA041F" w14:textId="429FD843" w:rsidR="00476AED" w:rsidRPr="00AF3BD4" w:rsidRDefault="00476AED" w:rsidP="00476AE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182E9F">
        <w:rPr>
          <w:rFonts w:ascii="Baskerville Old Face" w:eastAsia="Times New Roman" w:hAnsi="Baskerville Old Face" w:cs="Times New Roman"/>
          <w:kern w:val="0"/>
          <w:sz w:val="24"/>
          <w:szCs w:val="24"/>
          <w14:ligatures w14:val="none"/>
        </w:rPr>
        <w:t>T</w:t>
      </w:r>
      <w:r w:rsidRPr="00AF3BD4">
        <w:rPr>
          <w:rFonts w:ascii="Baskerville Old Face" w:eastAsia="Times New Roman" w:hAnsi="Baskerville Old Face" w:cs="Times New Roman"/>
          <w:kern w:val="0"/>
          <w:sz w:val="24"/>
          <w:szCs w:val="24"/>
          <w14:ligatures w14:val="none"/>
        </w:rPr>
        <w:t xml:space="preserve">otal domestic revenue collected by the NRA </w:t>
      </w:r>
      <w:r w:rsidR="00E5675F">
        <w:rPr>
          <w:rFonts w:ascii="Baskerville Old Face" w:eastAsia="Times New Roman" w:hAnsi="Baskerville Old Face" w:cs="Times New Roman"/>
          <w:kern w:val="0"/>
          <w:sz w:val="24"/>
          <w:szCs w:val="24"/>
          <w14:ligatures w14:val="none"/>
        </w:rPr>
        <w:t>in</w:t>
      </w:r>
      <w:r w:rsidRPr="00182E9F">
        <w:rPr>
          <w:rFonts w:ascii="Baskerville Old Face" w:eastAsia="Times New Roman" w:hAnsi="Baskerville Old Face" w:cs="Times New Roman"/>
          <w:kern w:val="0"/>
          <w:sz w:val="24"/>
          <w:szCs w:val="24"/>
          <w14:ligatures w14:val="none"/>
        </w:rPr>
        <w:t xml:space="preserve"> 2024</w:t>
      </w:r>
      <w:r w:rsidRPr="00AF3BD4">
        <w:rPr>
          <w:rFonts w:ascii="Baskerville Old Face" w:eastAsia="Times New Roman" w:hAnsi="Baskerville Old Face" w:cs="Times New Roman"/>
          <w:kern w:val="0"/>
          <w:sz w:val="24"/>
          <w:szCs w:val="24"/>
          <w14:ligatures w14:val="none"/>
        </w:rPr>
        <w:t xml:space="preserve"> amounted to </w:t>
      </w:r>
      <w:proofErr w:type="spellStart"/>
      <w:r w:rsidRPr="00AF3BD4">
        <w:rPr>
          <w:rFonts w:ascii="Baskerville Old Face" w:eastAsia="Times New Roman" w:hAnsi="Baskerville Old Face" w:cs="Times New Roman"/>
          <w:kern w:val="0"/>
          <w:sz w:val="24"/>
          <w:szCs w:val="24"/>
          <w14:ligatures w14:val="none"/>
        </w:rPr>
        <w:t>NLe</w:t>
      </w:r>
      <w:proofErr w:type="spellEnd"/>
      <w:r w:rsidRPr="00AF3BD4">
        <w:rPr>
          <w:rFonts w:ascii="Baskerville Old Face" w:eastAsia="Times New Roman" w:hAnsi="Baskerville Old Face" w:cs="Times New Roman"/>
          <w:kern w:val="0"/>
          <w:sz w:val="24"/>
          <w:szCs w:val="24"/>
          <w14:ligatures w14:val="none"/>
        </w:rPr>
        <w:t xml:space="preserve"> 14.56</w:t>
      </w:r>
      <w:r w:rsidR="00E5675F">
        <w:rPr>
          <w:rFonts w:ascii="Baskerville Old Face" w:eastAsia="Times New Roman" w:hAnsi="Baskerville Old Face" w:cs="Times New Roman"/>
          <w:kern w:val="0"/>
          <w:sz w:val="24"/>
          <w:szCs w:val="24"/>
          <w14:ligatures w14:val="none"/>
        </w:rPr>
        <w:t>0</w:t>
      </w:r>
      <w:r w:rsidRPr="00AF3BD4">
        <w:rPr>
          <w:rFonts w:ascii="Baskerville Old Face" w:eastAsia="Times New Roman" w:hAnsi="Baskerville Old Face" w:cs="Times New Roman"/>
          <w:kern w:val="0"/>
          <w:sz w:val="24"/>
          <w:szCs w:val="24"/>
          <w14:ligatures w14:val="none"/>
        </w:rPr>
        <w:t xml:space="preserve"> billion, falling short of the revised annual target of </w:t>
      </w:r>
      <w:proofErr w:type="spellStart"/>
      <w:r w:rsidRPr="00AF3BD4">
        <w:rPr>
          <w:rFonts w:ascii="Baskerville Old Face" w:eastAsia="Times New Roman" w:hAnsi="Baskerville Old Face" w:cs="Times New Roman"/>
          <w:kern w:val="0"/>
          <w:sz w:val="24"/>
          <w:szCs w:val="24"/>
          <w14:ligatures w14:val="none"/>
        </w:rPr>
        <w:t>NLe</w:t>
      </w:r>
      <w:proofErr w:type="spellEnd"/>
      <w:r w:rsidRPr="00AF3BD4">
        <w:rPr>
          <w:rFonts w:ascii="Baskerville Old Face" w:eastAsia="Times New Roman" w:hAnsi="Baskerville Old Face" w:cs="Times New Roman"/>
          <w:kern w:val="0"/>
          <w:sz w:val="24"/>
          <w:szCs w:val="24"/>
          <w14:ligatures w14:val="none"/>
        </w:rPr>
        <w:t xml:space="preserve"> 14.69</w:t>
      </w:r>
      <w:r w:rsidR="00E5675F">
        <w:rPr>
          <w:rFonts w:ascii="Baskerville Old Face" w:eastAsia="Times New Roman" w:hAnsi="Baskerville Old Face" w:cs="Times New Roman"/>
          <w:kern w:val="0"/>
          <w:sz w:val="24"/>
          <w:szCs w:val="24"/>
          <w14:ligatures w14:val="none"/>
        </w:rPr>
        <w:t>0</w:t>
      </w:r>
      <w:r w:rsidRPr="00AF3BD4">
        <w:rPr>
          <w:rFonts w:ascii="Baskerville Old Face" w:eastAsia="Times New Roman" w:hAnsi="Baskerville Old Face" w:cs="Times New Roman"/>
          <w:kern w:val="0"/>
          <w:sz w:val="24"/>
          <w:szCs w:val="24"/>
          <w14:ligatures w14:val="none"/>
        </w:rPr>
        <w:t xml:space="preserve"> billion by </w:t>
      </w:r>
      <w:proofErr w:type="spellStart"/>
      <w:r w:rsidRPr="00AF3BD4">
        <w:rPr>
          <w:rFonts w:ascii="Baskerville Old Face" w:eastAsia="Times New Roman" w:hAnsi="Baskerville Old Face" w:cs="Times New Roman"/>
          <w:kern w:val="0"/>
          <w:sz w:val="24"/>
          <w:szCs w:val="24"/>
          <w14:ligatures w14:val="none"/>
        </w:rPr>
        <w:t>NLe</w:t>
      </w:r>
      <w:proofErr w:type="spellEnd"/>
      <w:r w:rsidRPr="00AF3BD4">
        <w:rPr>
          <w:rFonts w:ascii="Baskerville Old Face" w:eastAsia="Times New Roman" w:hAnsi="Baskerville Old Face" w:cs="Times New Roman"/>
          <w:kern w:val="0"/>
          <w:sz w:val="24"/>
          <w:szCs w:val="24"/>
          <w14:ligatures w14:val="none"/>
        </w:rPr>
        <w:t xml:space="preserve"> 129.</w:t>
      </w:r>
      <w:r w:rsidR="00E5675F">
        <w:rPr>
          <w:rFonts w:ascii="Baskerville Old Face" w:eastAsia="Times New Roman" w:hAnsi="Baskerville Old Face" w:cs="Times New Roman"/>
          <w:kern w:val="0"/>
          <w:sz w:val="24"/>
          <w:szCs w:val="24"/>
          <w14:ligatures w14:val="none"/>
        </w:rPr>
        <w:t>68</w:t>
      </w:r>
      <w:r w:rsidRPr="00AF3BD4">
        <w:rPr>
          <w:rFonts w:ascii="Baskerville Old Face" w:eastAsia="Times New Roman" w:hAnsi="Baskerville Old Face" w:cs="Times New Roman"/>
          <w:kern w:val="0"/>
          <w:sz w:val="24"/>
          <w:szCs w:val="24"/>
          <w14:ligatures w14:val="none"/>
        </w:rPr>
        <w:t>7 million, representing a slight underperformance of 0.9%. While the overall deviation appears marginal, a closer look at the individual components reveals mixed results with significant variances.</w:t>
      </w:r>
    </w:p>
    <w:p w14:paraId="0AEBDBCF" w14:textId="5A879FFF" w:rsidR="00476AED" w:rsidRPr="00AF3BD4" w:rsidRDefault="00476AED" w:rsidP="00476AE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F3BD4">
        <w:rPr>
          <w:rFonts w:ascii="Baskerville Old Face" w:eastAsia="Times New Roman" w:hAnsi="Baskerville Old Face" w:cs="Times New Roman"/>
          <w:kern w:val="0"/>
          <w:sz w:val="24"/>
          <w:szCs w:val="24"/>
          <w14:ligatures w14:val="none"/>
        </w:rPr>
        <w:t>DTD revenue exceeded its target by 1.5%, largely driven by strong performance in Corporate Income Tax (CIT), which surpassed its target by 21.6%, and Personal Income Tax (PIT), which came close to meeting expectations, missing the target by only 1.9%. Income Tax collections as a whole performed well, with an overall surplus of 6.7%.</w:t>
      </w:r>
      <w:r w:rsidR="00D03CB1">
        <w:rPr>
          <w:rFonts w:ascii="Baskerville Old Face" w:eastAsia="Times New Roman" w:hAnsi="Baskerville Old Face" w:cs="Times New Roman"/>
          <w:kern w:val="0"/>
          <w:sz w:val="24"/>
          <w:szCs w:val="24"/>
          <w14:ligatures w14:val="none"/>
        </w:rPr>
        <w:t xml:space="preserve"> </w:t>
      </w:r>
      <w:r w:rsidRPr="00AF3BD4">
        <w:rPr>
          <w:rFonts w:ascii="Baskerville Old Face" w:eastAsia="Times New Roman" w:hAnsi="Baskerville Old Face" w:cs="Times New Roman"/>
          <w:kern w:val="0"/>
          <w:sz w:val="24"/>
          <w:szCs w:val="24"/>
          <w14:ligatures w14:val="none"/>
        </w:rPr>
        <w:t>However, the Goods and Services Tax (GST) underperformed, falling short by 9.6%. The decline was mainly attributed to weak performance in Import GST, which was 20.4% below target. This shortfall was partially offset by Domestic GST, which exceeded its target by 2.9%.</w:t>
      </w:r>
    </w:p>
    <w:p w14:paraId="155C5085" w14:textId="4FE9AC6E" w:rsidR="00476AED" w:rsidRPr="00AF3BD4" w:rsidRDefault="00476AED" w:rsidP="00476AED">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F3BD4">
        <w:rPr>
          <w:rFonts w:ascii="Baskerville Old Face" w:eastAsia="Times New Roman" w:hAnsi="Baskerville Old Face" w:cs="Times New Roman"/>
          <w:kern w:val="0"/>
          <w:sz w:val="24"/>
          <w:szCs w:val="24"/>
          <w14:ligatures w14:val="none"/>
        </w:rPr>
        <w:t xml:space="preserve">Customs and Excise collections were </w:t>
      </w:r>
      <w:r w:rsidRPr="00182E9F">
        <w:rPr>
          <w:rFonts w:ascii="Baskerville Old Face" w:eastAsia="Times New Roman" w:hAnsi="Baskerville Old Face" w:cs="Times New Roman"/>
          <w:kern w:val="0"/>
          <w:sz w:val="24"/>
          <w:szCs w:val="24"/>
          <w14:ligatures w14:val="none"/>
        </w:rPr>
        <w:t>generally</w:t>
      </w:r>
      <w:r w:rsidRPr="00AF3BD4">
        <w:rPr>
          <w:rFonts w:ascii="Baskerville Old Face" w:eastAsia="Times New Roman" w:hAnsi="Baskerville Old Face" w:cs="Times New Roman"/>
          <w:kern w:val="0"/>
          <w:sz w:val="24"/>
          <w:szCs w:val="24"/>
          <w14:ligatures w14:val="none"/>
        </w:rPr>
        <w:t xml:space="preserve"> on target, with Import Duties and Petroleum Excise slightly exceeding </w:t>
      </w:r>
      <w:r w:rsidR="004801AB">
        <w:rPr>
          <w:rFonts w:ascii="Baskerville Old Face" w:eastAsia="Times New Roman" w:hAnsi="Baskerville Old Face" w:cs="Times New Roman"/>
          <w:kern w:val="0"/>
          <w:sz w:val="24"/>
          <w:szCs w:val="24"/>
          <w14:ligatures w14:val="none"/>
        </w:rPr>
        <w:t>target</w:t>
      </w:r>
      <w:r w:rsidRPr="00AF3BD4">
        <w:rPr>
          <w:rFonts w:ascii="Baskerville Old Face" w:eastAsia="Times New Roman" w:hAnsi="Baskerville Old Face" w:cs="Times New Roman"/>
          <w:kern w:val="0"/>
          <w:sz w:val="24"/>
          <w:szCs w:val="24"/>
          <w14:ligatures w14:val="none"/>
        </w:rPr>
        <w:t xml:space="preserve">s, although Other Excise declined marginally by 3.4%. On the other hand, NTR posted the largest underperformance, missing its target by </w:t>
      </w:r>
      <w:proofErr w:type="spellStart"/>
      <w:r w:rsidRPr="00AF3BD4">
        <w:rPr>
          <w:rFonts w:ascii="Baskerville Old Face" w:eastAsia="Times New Roman" w:hAnsi="Baskerville Old Face" w:cs="Times New Roman"/>
          <w:kern w:val="0"/>
          <w:sz w:val="24"/>
          <w:szCs w:val="24"/>
          <w14:ligatures w14:val="none"/>
        </w:rPr>
        <w:t>NLe</w:t>
      </w:r>
      <w:proofErr w:type="spellEnd"/>
      <w:r w:rsidRPr="00AF3BD4">
        <w:rPr>
          <w:rFonts w:ascii="Baskerville Old Face" w:eastAsia="Times New Roman" w:hAnsi="Baskerville Old Face" w:cs="Times New Roman"/>
          <w:kern w:val="0"/>
          <w:sz w:val="24"/>
          <w:szCs w:val="24"/>
          <w14:ligatures w14:val="none"/>
        </w:rPr>
        <w:t xml:space="preserve"> 314</w:t>
      </w:r>
      <w:r w:rsidR="004801AB">
        <w:rPr>
          <w:rFonts w:ascii="Baskerville Old Face" w:eastAsia="Times New Roman" w:hAnsi="Baskerville Old Face" w:cs="Times New Roman"/>
          <w:kern w:val="0"/>
          <w:sz w:val="24"/>
          <w:szCs w:val="24"/>
          <w14:ligatures w14:val="none"/>
        </w:rPr>
        <w:t>.294</w:t>
      </w:r>
      <w:r w:rsidRPr="00AF3BD4">
        <w:rPr>
          <w:rFonts w:ascii="Baskerville Old Face" w:eastAsia="Times New Roman" w:hAnsi="Baskerville Old Face" w:cs="Times New Roman"/>
          <w:kern w:val="0"/>
          <w:sz w:val="24"/>
          <w:szCs w:val="24"/>
          <w14:ligatures w14:val="none"/>
        </w:rPr>
        <w:t xml:space="preserve"> million or 9.4%. This was primarily due to lower-than-expected revenue from mining and other government departments, which fell short by 13.4% and 7.3%, respectively. Road User Charges (RUC) exceeded target by 8.2%.</w:t>
      </w:r>
    </w:p>
    <w:p w14:paraId="7874B184" w14:textId="77777777" w:rsidR="00F573A1" w:rsidRDefault="00F573A1" w:rsidP="008C47C1">
      <w:pPr>
        <w:spacing w:line="240" w:lineRule="auto"/>
        <w:jc w:val="both"/>
        <w:rPr>
          <w:rFonts w:ascii="Baskerville Old Face" w:hAnsi="Baskerville Old Face" w:cs="Times New Roman"/>
          <w:b/>
          <w:bCs/>
          <w:i/>
          <w:iCs/>
          <w:sz w:val="24"/>
          <w:szCs w:val="24"/>
        </w:rPr>
      </w:pPr>
    </w:p>
    <w:p w14:paraId="287D9AFA" w14:textId="7E1B308A" w:rsidR="00326812" w:rsidRPr="0068040E" w:rsidRDefault="00326812" w:rsidP="00326812">
      <w:pPr>
        <w:pStyle w:val="Caption"/>
        <w:keepNext/>
        <w:rPr>
          <w:rFonts w:ascii="Baskerville Old Face" w:hAnsi="Baskerville Old Face"/>
          <w:b/>
          <w:bCs/>
          <w:sz w:val="24"/>
          <w:szCs w:val="24"/>
        </w:rPr>
      </w:pPr>
      <w:bookmarkStart w:id="31" w:name="_Toc198044022"/>
      <w:r w:rsidRPr="0068040E">
        <w:rPr>
          <w:rFonts w:ascii="Baskerville Old Face" w:hAnsi="Baskerville Old Face"/>
          <w:b/>
          <w:bCs/>
          <w:sz w:val="24"/>
          <w:szCs w:val="24"/>
        </w:rPr>
        <w:lastRenderedPageBreak/>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0071721B" w:rsidRPr="0068040E">
        <w:rPr>
          <w:rFonts w:ascii="Baskerville Old Face" w:hAnsi="Baskerville Old Face"/>
          <w:b/>
          <w:bCs/>
          <w:noProof/>
          <w:sz w:val="24"/>
          <w:szCs w:val="24"/>
        </w:rPr>
        <w:t>4</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2024 Domestic Revenue Collection Relative to Budget Target (</w:t>
      </w:r>
      <w:proofErr w:type="spellStart"/>
      <w:r w:rsidRPr="0068040E">
        <w:rPr>
          <w:rFonts w:ascii="Baskerville Old Face" w:hAnsi="Baskerville Old Face"/>
          <w:b/>
          <w:bCs/>
          <w:sz w:val="24"/>
          <w:szCs w:val="24"/>
        </w:rPr>
        <w:t>NLe</w:t>
      </w:r>
      <w:proofErr w:type="spellEnd"/>
      <w:r w:rsidRPr="0068040E">
        <w:rPr>
          <w:rFonts w:ascii="Baskerville Old Face" w:hAnsi="Baskerville Old Face"/>
          <w:b/>
          <w:bCs/>
          <w:sz w:val="24"/>
          <w:szCs w:val="24"/>
        </w:rPr>
        <w:t xml:space="preserve"> Thousand)</w:t>
      </w:r>
      <w:bookmarkEnd w:id="31"/>
    </w:p>
    <w:tbl>
      <w:tblPr>
        <w:tblStyle w:val="GridTable4-Accent3"/>
        <w:tblW w:w="10473" w:type="dxa"/>
        <w:tblLook w:val="04A0" w:firstRow="1" w:lastRow="0" w:firstColumn="1" w:lastColumn="0" w:noHBand="0" w:noVBand="1"/>
      </w:tblPr>
      <w:tblGrid>
        <w:gridCol w:w="3505"/>
        <w:gridCol w:w="1350"/>
        <w:gridCol w:w="1350"/>
        <w:gridCol w:w="1099"/>
        <w:gridCol w:w="1099"/>
        <w:gridCol w:w="990"/>
        <w:gridCol w:w="1080"/>
      </w:tblGrid>
      <w:tr w:rsidR="00CF49CD" w:rsidRPr="00CF49CD" w14:paraId="74DEFC17" w14:textId="77777777" w:rsidTr="00CF49C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6A257E33" w14:textId="77777777" w:rsidR="00CF49CD" w:rsidRPr="00CF49CD" w:rsidRDefault="00CF49CD" w:rsidP="00CF49CD">
            <w:pPr>
              <w:jc w:val="both"/>
              <w:rPr>
                <w:rFonts w:ascii="Baskerville Old Face" w:hAnsi="Baskerville Old Face" w:cs="Times New Roman"/>
                <w:sz w:val="20"/>
                <w:szCs w:val="20"/>
              </w:rPr>
            </w:pPr>
            <w:r w:rsidRPr="00CF49CD">
              <w:rPr>
                <w:rFonts w:ascii="Baskerville Old Face" w:hAnsi="Baskerville Old Face" w:cs="Times New Roman"/>
                <w:sz w:val="20"/>
                <w:szCs w:val="20"/>
              </w:rPr>
              <w:t> </w:t>
            </w:r>
          </w:p>
        </w:tc>
        <w:tc>
          <w:tcPr>
            <w:tcW w:w="1350" w:type="dxa"/>
            <w:noWrap/>
            <w:hideMark/>
          </w:tcPr>
          <w:p w14:paraId="3B6747AA" w14:textId="77777777"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 xml:space="preserve">2024 First Half Actual </w:t>
            </w:r>
          </w:p>
        </w:tc>
        <w:tc>
          <w:tcPr>
            <w:tcW w:w="1350" w:type="dxa"/>
            <w:noWrap/>
            <w:hideMark/>
          </w:tcPr>
          <w:p w14:paraId="04351622" w14:textId="77777777"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 xml:space="preserve">2024 Second Half Actual </w:t>
            </w:r>
          </w:p>
        </w:tc>
        <w:tc>
          <w:tcPr>
            <w:tcW w:w="1099" w:type="dxa"/>
            <w:noWrap/>
            <w:hideMark/>
          </w:tcPr>
          <w:p w14:paraId="039ED3DF" w14:textId="1C0A40AB"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2024 Act</w:t>
            </w:r>
            <w:r>
              <w:rPr>
                <w:rFonts w:ascii="Baskerville Old Face" w:hAnsi="Baskerville Old Face" w:cs="Times New Roman"/>
                <w:color w:val="auto"/>
                <w:sz w:val="20"/>
                <w:szCs w:val="20"/>
              </w:rPr>
              <w:t>ual</w:t>
            </w:r>
          </w:p>
        </w:tc>
        <w:tc>
          <w:tcPr>
            <w:tcW w:w="1099" w:type="dxa"/>
            <w:noWrap/>
            <w:hideMark/>
          </w:tcPr>
          <w:p w14:paraId="7F32CA5B" w14:textId="77777777"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 xml:space="preserve">2024 Target </w:t>
            </w:r>
          </w:p>
        </w:tc>
        <w:tc>
          <w:tcPr>
            <w:tcW w:w="990" w:type="dxa"/>
            <w:noWrap/>
            <w:hideMark/>
          </w:tcPr>
          <w:p w14:paraId="5A89F5AD" w14:textId="77777777"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Var</w:t>
            </w:r>
          </w:p>
        </w:tc>
        <w:tc>
          <w:tcPr>
            <w:tcW w:w="1080" w:type="dxa"/>
            <w:noWrap/>
            <w:hideMark/>
          </w:tcPr>
          <w:p w14:paraId="79A2C7FC" w14:textId="77777777" w:rsidR="00CF49CD" w:rsidRPr="00CF49CD" w:rsidRDefault="00CF49CD" w:rsidP="00CF49C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CF49CD">
              <w:rPr>
                <w:rFonts w:ascii="Baskerville Old Face" w:hAnsi="Baskerville Old Face" w:cs="Times New Roman"/>
                <w:color w:val="auto"/>
                <w:sz w:val="20"/>
                <w:szCs w:val="20"/>
              </w:rPr>
              <w:t>% Var</w:t>
            </w:r>
          </w:p>
        </w:tc>
      </w:tr>
      <w:tr w:rsidR="00CF49CD" w:rsidRPr="00CF49CD" w14:paraId="625DA184"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2979EDC7" w14:textId="00DE8188" w:rsidR="00CF49CD" w:rsidRPr="00CF49CD" w:rsidRDefault="00CF49CD" w:rsidP="00CF49CD">
            <w:pPr>
              <w:rPr>
                <w:rFonts w:ascii="Baskerville Old Face" w:hAnsi="Baskerville Old Face" w:cs="Times New Roman"/>
                <w:sz w:val="20"/>
                <w:szCs w:val="20"/>
                <w:u w:val="single"/>
              </w:rPr>
            </w:pPr>
            <w:r w:rsidRPr="00CF49CD">
              <w:rPr>
                <w:rFonts w:ascii="Baskerville Old Face" w:hAnsi="Baskerville Old Face" w:cs="Times New Roman"/>
                <w:sz w:val="20"/>
                <w:szCs w:val="20"/>
                <w:u w:val="single"/>
              </w:rPr>
              <w:t>TOTAL DOMESTIC REVENUE</w:t>
            </w:r>
          </w:p>
        </w:tc>
        <w:tc>
          <w:tcPr>
            <w:tcW w:w="1350" w:type="dxa"/>
            <w:noWrap/>
            <w:hideMark/>
          </w:tcPr>
          <w:p w14:paraId="45A3A2AA"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7,498,443</w:t>
            </w:r>
          </w:p>
        </w:tc>
        <w:tc>
          <w:tcPr>
            <w:tcW w:w="1350" w:type="dxa"/>
            <w:noWrap/>
            <w:hideMark/>
          </w:tcPr>
          <w:p w14:paraId="31A43684"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7,061,793</w:t>
            </w:r>
          </w:p>
        </w:tc>
        <w:tc>
          <w:tcPr>
            <w:tcW w:w="1099" w:type="dxa"/>
            <w:noWrap/>
            <w:hideMark/>
          </w:tcPr>
          <w:p w14:paraId="03CC28DE"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14,560,237</w:t>
            </w:r>
          </w:p>
        </w:tc>
        <w:tc>
          <w:tcPr>
            <w:tcW w:w="1099" w:type="dxa"/>
            <w:noWrap/>
            <w:hideMark/>
          </w:tcPr>
          <w:p w14:paraId="4A4887FE"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14,689,924</w:t>
            </w:r>
          </w:p>
        </w:tc>
        <w:tc>
          <w:tcPr>
            <w:tcW w:w="990" w:type="dxa"/>
            <w:noWrap/>
            <w:hideMark/>
          </w:tcPr>
          <w:p w14:paraId="5B95EFB7"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-129,687</w:t>
            </w:r>
          </w:p>
        </w:tc>
        <w:tc>
          <w:tcPr>
            <w:tcW w:w="1080" w:type="dxa"/>
            <w:noWrap/>
            <w:hideMark/>
          </w:tcPr>
          <w:p w14:paraId="221A348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-0.9%</w:t>
            </w:r>
          </w:p>
        </w:tc>
      </w:tr>
      <w:tr w:rsidR="00CF49CD" w:rsidRPr="00CF49CD" w14:paraId="02965271"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3D0A1E91"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DTD</w:t>
            </w:r>
          </w:p>
        </w:tc>
        <w:tc>
          <w:tcPr>
            <w:tcW w:w="1350" w:type="dxa"/>
            <w:noWrap/>
            <w:hideMark/>
          </w:tcPr>
          <w:p w14:paraId="484383CE"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3,909,632</w:t>
            </w:r>
          </w:p>
        </w:tc>
        <w:tc>
          <w:tcPr>
            <w:tcW w:w="1350" w:type="dxa"/>
            <w:noWrap/>
            <w:hideMark/>
          </w:tcPr>
          <w:p w14:paraId="61245B96"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4,132,435</w:t>
            </w:r>
          </w:p>
        </w:tc>
        <w:tc>
          <w:tcPr>
            <w:tcW w:w="1099" w:type="dxa"/>
            <w:noWrap/>
            <w:hideMark/>
          </w:tcPr>
          <w:p w14:paraId="4ADA7CF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8,042,068</w:t>
            </w:r>
          </w:p>
        </w:tc>
        <w:tc>
          <w:tcPr>
            <w:tcW w:w="1099" w:type="dxa"/>
            <w:noWrap/>
            <w:hideMark/>
          </w:tcPr>
          <w:p w14:paraId="3AF8995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7,926,754</w:t>
            </w:r>
          </w:p>
        </w:tc>
        <w:tc>
          <w:tcPr>
            <w:tcW w:w="990" w:type="dxa"/>
            <w:noWrap/>
            <w:hideMark/>
          </w:tcPr>
          <w:p w14:paraId="6E1EC237"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115,314</w:t>
            </w:r>
          </w:p>
        </w:tc>
        <w:tc>
          <w:tcPr>
            <w:tcW w:w="1080" w:type="dxa"/>
            <w:noWrap/>
            <w:hideMark/>
          </w:tcPr>
          <w:p w14:paraId="2D0DB99C"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w:t>
            </w:r>
          </w:p>
        </w:tc>
      </w:tr>
      <w:tr w:rsidR="00CF49CD" w:rsidRPr="00CF49CD" w14:paraId="0AB700F1"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5BE57870" w14:textId="77777777" w:rsidR="00CF49CD" w:rsidRPr="00B91590" w:rsidRDefault="00CF49CD" w:rsidP="00CF49CD">
            <w:pPr>
              <w:rPr>
                <w:rFonts w:ascii="Baskerville Old Face" w:hAnsi="Baskerville Old Face" w:cs="Times New Roman"/>
                <w:sz w:val="20"/>
                <w:szCs w:val="20"/>
              </w:rPr>
            </w:pPr>
            <w:r w:rsidRPr="00B91590">
              <w:rPr>
                <w:rFonts w:ascii="Baskerville Old Face" w:hAnsi="Baskerville Old Face" w:cs="Times New Roman"/>
                <w:sz w:val="20"/>
                <w:szCs w:val="20"/>
              </w:rPr>
              <w:t xml:space="preserve">Income Tax </w:t>
            </w:r>
          </w:p>
        </w:tc>
        <w:tc>
          <w:tcPr>
            <w:tcW w:w="1350" w:type="dxa"/>
            <w:noWrap/>
            <w:hideMark/>
          </w:tcPr>
          <w:p w14:paraId="0D4A5428"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2,682,330</w:t>
            </w:r>
          </w:p>
        </w:tc>
        <w:tc>
          <w:tcPr>
            <w:tcW w:w="1350" w:type="dxa"/>
            <w:noWrap/>
            <w:hideMark/>
          </w:tcPr>
          <w:p w14:paraId="778B497C"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3,051,991</w:t>
            </w:r>
          </w:p>
        </w:tc>
        <w:tc>
          <w:tcPr>
            <w:tcW w:w="1099" w:type="dxa"/>
            <w:noWrap/>
            <w:hideMark/>
          </w:tcPr>
          <w:p w14:paraId="358F1AC6"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5,734,321</w:t>
            </w:r>
          </w:p>
        </w:tc>
        <w:tc>
          <w:tcPr>
            <w:tcW w:w="1099" w:type="dxa"/>
            <w:noWrap/>
            <w:hideMark/>
          </w:tcPr>
          <w:p w14:paraId="4E02FA2A"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5,375,000</w:t>
            </w:r>
          </w:p>
        </w:tc>
        <w:tc>
          <w:tcPr>
            <w:tcW w:w="990" w:type="dxa"/>
            <w:noWrap/>
            <w:hideMark/>
          </w:tcPr>
          <w:p w14:paraId="63440E1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359,321</w:t>
            </w:r>
          </w:p>
        </w:tc>
        <w:tc>
          <w:tcPr>
            <w:tcW w:w="1080" w:type="dxa"/>
            <w:noWrap/>
            <w:hideMark/>
          </w:tcPr>
          <w:p w14:paraId="44DDC40D"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6.7%</w:t>
            </w:r>
          </w:p>
        </w:tc>
      </w:tr>
      <w:tr w:rsidR="00CF49CD" w:rsidRPr="00CF49CD" w14:paraId="1DC285DE"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29ABC557"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CIT</w:t>
            </w:r>
          </w:p>
        </w:tc>
        <w:tc>
          <w:tcPr>
            <w:tcW w:w="1350" w:type="dxa"/>
            <w:noWrap/>
            <w:hideMark/>
          </w:tcPr>
          <w:p w14:paraId="3DBE5F64"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1,058,802</w:t>
            </w:r>
          </w:p>
        </w:tc>
        <w:tc>
          <w:tcPr>
            <w:tcW w:w="1350" w:type="dxa"/>
            <w:noWrap/>
            <w:hideMark/>
          </w:tcPr>
          <w:p w14:paraId="4B5E4F6D"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1,335,746</w:t>
            </w:r>
          </w:p>
        </w:tc>
        <w:tc>
          <w:tcPr>
            <w:tcW w:w="1099" w:type="dxa"/>
            <w:noWrap/>
            <w:hideMark/>
          </w:tcPr>
          <w:p w14:paraId="7C19E91A"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2,394,548</w:t>
            </w:r>
          </w:p>
        </w:tc>
        <w:tc>
          <w:tcPr>
            <w:tcW w:w="1099" w:type="dxa"/>
            <w:noWrap/>
            <w:hideMark/>
          </w:tcPr>
          <w:p w14:paraId="091088DA"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1,970,000</w:t>
            </w:r>
          </w:p>
        </w:tc>
        <w:tc>
          <w:tcPr>
            <w:tcW w:w="990" w:type="dxa"/>
            <w:noWrap/>
            <w:hideMark/>
          </w:tcPr>
          <w:p w14:paraId="5A5ED727"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424,548</w:t>
            </w:r>
          </w:p>
        </w:tc>
        <w:tc>
          <w:tcPr>
            <w:tcW w:w="1080" w:type="dxa"/>
            <w:noWrap/>
            <w:hideMark/>
          </w:tcPr>
          <w:p w14:paraId="0370E9B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21.6%</w:t>
            </w:r>
          </w:p>
        </w:tc>
      </w:tr>
      <w:tr w:rsidR="00CF49CD" w:rsidRPr="00CF49CD" w14:paraId="7E5888BB"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4A966991"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PIT</w:t>
            </w:r>
          </w:p>
        </w:tc>
        <w:tc>
          <w:tcPr>
            <w:tcW w:w="1350" w:type="dxa"/>
            <w:noWrap/>
            <w:hideMark/>
          </w:tcPr>
          <w:p w14:paraId="075CCA4D"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1,623,528</w:t>
            </w:r>
          </w:p>
        </w:tc>
        <w:tc>
          <w:tcPr>
            <w:tcW w:w="1350" w:type="dxa"/>
            <w:noWrap/>
            <w:hideMark/>
          </w:tcPr>
          <w:p w14:paraId="0DC9B1A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1,716,244</w:t>
            </w:r>
          </w:p>
        </w:tc>
        <w:tc>
          <w:tcPr>
            <w:tcW w:w="1099" w:type="dxa"/>
            <w:noWrap/>
            <w:hideMark/>
          </w:tcPr>
          <w:p w14:paraId="0DB15107"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3,339,773</w:t>
            </w:r>
          </w:p>
        </w:tc>
        <w:tc>
          <w:tcPr>
            <w:tcW w:w="1099" w:type="dxa"/>
            <w:noWrap/>
            <w:hideMark/>
          </w:tcPr>
          <w:p w14:paraId="667E289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3,405,000</w:t>
            </w:r>
          </w:p>
        </w:tc>
        <w:tc>
          <w:tcPr>
            <w:tcW w:w="990" w:type="dxa"/>
            <w:noWrap/>
            <w:hideMark/>
          </w:tcPr>
          <w:p w14:paraId="10E8521F"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-65,227</w:t>
            </w:r>
          </w:p>
        </w:tc>
        <w:tc>
          <w:tcPr>
            <w:tcW w:w="1080" w:type="dxa"/>
            <w:noWrap/>
            <w:hideMark/>
          </w:tcPr>
          <w:p w14:paraId="3BA32F4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-1.9%</w:t>
            </w:r>
          </w:p>
        </w:tc>
      </w:tr>
      <w:tr w:rsidR="00CF49CD" w:rsidRPr="00CF49CD" w14:paraId="2EAAC63A"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25827003"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Goods and Services Tax (GST)</w:t>
            </w:r>
          </w:p>
        </w:tc>
        <w:tc>
          <w:tcPr>
            <w:tcW w:w="1350" w:type="dxa"/>
            <w:noWrap/>
            <w:hideMark/>
          </w:tcPr>
          <w:p w14:paraId="180FE328"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1,227,302</w:t>
            </w:r>
          </w:p>
        </w:tc>
        <w:tc>
          <w:tcPr>
            <w:tcW w:w="1350" w:type="dxa"/>
            <w:noWrap/>
            <w:hideMark/>
          </w:tcPr>
          <w:p w14:paraId="348A349F"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1,080,444</w:t>
            </w:r>
          </w:p>
        </w:tc>
        <w:tc>
          <w:tcPr>
            <w:tcW w:w="1099" w:type="dxa"/>
            <w:noWrap/>
            <w:hideMark/>
          </w:tcPr>
          <w:p w14:paraId="35118F5B"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2,307,747</w:t>
            </w:r>
          </w:p>
        </w:tc>
        <w:tc>
          <w:tcPr>
            <w:tcW w:w="1099" w:type="dxa"/>
            <w:noWrap/>
            <w:hideMark/>
          </w:tcPr>
          <w:p w14:paraId="7DB5567E"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2,551,754</w:t>
            </w:r>
          </w:p>
        </w:tc>
        <w:tc>
          <w:tcPr>
            <w:tcW w:w="990" w:type="dxa"/>
            <w:noWrap/>
            <w:hideMark/>
          </w:tcPr>
          <w:p w14:paraId="30C4281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-244,007</w:t>
            </w:r>
          </w:p>
        </w:tc>
        <w:tc>
          <w:tcPr>
            <w:tcW w:w="1080" w:type="dxa"/>
            <w:noWrap/>
            <w:hideMark/>
          </w:tcPr>
          <w:p w14:paraId="7041FD99"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-9.6%</w:t>
            </w:r>
          </w:p>
        </w:tc>
      </w:tr>
      <w:tr w:rsidR="00CF49CD" w:rsidRPr="00CF49CD" w14:paraId="7D83695B"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68836B6C"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Import GST</w:t>
            </w:r>
          </w:p>
        </w:tc>
        <w:tc>
          <w:tcPr>
            <w:tcW w:w="1350" w:type="dxa"/>
            <w:noWrap/>
            <w:hideMark/>
          </w:tcPr>
          <w:p w14:paraId="14BCEB9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566,636</w:t>
            </w:r>
          </w:p>
        </w:tc>
        <w:tc>
          <w:tcPr>
            <w:tcW w:w="1350" w:type="dxa"/>
            <w:noWrap/>
            <w:hideMark/>
          </w:tcPr>
          <w:p w14:paraId="2EA70C7F"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516,851</w:t>
            </w:r>
          </w:p>
        </w:tc>
        <w:tc>
          <w:tcPr>
            <w:tcW w:w="1099" w:type="dxa"/>
            <w:noWrap/>
            <w:hideMark/>
          </w:tcPr>
          <w:p w14:paraId="59973BA7"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1,083,487</w:t>
            </w:r>
          </w:p>
        </w:tc>
        <w:tc>
          <w:tcPr>
            <w:tcW w:w="1099" w:type="dxa"/>
            <w:noWrap/>
            <w:hideMark/>
          </w:tcPr>
          <w:p w14:paraId="19D85581"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1,361,976</w:t>
            </w:r>
          </w:p>
        </w:tc>
        <w:tc>
          <w:tcPr>
            <w:tcW w:w="990" w:type="dxa"/>
            <w:noWrap/>
            <w:hideMark/>
          </w:tcPr>
          <w:p w14:paraId="1B54F58E"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-278,489</w:t>
            </w:r>
          </w:p>
        </w:tc>
        <w:tc>
          <w:tcPr>
            <w:tcW w:w="1080" w:type="dxa"/>
            <w:noWrap/>
            <w:hideMark/>
          </w:tcPr>
          <w:p w14:paraId="255D0B33"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-20.4%</w:t>
            </w:r>
          </w:p>
        </w:tc>
      </w:tr>
      <w:tr w:rsidR="00CF49CD" w:rsidRPr="00CF49CD" w14:paraId="596300D3"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356DD35A"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Domestic GST</w:t>
            </w:r>
          </w:p>
        </w:tc>
        <w:tc>
          <w:tcPr>
            <w:tcW w:w="1350" w:type="dxa"/>
            <w:noWrap/>
            <w:hideMark/>
          </w:tcPr>
          <w:p w14:paraId="5151F0F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660,666</w:t>
            </w:r>
          </w:p>
        </w:tc>
        <w:tc>
          <w:tcPr>
            <w:tcW w:w="1350" w:type="dxa"/>
            <w:noWrap/>
            <w:hideMark/>
          </w:tcPr>
          <w:p w14:paraId="4F95582B"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563,594</w:t>
            </w:r>
          </w:p>
        </w:tc>
        <w:tc>
          <w:tcPr>
            <w:tcW w:w="1099" w:type="dxa"/>
            <w:noWrap/>
            <w:hideMark/>
          </w:tcPr>
          <w:p w14:paraId="2F6444CF"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1,224,259</w:t>
            </w:r>
          </w:p>
        </w:tc>
        <w:tc>
          <w:tcPr>
            <w:tcW w:w="1099" w:type="dxa"/>
            <w:noWrap/>
            <w:hideMark/>
          </w:tcPr>
          <w:p w14:paraId="34B09536"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1,189,778</w:t>
            </w:r>
          </w:p>
        </w:tc>
        <w:tc>
          <w:tcPr>
            <w:tcW w:w="990" w:type="dxa"/>
            <w:noWrap/>
            <w:hideMark/>
          </w:tcPr>
          <w:p w14:paraId="7559148D"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34,481</w:t>
            </w:r>
          </w:p>
        </w:tc>
        <w:tc>
          <w:tcPr>
            <w:tcW w:w="1080" w:type="dxa"/>
            <w:noWrap/>
            <w:hideMark/>
          </w:tcPr>
          <w:p w14:paraId="7576608D"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2.9%</w:t>
            </w:r>
          </w:p>
        </w:tc>
      </w:tr>
      <w:tr w:rsidR="00CF49CD" w:rsidRPr="00CF49CD" w14:paraId="68902083"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46238561"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CSD</w:t>
            </w:r>
          </w:p>
        </w:tc>
        <w:tc>
          <w:tcPr>
            <w:tcW w:w="1350" w:type="dxa"/>
            <w:noWrap/>
            <w:hideMark/>
          </w:tcPr>
          <w:p w14:paraId="5BC0B533"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1,700,977</w:t>
            </w:r>
          </w:p>
        </w:tc>
        <w:tc>
          <w:tcPr>
            <w:tcW w:w="1350" w:type="dxa"/>
            <w:noWrap/>
            <w:hideMark/>
          </w:tcPr>
          <w:p w14:paraId="0AF4530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1,560,272</w:t>
            </w:r>
          </w:p>
        </w:tc>
        <w:tc>
          <w:tcPr>
            <w:tcW w:w="1099" w:type="dxa"/>
            <w:noWrap/>
            <w:hideMark/>
          </w:tcPr>
          <w:p w14:paraId="5A20E8F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3,261,249</w:t>
            </w:r>
          </w:p>
        </w:tc>
        <w:tc>
          <w:tcPr>
            <w:tcW w:w="1099" w:type="dxa"/>
            <w:noWrap/>
            <w:hideMark/>
          </w:tcPr>
          <w:p w14:paraId="3B951308"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3,208,259</w:t>
            </w:r>
          </w:p>
        </w:tc>
        <w:tc>
          <w:tcPr>
            <w:tcW w:w="990" w:type="dxa"/>
            <w:noWrap/>
            <w:hideMark/>
          </w:tcPr>
          <w:p w14:paraId="6107FD8F"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52,990</w:t>
            </w:r>
          </w:p>
        </w:tc>
        <w:tc>
          <w:tcPr>
            <w:tcW w:w="1080" w:type="dxa"/>
            <w:noWrap/>
            <w:hideMark/>
          </w:tcPr>
          <w:p w14:paraId="0A97471F"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w:t>
            </w:r>
          </w:p>
        </w:tc>
      </w:tr>
      <w:tr w:rsidR="00CF49CD" w:rsidRPr="00CF49CD" w14:paraId="0608EC8F"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7C3C40E4"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 xml:space="preserve"> Import Duties</w:t>
            </w:r>
          </w:p>
        </w:tc>
        <w:tc>
          <w:tcPr>
            <w:tcW w:w="1350" w:type="dxa"/>
            <w:noWrap/>
            <w:hideMark/>
          </w:tcPr>
          <w:p w14:paraId="2E925BF9"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758,712</w:t>
            </w:r>
          </w:p>
        </w:tc>
        <w:tc>
          <w:tcPr>
            <w:tcW w:w="1350" w:type="dxa"/>
            <w:noWrap/>
            <w:hideMark/>
          </w:tcPr>
          <w:p w14:paraId="3FDF1DB9"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690,370</w:t>
            </w:r>
          </w:p>
        </w:tc>
        <w:tc>
          <w:tcPr>
            <w:tcW w:w="1099" w:type="dxa"/>
            <w:noWrap/>
            <w:hideMark/>
          </w:tcPr>
          <w:p w14:paraId="6D8419DF"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1,449,083</w:t>
            </w:r>
          </w:p>
        </w:tc>
        <w:tc>
          <w:tcPr>
            <w:tcW w:w="1099" w:type="dxa"/>
            <w:noWrap/>
            <w:hideMark/>
          </w:tcPr>
          <w:p w14:paraId="7FE16DC7"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1,406,500</w:t>
            </w:r>
          </w:p>
        </w:tc>
        <w:tc>
          <w:tcPr>
            <w:tcW w:w="990" w:type="dxa"/>
            <w:noWrap/>
            <w:hideMark/>
          </w:tcPr>
          <w:p w14:paraId="063D6F8C"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42,583</w:t>
            </w:r>
          </w:p>
        </w:tc>
        <w:tc>
          <w:tcPr>
            <w:tcW w:w="1080" w:type="dxa"/>
            <w:noWrap/>
            <w:hideMark/>
          </w:tcPr>
          <w:p w14:paraId="7DECF1E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3.0%</w:t>
            </w:r>
          </w:p>
        </w:tc>
      </w:tr>
      <w:tr w:rsidR="00CF49CD" w:rsidRPr="00CF49CD" w14:paraId="4497591A"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1F67E1EC"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Excise on Petroleum</w:t>
            </w:r>
          </w:p>
        </w:tc>
        <w:tc>
          <w:tcPr>
            <w:tcW w:w="1350" w:type="dxa"/>
            <w:noWrap/>
            <w:hideMark/>
          </w:tcPr>
          <w:p w14:paraId="6F52E882"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874,951</w:t>
            </w:r>
          </w:p>
        </w:tc>
        <w:tc>
          <w:tcPr>
            <w:tcW w:w="1350" w:type="dxa"/>
            <w:noWrap/>
            <w:hideMark/>
          </w:tcPr>
          <w:p w14:paraId="5AAEB1E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788,489</w:t>
            </w:r>
          </w:p>
        </w:tc>
        <w:tc>
          <w:tcPr>
            <w:tcW w:w="1099" w:type="dxa"/>
            <w:noWrap/>
            <w:hideMark/>
          </w:tcPr>
          <w:p w14:paraId="7AEB82F7"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1,663,439</w:t>
            </w:r>
          </w:p>
        </w:tc>
        <w:tc>
          <w:tcPr>
            <w:tcW w:w="1099" w:type="dxa"/>
            <w:noWrap/>
            <w:hideMark/>
          </w:tcPr>
          <w:p w14:paraId="380C49B3"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1,647,736</w:t>
            </w:r>
          </w:p>
        </w:tc>
        <w:tc>
          <w:tcPr>
            <w:tcW w:w="990" w:type="dxa"/>
            <w:noWrap/>
            <w:hideMark/>
          </w:tcPr>
          <w:p w14:paraId="4A741731"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15,703</w:t>
            </w:r>
          </w:p>
        </w:tc>
        <w:tc>
          <w:tcPr>
            <w:tcW w:w="1080" w:type="dxa"/>
            <w:noWrap/>
            <w:hideMark/>
          </w:tcPr>
          <w:p w14:paraId="62AA915C"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w:t>
            </w:r>
          </w:p>
        </w:tc>
      </w:tr>
      <w:tr w:rsidR="00CF49CD" w:rsidRPr="00CF49CD" w14:paraId="3677D8B1"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46A9D9D2"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Other Excise</w:t>
            </w:r>
          </w:p>
        </w:tc>
        <w:tc>
          <w:tcPr>
            <w:tcW w:w="1350" w:type="dxa"/>
            <w:noWrap/>
            <w:hideMark/>
          </w:tcPr>
          <w:p w14:paraId="7D163224"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67,314</w:t>
            </w:r>
          </w:p>
        </w:tc>
        <w:tc>
          <w:tcPr>
            <w:tcW w:w="1350" w:type="dxa"/>
            <w:noWrap/>
            <w:hideMark/>
          </w:tcPr>
          <w:p w14:paraId="578E7BA6"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81,413</w:t>
            </w:r>
          </w:p>
        </w:tc>
        <w:tc>
          <w:tcPr>
            <w:tcW w:w="1099" w:type="dxa"/>
            <w:noWrap/>
            <w:hideMark/>
          </w:tcPr>
          <w:p w14:paraId="102A70CA"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148,727</w:t>
            </w:r>
          </w:p>
        </w:tc>
        <w:tc>
          <w:tcPr>
            <w:tcW w:w="1099" w:type="dxa"/>
            <w:noWrap/>
            <w:hideMark/>
          </w:tcPr>
          <w:p w14:paraId="4735B4EC"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154,023</w:t>
            </w:r>
          </w:p>
        </w:tc>
        <w:tc>
          <w:tcPr>
            <w:tcW w:w="990" w:type="dxa"/>
            <w:noWrap/>
            <w:hideMark/>
          </w:tcPr>
          <w:p w14:paraId="726A9CC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-5,296</w:t>
            </w:r>
          </w:p>
        </w:tc>
        <w:tc>
          <w:tcPr>
            <w:tcW w:w="1080" w:type="dxa"/>
            <w:noWrap/>
            <w:hideMark/>
          </w:tcPr>
          <w:p w14:paraId="7F0D2600"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-3.4%</w:t>
            </w:r>
          </w:p>
        </w:tc>
      </w:tr>
      <w:tr w:rsidR="00CF49CD" w:rsidRPr="00CF49CD" w14:paraId="5F50ABD2"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2EC0E088"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NTR</w:t>
            </w:r>
          </w:p>
        </w:tc>
        <w:tc>
          <w:tcPr>
            <w:tcW w:w="1350" w:type="dxa"/>
            <w:noWrap/>
            <w:hideMark/>
          </w:tcPr>
          <w:p w14:paraId="3872A044"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1,783,145</w:t>
            </w:r>
          </w:p>
        </w:tc>
        <w:tc>
          <w:tcPr>
            <w:tcW w:w="1350" w:type="dxa"/>
            <w:noWrap/>
            <w:hideMark/>
          </w:tcPr>
          <w:p w14:paraId="207B28E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1,259,613</w:t>
            </w:r>
          </w:p>
        </w:tc>
        <w:tc>
          <w:tcPr>
            <w:tcW w:w="1099" w:type="dxa"/>
            <w:noWrap/>
            <w:hideMark/>
          </w:tcPr>
          <w:p w14:paraId="2FDCAB04"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3,042,758</w:t>
            </w:r>
          </w:p>
        </w:tc>
        <w:tc>
          <w:tcPr>
            <w:tcW w:w="1099" w:type="dxa"/>
            <w:noWrap/>
            <w:hideMark/>
          </w:tcPr>
          <w:p w14:paraId="3F99796B"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3,357,052</w:t>
            </w:r>
          </w:p>
        </w:tc>
        <w:tc>
          <w:tcPr>
            <w:tcW w:w="990" w:type="dxa"/>
            <w:noWrap/>
            <w:hideMark/>
          </w:tcPr>
          <w:p w14:paraId="7DD3C3DA"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-314,294</w:t>
            </w:r>
          </w:p>
        </w:tc>
        <w:tc>
          <w:tcPr>
            <w:tcW w:w="1080" w:type="dxa"/>
            <w:noWrap/>
            <w:hideMark/>
          </w:tcPr>
          <w:p w14:paraId="400D751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-9.4%</w:t>
            </w:r>
          </w:p>
        </w:tc>
      </w:tr>
      <w:tr w:rsidR="00CF49CD" w:rsidRPr="00CF49CD" w14:paraId="408E49A8"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34DC7C4B"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Mines Revenue</w:t>
            </w:r>
          </w:p>
        </w:tc>
        <w:tc>
          <w:tcPr>
            <w:tcW w:w="1350" w:type="dxa"/>
            <w:noWrap/>
            <w:hideMark/>
          </w:tcPr>
          <w:p w14:paraId="09991D6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567,551</w:t>
            </w:r>
          </w:p>
        </w:tc>
        <w:tc>
          <w:tcPr>
            <w:tcW w:w="1350" w:type="dxa"/>
            <w:noWrap/>
            <w:hideMark/>
          </w:tcPr>
          <w:p w14:paraId="52095E7E"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408,000</w:t>
            </w:r>
          </w:p>
        </w:tc>
        <w:tc>
          <w:tcPr>
            <w:tcW w:w="1099" w:type="dxa"/>
            <w:noWrap/>
            <w:hideMark/>
          </w:tcPr>
          <w:p w14:paraId="4C7AE77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975,550</w:t>
            </w:r>
          </w:p>
        </w:tc>
        <w:tc>
          <w:tcPr>
            <w:tcW w:w="1099" w:type="dxa"/>
            <w:noWrap/>
            <w:hideMark/>
          </w:tcPr>
          <w:p w14:paraId="220E4B9F"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1,126,875</w:t>
            </w:r>
          </w:p>
        </w:tc>
        <w:tc>
          <w:tcPr>
            <w:tcW w:w="990" w:type="dxa"/>
            <w:noWrap/>
            <w:hideMark/>
          </w:tcPr>
          <w:p w14:paraId="1977DD9E"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-151,324</w:t>
            </w:r>
          </w:p>
        </w:tc>
        <w:tc>
          <w:tcPr>
            <w:tcW w:w="1080" w:type="dxa"/>
            <w:noWrap/>
            <w:hideMark/>
          </w:tcPr>
          <w:p w14:paraId="267DBB7C"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-13.4%</w:t>
            </w:r>
          </w:p>
        </w:tc>
      </w:tr>
      <w:tr w:rsidR="00CF49CD" w:rsidRPr="00CF49CD" w14:paraId="15BBFAC7"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2DAC820E"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Other Departments</w:t>
            </w:r>
          </w:p>
        </w:tc>
        <w:tc>
          <w:tcPr>
            <w:tcW w:w="1350" w:type="dxa"/>
            <w:noWrap/>
            <w:hideMark/>
          </w:tcPr>
          <w:p w14:paraId="4E062CA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1,215,594</w:t>
            </w:r>
          </w:p>
        </w:tc>
        <w:tc>
          <w:tcPr>
            <w:tcW w:w="1350" w:type="dxa"/>
            <w:noWrap/>
            <w:hideMark/>
          </w:tcPr>
          <w:p w14:paraId="5DEAD24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851,613</w:t>
            </w:r>
          </w:p>
        </w:tc>
        <w:tc>
          <w:tcPr>
            <w:tcW w:w="1099" w:type="dxa"/>
            <w:noWrap/>
            <w:hideMark/>
          </w:tcPr>
          <w:p w14:paraId="1492246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2,067,207</w:t>
            </w:r>
          </w:p>
        </w:tc>
        <w:tc>
          <w:tcPr>
            <w:tcW w:w="1099" w:type="dxa"/>
            <w:noWrap/>
            <w:hideMark/>
          </w:tcPr>
          <w:p w14:paraId="458B036B"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2,230,177</w:t>
            </w:r>
          </w:p>
        </w:tc>
        <w:tc>
          <w:tcPr>
            <w:tcW w:w="990" w:type="dxa"/>
            <w:noWrap/>
            <w:hideMark/>
          </w:tcPr>
          <w:p w14:paraId="010EF9B7"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-162,970</w:t>
            </w:r>
          </w:p>
        </w:tc>
        <w:tc>
          <w:tcPr>
            <w:tcW w:w="1080" w:type="dxa"/>
            <w:noWrap/>
            <w:hideMark/>
          </w:tcPr>
          <w:p w14:paraId="368E8CCA"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-7.3%</w:t>
            </w:r>
          </w:p>
        </w:tc>
      </w:tr>
      <w:tr w:rsidR="00CF49CD" w:rsidRPr="00CF49CD" w14:paraId="3D3DD1B8"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6790579E" w14:textId="21CC4014"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 xml:space="preserve">Royalty on Fisheries </w:t>
            </w:r>
            <w:r w:rsidR="00B91590" w:rsidRPr="00B91590">
              <w:rPr>
                <w:rFonts w:ascii="Baskerville Old Face" w:hAnsi="Baskerville Old Face" w:cs="Times New Roman"/>
                <w:b w:val="0"/>
                <w:bCs w:val="0"/>
                <w:i/>
                <w:iCs/>
                <w:sz w:val="20"/>
                <w:szCs w:val="20"/>
              </w:rPr>
              <w:t>etc.</w:t>
            </w:r>
          </w:p>
        </w:tc>
        <w:tc>
          <w:tcPr>
            <w:tcW w:w="1350" w:type="dxa"/>
            <w:noWrap/>
            <w:hideMark/>
          </w:tcPr>
          <w:p w14:paraId="277E3280"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72,474</w:t>
            </w:r>
          </w:p>
        </w:tc>
        <w:tc>
          <w:tcPr>
            <w:tcW w:w="1350" w:type="dxa"/>
            <w:noWrap/>
            <w:hideMark/>
          </w:tcPr>
          <w:p w14:paraId="2F6413C5"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72,298</w:t>
            </w:r>
          </w:p>
        </w:tc>
        <w:tc>
          <w:tcPr>
            <w:tcW w:w="1099" w:type="dxa"/>
            <w:noWrap/>
            <w:hideMark/>
          </w:tcPr>
          <w:p w14:paraId="2D573A0B"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144,771</w:t>
            </w:r>
          </w:p>
        </w:tc>
        <w:tc>
          <w:tcPr>
            <w:tcW w:w="1099" w:type="dxa"/>
            <w:noWrap/>
            <w:hideMark/>
          </w:tcPr>
          <w:p w14:paraId="065A8ACC"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144,177</w:t>
            </w:r>
          </w:p>
        </w:tc>
        <w:tc>
          <w:tcPr>
            <w:tcW w:w="990" w:type="dxa"/>
            <w:noWrap/>
            <w:hideMark/>
          </w:tcPr>
          <w:p w14:paraId="5A8B5C9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593</w:t>
            </w:r>
          </w:p>
        </w:tc>
        <w:tc>
          <w:tcPr>
            <w:tcW w:w="1080" w:type="dxa"/>
            <w:noWrap/>
            <w:hideMark/>
          </w:tcPr>
          <w:p w14:paraId="2F6B2A2D"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0.4%</w:t>
            </w:r>
          </w:p>
        </w:tc>
      </w:tr>
      <w:tr w:rsidR="00CF49CD" w:rsidRPr="00CF49CD" w14:paraId="009717C2"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07A363BA"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Parastatals Dividend</w:t>
            </w:r>
          </w:p>
        </w:tc>
        <w:tc>
          <w:tcPr>
            <w:tcW w:w="1350" w:type="dxa"/>
            <w:noWrap/>
            <w:hideMark/>
          </w:tcPr>
          <w:p w14:paraId="22358EEB"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238,434</w:t>
            </w:r>
          </w:p>
        </w:tc>
        <w:tc>
          <w:tcPr>
            <w:tcW w:w="1350" w:type="dxa"/>
            <w:noWrap/>
            <w:hideMark/>
          </w:tcPr>
          <w:p w14:paraId="7BB8979F"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51,653</w:t>
            </w:r>
          </w:p>
        </w:tc>
        <w:tc>
          <w:tcPr>
            <w:tcW w:w="1099" w:type="dxa"/>
            <w:noWrap/>
            <w:hideMark/>
          </w:tcPr>
          <w:p w14:paraId="739DAF3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290,086</w:t>
            </w:r>
          </w:p>
        </w:tc>
        <w:tc>
          <w:tcPr>
            <w:tcW w:w="1099" w:type="dxa"/>
            <w:noWrap/>
            <w:hideMark/>
          </w:tcPr>
          <w:p w14:paraId="0356AB2B"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302,281</w:t>
            </w:r>
          </w:p>
        </w:tc>
        <w:tc>
          <w:tcPr>
            <w:tcW w:w="990" w:type="dxa"/>
            <w:noWrap/>
            <w:hideMark/>
          </w:tcPr>
          <w:p w14:paraId="2EF1454C"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-12,195</w:t>
            </w:r>
          </w:p>
        </w:tc>
        <w:tc>
          <w:tcPr>
            <w:tcW w:w="1080" w:type="dxa"/>
            <w:noWrap/>
            <w:hideMark/>
          </w:tcPr>
          <w:p w14:paraId="78FC42AE"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-4.0%</w:t>
            </w:r>
          </w:p>
        </w:tc>
      </w:tr>
      <w:tr w:rsidR="00CF49CD" w:rsidRPr="00CF49CD" w14:paraId="72772DCB"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3F771B68"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Other Revenues</w:t>
            </w:r>
          </w:p>
        </w:tc>
        <w:tc>
          <w:tcPr>
            <w:tcW w:w="1350" w:type="dxa"/>
            <w:noWrap/>
            <w:hideMark/>
          </w:tcPr>
          <w:p w14:paraId="57634BE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904,687</w:t>
            </w:r>
          </w:p>
        </w:tc>
        <w:tc>
          <w:tcPr>
            <w:tcW w:w="1350" w:type="dxa"/>
            <w:noWrap/>
            <w:hideMark/>
          </w:tcPr>
          <w:p w14:paraId="17630002"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727,664</w:t>
            </w:r>
          </w:p>
        </w:tc>
        <w:tc>
          <w:tcPr>
            <w:tcW w:w="1099" w:type="dxa"/>
            <w:noWrap/>
            <w:hideMark/>
          </w:tcPr>
          <w:p w14:paraId="4C041D93"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1,632,351</w:t>
            </w:r>
          </w:p>
        </w:tc>
        <w:tc>
          <w:tcPr>
            <w:tcW w:w="1099" w:type="dxa"/>
            <w:noWrap/>
            <w:hideMark/>
          </w:tcPr>
          <w:p w14:paraId="54EF69DE"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1,783,719</w:t>
            </w:r>
          </w:p>
        </w:tc>
        <w:tc>
          <w:tcPr>
            <w:tcW w:w="990" w:type="dxa"/>
            <w:noWrap/>
            <w:hideMark/>
          </w:tcPr>
          <w:p w14:paraId="7FBD3ED7"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-151,368</w:t>
            </w:r>
          </w:p>
        </w:tc>
        <w:tc>
          <w:tcPr>
            <w:tcW w:w="1080" w:type="dxa"/>
            <w:noWrap/>
            <w:hideMark/>
          </w:tcPr>
          <w:p w14:paraId="1A20AC1A"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-8.5%</w:t>
            </w:r>
          </w:p>
        </w:tc>
      </w:tr>
      <w:tr w:rsidR="00CF49CD" w:rsidRPr="00CF49CD" w14:paraId="4D459209" w14:textId="77777777" w:rsidTr="00CF49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5" w:type="dxa"/>
            <w:noWrap/>
            <w:hideMark/>
          </w:tcPr>
          <w:p w14:paraId="6124C878"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o/w TSA</w:t>
            </w:r>
          </w:p>
        </w:tc>
        <w:tc>
          <w:tcPr>
            <w:tcW w:w="1350" w:type="dxa"/>
            <w:noWrap/>
            <w:hideMark/>
          </w:tcPr>
          <w:p w14:paraId="5B2B8A0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798,549</w:t>
            </w:r>
          </w:p>
        </w:tc>
        <w:tc>
          <w:tcPr>
            <w:tcW w:w="1350" w:type="dxa"/>
            <w:noWrap/>
            <w:hideMark/>
          </w:tcPr>
          <w:p w14:paraId="305AC74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612,560</w:t>
            </w:r>
          </w:p>
        </w:tc>
        <w:tc>
          <w:tcPr>
            <w:tcW w:w="1099" w:type="dxa"/>
            <w:noWrap/>
            <w:hideMark/>
          </w:tcPr>
          <w:p w14:paraId="259B79A9"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1,411,109</w:t>
            </w:r>
          </w:p>
        </w:tc>
        <w:tc>
          <w:tcPr>
            <w:tcW w:w="1099" w:type="dxa"/>
            <w:noWrap/>
            <w:hideMark/>
          </w:tcPr>
          <w:p w14:paraId="589708D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1,461,350</w:t>
            </w:r>
          </w:p>
        </w:tc>
        <w:tc>
          <w:tcPr>
            <w:tcW w:w="990" w:type="dxa"/>
            <w:noWrap/>
            <w:hideMark/>
          </w:tcPr>
          <w:p w14:paraId="353AB550"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-50,242</w:t>
            </w:r>
          </w:p>
        </w:tc>
        <w:tc>
          <w:tcPr>
            <w:tcW w:w="1080" w:type="dxa"/>
            <w:noWrap/>
            <w:hideMark/>
          </w:tcPr>
          <w:p w14:paraId="284A810D"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-3.4%</w:t>
            </w:r>
          </w:p>
        </w:tc>
      </w:tr>
      <w:tr w:rsidR="00CF49CD" w:rsidRPr="00CF49CD" w14:paraId="4BCB9A4B" w14:textId="77777777" w:rsidTr="00CF49CD">
        <w:trPr>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01003399"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o/w Timber</w:t>
            </w:r>
          </w:p>
        </w:tc>
        <w:tc>
          <w:tcPr>
            <w:tcW w:w="1350" w:type="dxa"/>
            <w:noWrap/>
            <w:hideMark/>
          </w:tcPr>
          <w:p w14:paraId="7FC81D44"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19,844</w:t>
            </w:r>
          </w:p>
        </w:tc>
        <w:tc>
          <w:tcPr>
            <w:tcW w:w="1350" w:type="dxa"/>
            <w:noWrap/>
            <w:hideMark/>
          </w:tcPr>
          <w:p w14:paraId="3B17ABBF"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9,353</w:t>
            </w:r>
          </w:p>
        </w:tc>
        <w:tc>
          <w:tcPr>
            <w:tcW w:w="1099" w:type="dxa"/>
            <w:noWrap/>
            <w:hideMark/>
          </w:tcPr>
          <w:p w14:paraId="16248EF0"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29,197</w:t>
            </w:r>
          </w:p>
        </w:tc>
        <w:tc>
          <w:tcPr>
            <w:tcW w:w="1099" w:type="dxa"/>
            <w:noWrap/>
            <w:hideMark/>
          </w:tcPr>
          <w:p w14:paraId="138C4AC8"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17,670</w:t>
            </w:r>
          </w:p>
        </w:tc>
        <w:tc>
          <w:tcPr>
            <w:tcW w:w="990" w:type="dxa"/>
            <w:noWrap/>
            <w:hideMark/>
          </w:tcPr>
          <w:p w14:paraId="081D99F9"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11,527</w:t>
            </w:r>
          </w:p>
        </w:tc>
        <w:tc>
          <w:tcPr>
            <w:tcW w:w="1080" w:type="dxa"/>
            <w:noWrap/>
            <w:hideMark/>
          </w:tcPr>
          <w:p w14:paraId="72A8AB96"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65.2%</w:t>
            </w:r>
          </w:p>
        </w:tc>
      </w:tr>
      <w:tr w:rsidR="00CF49CD" w:rsidRPr="00CF49CD" w14:paraId="6D9D8423" w14:textId="77777777" w:rsidTr="00CF49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noWrap/>
            <w:hideMark/>
          </w:tcPr>
          <w:p w14:paraId="5CEB1260" w14:textId="77777777" w:rsidR="00CF49CD" w:rsidRPr="00B91590" w:rsidRDefault="00CF49CD" w:rsidP="00B91590">
            <w:pPr>
              <w:ind w:left="720"/>
              <w:rPr>
                <w:rFonts w:ascii="Baskerville Old Face" w:hAnsi="Baskerville Old Face" w:cs="Times New Roman"/>
                <w:b w:val="0"/>
                <w:bCs w:val="0"/>
                <w:i/>
                <w:iCs/>
                <w:sz w:val="20"/>
                <w:szCs w:val="20"/>
              </w:rPr>
            </w:pPr>
            <w:r w:rsidRPr="00B91590">
              <w:rPr>
                <w:rFonts w:ascii="Baskerville Old Face" w:hAnsi="Baskerville Old Face" w:cs="Times New Roman"/>
                <w:b w:val="0"/>
                <w:bCs w:val="0"/>
                <w:i/>
                <w:iCs/>
                <w:sz w:val="20"/>
                <w:szCs w:val="20"/>
              </w:rPr>
              <w:t>o/w Other MDAs</w:t>
            </w:r>
          </w:p>
        </w:tc>
        <w:tc>
          <w:tcPr>
            <w:tcW w:w="1350" w:type="dxa"/>
            <w:noWrap/>
            <w:hideMark/>
          </w:tcPr>
          <w:p w14:paraId="412CD2A1"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86,294</w:t>
            </w:r>
          </w:p>
        </w:tc>
        <w:tc>
          <w:tcPr>
            <w:tcW w:w="1350" w:type="dxa"/>
            <w:noWrap/>
            <w:hideMark/>
          </w:tcPr>
          <w:p w14:paraId="6F993796"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105,751</w:t>
            </w:r>
          </w:p>
        </w:tc>
        <w:tc>
          <w:tcPr>
            <w:tcW w:w="1099" w:type="dxa"/>
            <w:noWrap/>
            <w:hideMark/>
          </w:tcPr>
          <w:p w14:paraId="63F6722C"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192,045</w:t>
            </w:r>
          </w:p>
        </w:tc>
        <w:tc>
          <w:tcPr>
            <w:tcW w:w="1099" w:type="dxa"/>
            <w:noWrap/>
            <w:hideMark/>
          </w:tcPr>
          <w:p w14:paraId="0086E56B"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304,698</w:t>
            </w:r>
          </w:p>
        </w:tc>
        <w:tc>
          <w:tcPr>
            <w:tcW w:w="990" w:type="dxa"/>
            <w:noWrap/>
            <w:hideMark/>
          </w:tcPr>
          <w:p w14:paraId="521BEEC5"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-112,653</w:t>
            </w:r>
          </w:p>
        </w:tc>
        <w:tc>
          <w:tcPr>
            <w:tcW w:w="1080" w:type="dxa"/>
            <w:noWrap/>
            <w:hideMark/>
          </w:tcPr>
          <w:p w14:paraId="14A3DE8D" w14:textId="77777777" w:rsidR="00CF49CD" w:rsidRPr="00CF49CD" w:rsidRDefault="00CF49CD" w:rsidP="00CF49C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-37.0%</w:t>
            </w:r>
          </w:p>
        </w:tc>
      </w:tr>
      <w:tr w:rsidR="00CF49CD" w:rsidRPr="00CF49CD" w14:paraId="1DD4A023" w14:textId="77777777" w:rsidTr="00CF49CD">
        <w:trPr>
          <w:trHeight w:val="300"/>
        </w:trPr>
        <w:tc>
          <w:tcPr>
            <w:cnfStyle w:val="001000000000" w:firstRow="0" w:lastRow="0" w:firstColumn="1" w:lastColumn="0" w:oddVBand="0" w:evenVBand="0" w:oddHBand="0" w:evenHBand="0" w:firstRowFirstColumn="0" w:firstRowLastColumn="0" w:lastRowFirstColumn="0" w:lastRowLastColumn="0"/>
            <w:tcW w:w="3505" w:type="dxa"/>
            <w:noWrap/>
            <w:hideMark/>
          </w:tcPr>
          <w:p w14:paraId="4EE32667" w14:textId="77777777" w:rsidR="00CF49CD" w:rsidRPr="00CF49CD" w:rsidRDefault="00CF49CD" w:rsidP="00CF49CD">
            <w:pPr>
              <w:rPr>
                <w:rFonts w:ascii="Baskerville Old Face" w:hAnsi="Baskerville Old Face" w:cs="Times New Roman"/>
                <w:sz w:val="20"/>
                <w:szCs w:val="20"/>
              </w:rPr>
            </w:pPr>
            <w:r w:rsidRPr="00CF49CD">
              <w:rPr>
                <w:rFonts w:ascii="Baskerville Old Face" w:hAnsi="Baskerville Old Face" w:cs="Times New Roman"/>
                <w:sz w:val="20"/>
                <w:szCs w:val="20"/>
              </w:rPr>
              <w:t>RUC</w:t>
            </w:r>
          </w:p>
        </w:tc>
        <w:tc>
          <w:tcPr>
            <w:tcW w:w="1350" w:type="dxa"/>
            <w:noWrap/>
            <w:hideMark/>
          </w:tcPr>
          <w:p w14:paraId="7B4528A3"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104,689</w:t>
            </w:r>
          </w:p>
        </w:tc>
        <w:tc>
          <w:tcPr>
            <w:tcW w:w="1350" w:type="dxa"/>
            <w:noWrap/>
            <w:hideMark/>
          </w:tcPr>
          <w:p w14:paraId="2734F2A6"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109,474</w:t>
            </w:r>
          </w:p>
        </w:tc>
        <w:tc>
          <w:tcPr>
            <w:tcW w:w="1099" w:type="dxa"/>
            <w:noWrap/>
            <w:hideMark/>
          </w:tcPr>
          <w:p w14:paraId="354D807B"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214,162</w:t>
            </w:r>
          </w:p>
        </w:tc>
        <w:tc>
          <w:tcPr>
            <w:tcW w:w="1099" w:type="dxa"/>
            <w:noWrap/>
            <w:hideMark/>
          </w:tcPr>
          <w:p w14:paraId="7946AEAB"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197,860</w:t>
            </w:r>
          </w:p>
        </w:tc>
        <w:tc>
          <w:tcPr>
            <w:tcW w:w="990" w:type="dxa"/>
            <w:noWrap/>
            <w:hideMark/>
          </w:tcPr>
          <w:p w14:paraId="27A7DAF9"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16,303</w:t>
            </w:r>
          </w:p>
        </w:tc>
        <w:tc>
          <w:tcPr>
            <w:tcW w:w="1080" w:type="dxa"/>
            <w:noWrap/>
            <w:hideMark/>
          </w:tcPr>
          <w:p w14:paraId="6D8837E1" w14:textId="77777777" w:rsidR="00CF49CD" w:rsidRPr="00CF49CD" w:rsidRDefault="00CF49CD" w:rsidP="00CF49C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CF49CD">
              <w:rPr>
                <w:rFonts w:ascii="Baskerville Old Face" w:hAnsi="Baskerville Old Face" w:cs="Times New Roman"/>
                <w:sz w:val="20"/>
                <w:szCs w:val="20"/>
              </w:rPr>
              <w:t>8.2%</w:t>
            </w:r>
          </w:p>
        </w:tc>
      </w:tr>
    </w:tbl>
    <w:p w14:paraId="78DDF78C" w14:textId="77777777" w:rsidR="00971BF0" w:rsidRPr="00971BF0" w:rsidRDefault="00971BF0" w:rsidP="00971BF0">
      <w:pPr>
        <w:spacing w:line="360" w:lineRule="auto"/>
        <w:jc w:val="both"/>
        <w:rPr>
          <w:rFonts w:ascii="Baskerville Old Face" w:hAnsi="Baskerville Old Face" w:cs="Times New Roman"/>
          <w:i/>
          <w:iCs/>
          <w:sz w:val="18"/>
          <w:szCs w:val="18"/>
        </w:rPr>
      </w:pPr>
      <w:r w:rsidRPr="00971BF0">
        <w:rPr>
          <w:rFonts w:ascii="Baskerville Old Face" w:hAnsi="Baskerville Old Face" w:cs="Times New Roman"/>
          <w:i/>
          <w:iCs/>
          <w:sz w:val="18"/>
          <w:szCs w:val="18"/>
        </w:rPr>
        <w:t>Source: MRP Department</w:t>
      </w:r>
    </w:p>
    <w:p w14:paraId="498651A3" w14:textId="2EB40274" w:rsidR="00182E9F" w:rsidRPr="00520DD2" w:rsidRDefault="00395E0D" w:rsidP="00C03BAC">
      <w:pPr>
        <w:pStyle w:val="Heading3"/>
        <w:rPr>
          <w:rFonts w:ascii="Baskerville Old Face" w:hAnsi="Baskerville Old Face"/>
          <w:b/>
          <w:bCs/>
        </w:rPr>
      </w:pPr>
      <w:bookmarkStart w:id="32" w:name="_Toc198043918"/>
      <w:r w:rsidRPr="00520DD2">
        <w:rPr>
          <w:rFonts w:ascii="Baskerville Old Face" w:hAnsi="Baskerville Old Face"/>
          <w:b/>
          <w:bCs/>
        </w:rPr>
        <w:t>2.2.</w:t>
      </w:r>
      <w:r w:rsidR="00520DD2" w:rsidRPr="00520DD2">
        <w:rPr>
          <w:rFonts w:ascii="Baskerville Old Face" w:hAnsi="Baskerville Old Face"/>
          <w:b/>
          <w:bCs/>
        </w:rPr>
        <w:t>4</w:t>
      </w:r>
      <w:r w:rsidRPr="00520DD2">
        <w:rPr>
          <w:rFonts w:ascii="Baskerville Old Face" w:hAnsi="Baskerville Old Face"/>
          <w:b/>
          <w:bCs/>
        </w:rPr>
        <w:t xml:space="preserve"> </w:t>
      </w:r>
      <w:r w:rsidR="003E32A6" w:rsidRPr="00520DD2">
        <w:rPr>
          <w:rFonts w:ascii="Baskerville Old Face" w:hAnsi="Baskerville Old Face"/>
          <w:b/>
          <w:bCs/>
        </w:rPr>
        <w:t>Reasons for Good Revenue Outcome in 2024</w:t>
      </w:r>
      <w:bookmarkEnd w:id="32"/>
      <w:r w:rsidR="003E32A6" w:rsidRPr="00520DD2">
        <w:rPr>
          <w:rFonts w:ascii="Baskerville Old Face" w:hAnsi="Baskerville Old Face"/>
          <w:b/>
          <w:bCs/>
        </w:rPr>
        <w:t xml:space="preserve"> </w:t>
      </w:r>
    </w:p>
    <w:p w14:paraId="780DF8F8" w14:textId="46E0B0EE" w:rsidR="00182E9F" w:rsidRPr="00BA4C24" w:rsidRDefault="00182E9F" w:rsidP="00182E9F">
      <w:pPr>
        <w:spacing w:line="276" w:lineRule="auto"/>
        <w:jc w:val="both"/>
        <w:rPr>
          <w:rFonts w:ascii="Baskerville Old Face" w:hAnsi="Baskerville Old Face" w:cs="Times New Roman"/>
          <w:b/>
          <w:bCs/>
          <w:sz w:val="28"/>
          <w:szCs w:val="28"/>
        </w:rPr>
      </w:pPr>
      <w:r w:rsidRPr="00BA4C24">
        <w:rPr>
          <w:rFonts w:ascii="Baskerville Old Face" w:eastAsia="Times New Roman" w:hAnsi="Baskerville Old Face" w:cs="Times New Roman"/>
          <w:kern w:val="0"/>
          <w:sz w:val="24"/>
          <w:szCs w:val="24"/>
          <w14:ligatures w14:val="none"/>
        </w:rPr>
        <w:t>Although the Authority narrowly missed its overall revenue target for 2024, the performance remains commendable, with several notable achievements contributing to the relatively strong outturn. A combination of administrative actions, policy measures, and one-off payments supported th</w:t>
      </w:r>
      <w:r w:rsidR="00315314">
        <w:rPr>
          <w:rFonts w:ascii="Baskerville Old Face" w:eastAsia="Times New Roman" w:hAnsi="Baskerville Old Face" w:cs="Times New Roman"/>
          <w:kern w:val="0"/>
          <w:sz w:val="24"/>
          <w:szCs w:val="24"/>
          <w14:ligatures w14:val="none"/>
        </w:rPr>
        <w:t>is</w:t>
      </w:r>
      <w:r w:rsidRPr="00BA4C24">
        <w:rPr>
          <w:rFonts w:ascii="Baskerville Old Face" w:eastAsia="Times New Roman" w:hAnsi="Baskerville Old Face" w:cs="Times New Roman"/>
          <w:kern w:val="0"/>
          <w:sz w:val="24"/>
          <w:szCs w:val="24"/>
          <w14:ligatures w14:val="none"/>
        </w:rPr>
        <w:t xml:space="preserve"> positive </w:t>
      </w:r>
      <w:r w:rsidR="00315314">
        <w:rPr>
          <w:rFonts w:ascii="Baskerville Old Face" w:eastAsia="Times New Roman" w:hAnsi="Baskerville Old Face" w:cs="Times New Roman"/>
          <w:kern w:val="0"/>
          <w:sz w:val="24"/>
          <w:szCs w:val="24"/>
          <w14:ligatures w14:val="none"/>
        </w:rPr>
        <w:t>performance</w:t>
      </w:r>
      <w:r w:rsidRPr="00BA4C24">
        <w:rPr>
          <w:rFonts w:ascii="Baskerville Old Face" w:eastAsia="Times New Roman" w:hAnsi="Baskerville Old Face" w:cs="Times New Roman"/>
          <w:kern w:val="0"/>
          <w:sz w:val="24"/>
          <w:szCs w:val="24"/>
          <w14:ligatures w14:val="none"/>
        </w:rPr>
        <w:t>.</w:t>
      </w:r>
    </w:p>
    <w:p w14:paraId="4B15302A" w14:textId="48253A05"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Key contributors to the improved performance included intensified compliance tracking and enforcement efforts, such as data matching and close monitoring of non-compliant taxpayers, many of whom responded positively and fulfilled their obligations. Significant arrears were also recovered from the </w:t>
      </w:r>
      <w:r w:rsidR="006018E0" w:rsidRPr="00A25123">
        <w:rPr>
          <w:rFonts w:ascii="Baskerville Old Face" w:eastAsia="Times New Roman" w:hAnsi="Baskerville Old Face" w:cs="Times New Roman"/>
          <w:kern w:val="0"/>
          <w:sz w:val="24"/>
          <w:szCs w:val="24"/>
          <w14:ligatures w14:val="none"/>
        </w:rPr>
        <w:t>operational departments</w:t>
      </w:r>
      <w:r w:rsidRPr="00A25123">
        <w:rPr>
          <w:rFonts w:ascii="Baskerville Old Face" w:eastAsia="Times New Roman" w:hAnsi="Baskerville Old Face" w:cs="Times New Roman"/>
          <w:kern w:val="0"/>
          <w:sz w:val="24"/>
          <w:szCs w:val="24"/>
          <w14:ligatures w14:val="none"/>
        </w:rPr>
        <w:t>.</w:t>
      </w:r>
    </w:p>
    <w:p w14:paraId="06E58EA8" w14:textId="609FF778"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Additionally, the upgrade to the HS2022 tariff schedule led to an increase in the value of dutiable imports. Upfront payments on bulk cement and tobacco imports, as well as a considerable volume of rice imports, also contributed positively.</w:t>
      </w:r>
    </w:p>
    <w:p w14:paraId="2F9E7CE1" w14:textId="2DA34B82" w:rsidR="00182E9F" w:rsidRPr="00A25123" w:rsidRDefault="00A257E8"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lastRenderedPageBreak/>
        <w:t xml:space="preserve">Payment of </w:t>
      </w:r>
      <w:r w:rsidR="00182E9F" w:rsidRPr="00A25123">
        <w:rPr>
          <w:rFonts w:ascii="Baskerville Old Face" w:eastAsia="Times New Roman" w:hAnsi="Baskerville Old Face" w:cs="Times New Roman"/>
          <w:kern w:val="0"/>
          <w:sz w:val="24"/>
          <w:szCs w:val="24"/>
          <w14:ligatures w14:val="none"/>
        </w:rPr>
        <w:t xml:space="preserve">Capital Gains Tax </w:t>
      </w:r>
      <w:r w:rsidRPr="00A25123">
        <w:rPr>
          <w:rFonts w:ascii="Baskerville Old Face" w:eastAsia="Times New Roman" w:hAnsi="Baskerville Old Face" w:cs="Times New Roman"/>
          <w:kern w:val="0"/>
          <w:sz w:val="24"/>
          <w:szCs w:val="24"/>
          <w14:ligatures w14:val="none"/>
        </w:rPr>
        <w:t>by</w:t>
      </w:r>
      <w:r w:rsidR="00182E9F" w:rsidRPr="00A25123">
        <w:rPr>
          <w:rFonts w:ascii="Baskerville Old Face" w:eastAsia="Times New Roman" w:hAnsi="Baskerville Old Face" w:cs="Times New Roman"/>
          <w:kern w:val="0"/>
          <w:sz w:val="24"/>
          <w:szCs w:val="24"/>
          <w14:ligatures w14:val="none"/>
        </w:rPr>
        <w:t xml:space="preserve"> Access Bank amounting to USD 1.136 million, and audit recoveries—USD 2 million from Leone Rock and </w:t>
      </w:r>
      <w:proofErr w:type="spellStart"/>
      <w:r w:rsidR="00182E9F" w:rsidRPr="00A25123">
        <w:rPr>
          <w:rFonts w:ascii="Baskerville Old Face" w:eastAsia="Times New Roman" w:hAnsi="Baskerville Old Face" w:cs="Times New Roman"/>
          <w:kern w:val="0"/>
          <w:sz w:val="24"/>
          <w:szCs w:val="24"/>
          <w14:ligatures w14:val="none"/>
        </w:rPr>
        <w:t>NLe</w:t>
      </w:r>
      <w:proofErr w:type="spellEnd"/>
      <w:r w:rsidR="00182E9F" w:rsidRPr="00A25123">
        <w:rPr>
          <w:rFonts w:ascii="Baskerville Old Face" w:eastAsia="Times New Roman" w:hAnsi="Baskerville Old Face" w:cs="Times New Roman"/>
          <w:kern w:val="0"/>
          <w:sz w:val="24"/>
          <w:szCs w:val="24"/>
          <w14:ligatures w14:val="none"/>
        </w:rPr>
        <w:t xml:space="preserve"> 6.1 million from Mobile Network Operators (MNOs). The Authority also successfully enforced the collection of the fifth installment of deferred payments from key taxpayers in June.</w:t>
      </w:r>
    </w:p>
    <w:p w14:paraId="6E297FE7" w14:textId="77777777"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Efforts to track outstanding </w:t>
      </w:r>
      <w:proofErr w:type="spellStart"/>
      <w:r w:rsidRPr="00A25123">
        <w:rPr>
          <w:rFonts w:ascii="Baskerville Old Face" w:eastAsia="Times New Roman" w:hAnsi="Baskerville Old Face" w:cs="Times New Roman"/>
          <w:kern w:val="0"/>
          <w:sz w:val="24"/>
          <w:szCs w:val="24"/>
          <w14:ligatures w14:val="none"/>
        </w:rPr>
        <w:t>licence</w:t>
      </w:r>
      <w:proofErr w:type="spellEnd"/>
      <w:r w:rsidRPr="00A25123">
        <w:rPr>
          <w:rFonts w:ascii="Baskerville Old Face" w:eastAsia="Times New Roman" w:hAnsi="Baskerville Old Face" w:cs="Times New Roman"/>
          <w:kern w:val="0"/>
          <w:sz w:val="24"/>
          <w:szCs w:val="24"/>
          <w14:ligatures w14:val="none"/>
        </w:rPr>
        <w:t xml:space="preserve"> payments in sectors such as mining, telecommunications, and marine operations yielded results, further supported by the increased </w:t>
      </w:r>
      <w:proofErr w:type="spellStart"/>
      <w:r w:rsidRPr="00A25123">
        <w:rPr>
          <w:rFonts w:ascii="Baskerville Old Face" w:eastAsia="Times New Roman" w:hAnsi="Baskerville Old Face" w:cs="Times New Roman"/>
          <w:kern w:val="0"/>
          <w:sz w:val="24"/>
          <w:szCs w:val="24"/>
          <w14:ligatures w14:val="none"/>
        </w:rPr>
        <w:t>licence</w:t>
      </w:r>
      <w:proofErr w:type="spellEnd"/>
      <w:r w:rsidRPr="00A25123">
        <w:rPr>
          <w:rFonts w:ascii="Baskerville Old Face" w:eastAsia="Times New Roman" w:hAnsi="Baskerville Old Face" w:cs="Times New Roman"/>
          <w:kern w:val="0"/>
          <w:sz w:val="24"/>
          <w:szCs w:val="24"/>
          <w14:ligatures w14:val="none"/>
        </w:rPr>
        <w:t xml:space="preserve"> fee for large-scale mining taxpayers—from USD 500,000 to USD 1 million—which took effect in May and June 2024.</w:t>
      </w:r>
    </w:p>
    <w:p w14:paraId="491CBBA6" w14:textId="73E5A317"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Several revenue-enhancing reforms were implemented, including the introduction of SICPA, which led to a more than twofold increase in domestic excise collections since March; N-Soft, which resulted in a near doubling of GST collections from mobile companies; and the use of mobile payment app to facilitate payments of vehicle circulation levy and income tax, both of which recorded substantial gains.</w:t>
      </w:r>
    </w:p>
    <w:p w14:paraId="6E57BD86" w14:textId="131EF49B"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In addition, policy measures under the Finance Act 2024 were fully implemented, covering import duties on rice, iron rod, cement, and cooking gas, </w:t>
      </w:r>
      <w:proofErr w:type="spellStart"/>
      <w:r w:rsidRPr="00A25123">
        <w:rPr>
          <w:rFonts w:ascii="Baskerville Old Face" w:eastAsia="Times New Roman" w:hAnsi="Baskerville Old Face" w:cs="Times New Roman"/>
          <w:kern w:val="0"/>
          <w:sz w:val="24"/>
          <w:szCs w:val="24"/>
          <w14:ligatures w14:val="none"/>
        </w:rPr>
        <w:t>harmoni</w:t>
      </w:r>
      <w:r w:rsidR="009218F4">
        <w:rPr>
          <w:rFonts w:ascii="Baskerville Old Face" w:eastAsia="Times New Roman" w:hAnsi="Baskerville Old Face" w:cs="Times New Roman"/>
          <w:kern w:val="0"/>
          <w:sz w:val="24"/>
          <w:szCs w:val="24"/>
          <w14:ligatures w14:val="none"/>
        </w:rPr>
        <w:t>s</w:t>
      </w:r>
      <w:r w:rsidRPr="00A25123">
        <w:rPr>
          <w:rFonts w:ascii="Baskerville Old Face" w:eastAsia="Times New Roman" w:hAnsi="Baskerville Old Face" w:cs="Times New Roman"/>
          <w:kern w:val="0"/>
          <w:sz w:val="24"/>
          <w:szCs w:val="24"/>
          <w14:ligatures w14:val="none"/>
        </w:rPr>
        <w:t>ed</w:t>
      </w:r>
      <w:proofErr w:type="spellEnd"/>
      <w:r w:rsidRPr="00A25123">
        <w:rPr>
          <w:rFonts w:ascii="Baskerville Old Face" w:eastAsia="Times New Roman" w:hAnsi="Baskerville Old Face" w:cs="Times New Roman"/>
          <w:kern w:val="0"/>
          <w:sz w:val="24"/>
          <w:szCs w:val="24"/>
          <w14:ligatures w14:val="none"/>
        </w:rPr>
        <w:t xml:space="preserve"> withholding tax rates, education levy, vehicle circulation levy, stamp duty, and new </w:t>
      </w:r>
      <w:proofErr w:type="spellStart"/>
      <w:r w:rsidRPr="00A25123">
        <w:rPr>
          <w:rFonts w:ascii="Baskerville Old Face" w:eastAsia="Times New Roman" w:hAnsi="Baskerville Old Face" w:cs="Times New Roman"/>
          <w:kern w:val="0"/>
          <w:sz w:val="24"/>
          <w:szCs w:val="24"/>
          <w14:ligatures w14:val="none"/>
        </w:rPr>
        <w:t>licence</w:t>
      </w:r>
      <w:proofErr w:type="spellEnd"/>
      <w:r w:rsidRPr="00A25123">
        <w:rPr>
          <w:rFonts w:ascii="Baskerville Old Face" w:eastAsia="Times New Roman" w:hAnsi="Baskerville Old Face" w:cs="Times New Roman"/>
          <w:kern w:val="0"/>
          <w:sz w:val="24"/>
          <w:szCs w:val="24"/>
          <w14:ligatures w14:val="none"/>
        </w:rPr>
        <w:t xml:space="preserve"> rates for selected MDAs, as well as new </w:t>
      </w:r>
      <w:r w:rsidR="00F84B81" w:rsidRPr="00A25123">
        <w:rPr>
          <w:rFonts w:ascii="Baskerville Old Face" w:eastAsia="Times New Roman" w:hAnsi="Baskerville Old Face" w:cs="Times New Roman"/>
          <w:kern w:val="0"/>
          <w:sz w:val="24"/>
          <w:szCs w:val="24"/>
          <w14:ligatures w14:val="none"/>
        </w:rPr>
        <w:t>import rates</w:t>
      </w:r>
      <w:r w:rsidRPr="00A25123">
        <w:rPr>
          <w:rFonts w:ascii="Baskerville Old Face" w:eastAsia="Times New Roman" w:hAnsi="Baskerville Old Face" w:cs="Times New Roman"/>
          <w:kern w:val="0"/>
          <w:sz w:val="24"/>
          <w:szCs w:val="24"/>
          <w14:ligatures w14:val="none"/>
        </w:rPr>
        <w:t xml:space="preserve"> and domestic excise tax.</w:t>
      </w:r>
    </w:p>
    <w:p w14:paraId="370E9EF0" w14:textId="77777777" w:rsidR="00182E9F" w:rsidRPr="00A25123" w:rsidRDefault="00182E9F" w:rsidP="00182E9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25123">
        <w:rPr>
          <w:rFonts w:ascii="Baskerville Old Face" w:eastAsia="Times New Roman" w:hAnsi="Baskerville Old Face" w:cs="Times New Roman"/>
          <w:kern w:val="0"/>
          <w:sz w:val="24"/>
          <w:szCs w:val="24"/>
          <w14:ligatures w14:val="none"/>
        </w:rPr>
        <w:t xml:space="preserve">Finally, one-off payments significantly boosted revenue, including a dividend payment of </w:t>
      </w:r>
      <w:proofErr w:type="spellStart"/>
      <w:r w:rsidRPr="00A25123">
        <w:rPr>
          <w:rFonts w:ascii="Baskerville Old Face" w:eastAsia="Times New Roman" w:hAnsi="Baskerville Old Face" w:cs="Times New Roman"/>
          <w:kern w:val="0"/>
          <w:sz w:val="24"/>
          <w:szCs w:val="24"/>
          <w14:ligatures w14:val="none"/>
        </w:rPr>
        <w:t>NLe</w:t>
      </w:r>
      <w:proofErr w:type="spellEnd"/>
      <w:r w:rsidRPr="00A25123">
        <w:rPr>
          <w:rFonts w:ascii="Baskerville Old Face" w:eastAsia="Times New Roman" w:hAnsi="Baskerville Old Face" w:cs="Times New Roman"/>
          <w:kern w:val="0"/>
          <w:sz w:val="24"/>
          <w:szCs w:val="24"/>
          <w14:ligatures w14:val="none"/>
        </w:rPr>
        <w:t xml:space="preserve"> 89 million from Freetown Terminal Limited and signature bonus of </w:t>
      </w:r>
      <w:proofErr w:type="spellStart"/>
      <w:r w:rsidRPr="00A25123">
        <w:rPr>
          <w:rFonts w:ascii="Baskerville Old Face" w:eastAsia="Times New Roman" w:hAnsi="Baskerville Old Face" w:cs="Times New Roman"/>
          <w:kern w:val="0"/>
          <w:sz w:val="24"/>
          <w:szCs w:val="24"/>
          <w14:ligatures w14:val="none"/>
        </w:rPr>
        <w:t>NLe</w:t>
      </w:r>
      <w:proofErr w:type="spellEnd"/>
      <w:r w:rsidRPr="00A25123">
        <w:rPr>
          <w:rFonts w:ascii="Baskerville Old Face" w:eastAsia="Times New Roman" w:hAnsi="Baskerville Old Face" w:cs="Times New Roman"/>
          <w:kern w:val="0"/>
          <w:sz w:val="24"/>
          <w:szCs w:val="24"/>
          <w14:ligatures w14:val="none"/>
        </w:rPr>
        <w:t xml:space="preserve"> 180 million for oil exploration.</w:t>
      </w:r>
    </w:p>
    <w:p w14:paraId="571A31D4" w14:textId="0140CA0A" w:rsidR="006B6ADE" w:rsidRPr="00520DD2" w:rsidRDefault="00395E0D" w:rsidP="00C03BAC">
      <w:pPr>
        <w:pStyle w:val="Heading3"/>
        <w:rPr>
          <w:rFonts w:ascii="Baskerville Old Face" w:hAnsi="Baskerville Old Face"/>
          <w:b/>
          <w:bCs/>
        </w:rPr>
      </w:pPr>
      <w:bookmarkStart w:id="33" w:name="_Toc198043919"/>
      <w:bookmarkStart w:id="34" w:name="_Hlk158190454"/>
      <w:r w:rsidRPr="00520DD2">
        <w:rPr>
          <w:rFonts w:ascii="Baskerville Old Face" w:hAnsi="Baskerville Old Face"/>
          <w:b/>
          <w:bCs/>
        </w:rPr>
        <w:t>2.2.</w:t>
      </w:r>
      <w:r w:rsidR="00520DD2" w:rsidRPr="00520DD2">
        <w:rPr>
          <w:rFonts w:ascii="Baskerville Old Face" w:hAnsi="Baskerville Old Face"/>
          <w:b/>
          <w:bCs/>
        </w:rPr>
        <w:t>5</w:t>
      </w:r>
      <w:r w:rsidRPr="00520DD2">
        <w:rPr>
          <w:rFonts w:ascii="Baskerville Old Face" w:hAnsi="Baskerville Old Face"/>
          <w:b/>
          <w:bCs/>
        </w:rPr>
        <w:t xml:space="preserve"> </w:t>
      </w:r>
      <w:r w:rsidR="00C82318" w:rsidRPr="00520DD2">
        <w:rPr>
          <w:rFonts w:ascii="Baskerville Old Face" w:hAnsi="Baskerville Old Face"/>
          <w:b/>
          <w:bCs/>
        </w:rPr>
        <w:t xml:space="preserve">Challenges </w:t>
      </w:r>
      <w:r w:rsidR="008E6928" w:rsidRPr="00520DD2">
        <w:rPr>
          <w:rFonts w:ascii="Baskerville Old Face" w:hAnsi="Baskerville Old Face"/>
          <w:b/>
          <w:bCs/>
        </w:rPr>
        <w:t>o</w:t>
      </w:r>
      <w:r w:rsidR="00C82318" w:rsidRPr="00520DD2">
        <w:rPr>
          <w:rFonts w:ascii="Baskerville Old Face" w:hAnsi="Baskerville Old Face"/>
          <w:b/>
          <w:bCs/>
        </w:rPr>
        <w:t>f Revenue Mobilisation in 202</w:t>
      </w:r>
      <w:r w:rsidR="00496BC5" w:rsidRPr="00520DD2">
        <w:rPr>
          <w:rFonts w:ascii="Baskerville Old Face" w:hAnsi="Baskerville Old Face"/>
          <w:b/>
          <w:bCs/>
        </w:rPr>
        <w:t>4</w:t>
      </w:r>
      <w:bookmarkEnd w:id="33"/>
    </w:p>
    <w:bookmarkEnd w:id="34"/>
    <w:p w14:paraId="09CD3467" w14:textId="3B3CD0FD" w:rsidR="00496BC5" w:rsidRDefault="00496BC5" w:rsidP="007063D8">
      <w:pPr>
        <w:spacing w:before="100" w:beforeAutospacing="1" w:after="100" w:afterAutospacing="1" w:line="240" w:lineRule="auto"/>
        <w:jc w:val="both"/>
        <w:rPr>
          <w:rFonts w:ascii="Baskerville Old Face" w:eastAsia="Times New Roman" w:hAnsi="Baskerville Old Face" w:cs="Times New Roman"/>
          <w:kern w:val="0"/>
          <w:sz w:val="24"/>
          <w:szCs w:val="24"/>
          <w14:ligatures w14:val="none"/>
        </w:rPr>
      </w:pPr>
      <w:r w:rsidRPr="00496BC5">
        <w:rPr>
          <w:rFonts w:ascii="Baskerville Old Face" w:eastAsia="Times New Roman" w:hAnsi="Baskerville Old Face" w:cs="Times New Roman"/>
          <w:kern w:val="0"/>
          <w:sz w:val="24"/>
          <w:szCs w:val="24"/>
          <w14:ligatures w14:val="none"/>
        </w:rPr>
        <w:t>Revenue mobili</w:t>
      </w:r>
      <w:r w:rsidRPr="007063D8">
        <w:rPr>
          <w:rFonts w:ascii="Baskerville Old Face" w:eastAsia="Times New Roman" w:hAnsi="Baskerville Old Face" w:cs="Times New Roman"/>
          <w:kern w:val="0"/>
          <w:sz w:val="24"/>
          <w:szCs w:val="24"/>
          <w14:ligatures w14:val="none"/>
        </w:rPr>
        <w:t>s</w:t>
      </w:r>
      <w:r w:rsidRPr="00496BC5">
        <w:rPr>
          <w:rFonts w:ascii="Baskerville Old Face" w:eastAsia="Times New Roman" w:hAnsi="Baskerville Old Face" w:cs="Times New Roman"/>
          <w:kern w:val="0"/>
          <w:sz w:val="24"/>
          <w:szCs w:val="24"/>
          <w14:ligatures w14:val="none"/>
        </w:rPr>
        <w:t xml:space="preserve">ation efforts in 2024 were constrained by several challenges </w:t>
      </w:r>
      <w:r w:rsidR="007063D8" w:rsidRPr="007063D8">
        <w:rPr>
          <w:rFonts w:ascii="Baskerville Old Face" w:eastAsia="Times New Roman" w:hAnsi="Baskerville Old Face" w:cs="Times New Roman"/>
          <w:kern w:val="0"/>
          <w:sz w:val="24"/>
          <w:szCs w:val="24"/>
          <w14:ligatures w14:val="none"/>
        </w:rPr>
        <w:t>including the following</w:t>
      </w:r>
      <w:r w:rsidRPr="00496BC5">
        <w:rPr>
          <w:rFonts w:ascii="Baskerville Old Face" w:eastAsia="Times New Roman" w:hAnsi="Baskerville Old Face" w:cs="Times New Roman"/>
          <w:kern w:val="0"/>
          <w:sz w:val="24"/>
          <w:szCs w:val="24"/>
          <w14:ligatures w14:val="none"/>
        </w:rPr>
        <w:t>:</w:t>
      </w:r>
    </w:p>
    <w:p w14:paraId="6116F323" w14:textId="775BAC6B"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Pr>
          <w:rFonts w:ascii="Baskerville Old Face" w:hAnsi="Baskerville Old Face"/>
          <w:b/>
          <w:bCs/>
          <w:sz w:val="24"/>
          <w:szCs w:val="24"/>
        </w:rPr>
        <w:t>Too many</w:t>
      </w:r>
      <w:r w:rsidRPr="00497AB6">
        <w:rPr>
          <w:rFonts w:ascii="Baskerville Old Face" w:hAnsi="Baskerville Old Face"/>
          <w:b/>
          <w:bCs/>
          <w:sz w:val="24"/>
          <w:szCs w:val="24"/>
        </w:rPr>
        <w:t xml:space="preserve"> Tax Exemptions</w:t>
      </w:r>
    </w:p>
    <w:p w14:paraId="487A828C" w14:textId="146CCCFB" w:rsidR="00497AB6" w:rsidRPr="00497AB6" w:rsidRDefault="00497AB6" w:rsidP="00497AB6">
      <w:pPr>
        <w:jc w:val="both"/>
        <w:rPr>
          <w:rFonts w:ascii="Baskerville Old Face" w:hAnsi="Baskerville Old Face"/>
          <w:sz w:val="24"/>
          <w:szCs w:val="24"/>
        </w:rPr>
      </w:pPr>
      <w:r w:rsidRPr="00497AB6">
        <w:rPr>
          <w:rFonts w:ascii="Baskerville Old Face" w:hAnsi="Baskerville Old Face"/>
          <w:sz w:val="24"/>
          <w:szCs w:val="24"/>
        </w:rPr>
        <w:t>A significant rise in exemptions continued to undermine the revenue base, particularly from Customs, where exemptions increased by 2</w:t>
      </w:r>
      <w:r w:rsidR="007847FB">
        <w:rPr>
          <w:rFonts w:ascii="Baskerville Old Face" w:hAnsi="Baskerville Old Face"/>
          <w:sz w:val="24"/>
          <w:szCs w:val="24"/>
        </w:rPr>
        <w:t>2.6</w:t>
      </w:r>
      <w:r w:rsidRPr="00497AB6">
        <w:rPr>
          <w:rFonts w:ascii="Baskerville Old Face" w:hAnsi="Baskerville Old Face"/>
          <w:sz w:val="24"/>
          <w:szCs w:val="24"/>
        </w:rPr>
        <w:t>% to NLe1.29</w:t>
      </w:r>
      <w:r w:rsidR="007847FB">
        <w:rPr>
          <w:rFonts w:ascii="Baskerville Old Face" w:hAnsi="Baskerville Old Face"/>
          <w:sz w:val="24"/>
          <w:szCs w:val="24"/>
        </w:rPr>
        <w:t>4</w:t>
      </w:r>
      <w:r w:rsidRPr="00497AB6">
        <w:rPr>
          <w:rFonts w:ascii="Baskerville Old Face" w:hAnsi="Baskerville Old Face"/>
          <w:sz w:val="24"/>
          <w:szCs w:val="24"/>
        </w:rPr>
        <w:t xml:space="preserve"> billion. Exemptions across domestic taxes also remained substantial, limiting potential gains from a growing tax base.</w:t>
      </w:r>
    </w:p>
    <w:p w14:paraId="1EEEFFDD"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Decline in International Mineral Prices</w:t>
      </w:r>
    </w:p>
    <w:p w14:paraId="51DA944E" w14:textId="77777777" w:rsidR="00497AB6" w:rsidRPr="00497AB6" w:rsidRDefault="00497AB6" w:rsidP="00497AB6">
      <w:pPr>
        <w:jc w:val="both"/>
        <w:rPr>
          <w:rFonts w:ascii="Baskerville Old Face" w:hAnsi="Baskerville Old Face"/>
          <w:sz w:val="24"/>
          <w:szCs w:val="24"/>
        </w:rPr>
      </w:pPr>
      <w:r w:rsidRPr="00497AB6">
        <w:rPr>
          <w:rFonts w:ascii="Baskerville Old Face" w:hAnsi="Baskerville Old Face"/>
          <w:sz w:val="24"/>
          <w:szCs w:val="24"/>
        </w:rPr>
        <w:t>The collapse in global mineral prices, especially for diamonds, adversely impacted associated tax revenues.</w:t>
      </w:r>
    </w:p>
    <w:p w14:paraId="49785811" w14:textId="6FAA231A"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 xml:space="preserve">Delay </w:t>
      </w:r>
      <w:r>
        <w:rPr>
          <w:rFonts w:ascii="Baskerville Old Face" w:hAnsi="Baskerville Old Face"/>
          <w:b/>
          <w:bCs/>
          <w:sz w:val="24"/>
          <w:szCs w:val="24"/>
        </w:rPr>
        <w:t xml:space="preserve">in Reversing Sierra Rutile Limited (SRL) Concessions </w:t>
      </w:r>
    </w:p>
    <w:p w14:paraId="28D754F3" w14:textId="7DA639A4" w:rsidR="00497AB6" w:rsidRPr="00497AB6" w:rsidRDefault="00497AB6" w:rsidP="00497AB6">
      <w:pPr>
        <w:jc w:val="both"/>
        <w:rPr>
          <w:rFonts w:ascii="Baskerville Old Face" w:hAnsi="Baskerville Old Face"/>
          <w:sz w:val="24"/>
          <w:szCs w:val="24"/>
        </w:rPr>
      </w:pPr>
      <w:r w:rsidRPr="00497AB6">
        <w:rPr>
          <w:rFonts w:ascii="Baskerville Old Face" w:hAnsi="Baskerville Old Face"/>
          <w:sz w:val="24"/>
          <w:szCs w:val="24"/>
        </w:rPr>
        <w:t>Prolonged decision-making process regarding the reversal of concession agreements granted to SRL impeded efforts to restore potential revenue inflows.</w:t>
      </w:r>
    </w:p>
    <w:p w14:paraId="67E2C0C5"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Non-Operational Mining Companies</w:t>
      </w:r>
    </w:p>
    <w:p w14:paraId="010A4540" w14:textId="451A54AA" w:rsidR="00497AB6" w:rsidRPr="00497AB6" w:rsidRDefault="00497AB6" w:rsidP="00497AB6">
      <w:pPr>
        <w:jc w:val="both"/>
        <w:rPr>
          <w:rFonts w:ascii="Baskerville Old Face" w:hAnsi="Baskerville Old Face"/>
          <w:sz w:val="24"/>
          <w:szCs w:val="24"/>
        </w:rPr>
      </w:pPr>
      <w:r w:rsidRPr="00497AB6">
        <w:rPr>
          <w:rFonts w:ascii="Baskerville Old Face" w:hAnsi="Baskerville Old Face"/>
          <w:sz w:val="24"/>
          <w:szCs w:val="24"/>
        </w:rPr>
        <w:lastRenderedPageBreak/>
        <w:t>Key mining entities such as VIMETCO and CTC Mining remained non-operational, resulting in revenue losses from anticipated royalties, and associated</w:t>
      </w:r>
      <w:r>
        <w:rPr>
          <w:rFonts w:ascii="Baskerville Old Face" w:hAnsi="Baskerville Old Face"/>
          <w:sz w:val="24"/>
          <w:szCs w:val="24"/>
        </w:rPr>
        <w:t xml:space="preserve"> taxes and </w:t>
      </w:r>
      <w:r w:rsidRPr="00497AB6">
        <w:rPr>
          <w:rFonts w:ascii="Baskerville Old Face" w:hAnsi="Baskerville Old Face"/>
          <w:sz w:val="24"/>
          <w:szCs w:val="24"/>
        </w:rPr>
        <w:t>fees.</w:t>
      </w:r>
    </w:p>
    <w:p w14:paraId="020F4926"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Underperformance in Mineral Production</w:t>
      </w:r>
    </w:p>
    <w:p w14:paraId="1F75E052" w14:textId="113E6C47" w:rsidR="00497AB6" w:rsidRPr="00497AB6" w:rsidRDefault="00917DAD" w:rsidP="00497AB6">
      <w:pPr>
        <w:jc w:val="both"/>
        <w:rPr>
          <w:rFonts w:ascii="Baskerville Old Face" w:hAnsi="Baskerville Old Face"/>
          <w:sz w:val="24"/>
          <w:szCs w:val="24"/>
        </w:rPr>
      </w:pPr>
      <w:r>
        <w:rPr>
          <w:rFonts w:ascii="Baskerville Old Face" w:hAnsi="Baskerville Old Face"/>
          <w:sz w:val="24"/>
          <w:szCs w:val="24"/>
        </w:rPr>
        <w:t>A good number of</w:t>
      </w:r>
      <w:r w:rsidR="00497AB6" w:rsidRPr="00497AB6">
        <w:rPr>
          <w:rFonts w:ascii="Baskerville Old Face" w:hAnsi="Baskerville Old Face"/>
          <w:sz w:val="24"/>
          <w:szCs w:val="24"/>
        </w:rPr>
        <w:t xml:space="preserve"> active mining companies recorded production levels below expectations, leading to lower-than-projected tax </w:t>
      </w:r>
      <w:r w:rsidR="00C5363D">
        <w:rPr>
          <w:rFonts w:ascii="Baskerville Old Face" w:hAnsi="Baskerville Old Face"/>
          <w:sz w:val="24"/>
          <w:szCs w:val="24"/>
        </w:rPr>
        <w:t xml:space="preserve">and non-tax </w:t>
      </w:r>
      <w:r w:rsidR="00497AB6" w:rsidRPr="00497AB6">
        <w:rPr>
          <w:rFonts w:ascii="Baskerville Old Face" w:hAnsi="Baskerville Old Face"/>
          <w:sz w:val="24"/>
          <w:szCs w:val="24"/>
        </w:rPr>
        <w:t>contributions.</w:t>
      </w:r>
    </w:p>
    <w:p w14:paraId="082B5A88"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Limited Cooperation During Audits and Investigations</w:t>
      </w:r>
    </w:p>
    <w:p w14:paraId="17876AFD" w14:textId="7B6547F0" w:rsidR="00236F13" w:rsidRPr="007847FB" w:rsidRDefault="00236F13" w:rsidP="007847FB">
      <w:pPr>
        <w:jc w:val="both"/>
        <w:rPr>
          <w:rFonts w:ascii="Baskerville Old Face" w:hAnsi="Baskerville Old Face"/>
          <w:sz w:val="24"/>
          <w:szCs w:val="24"/>
        </w:rPr>
      </w:pPr>
      <w:r>
        <w:rPr>
          <w:rFonts w:ascii="Baskerville Old Face" w:hAnsi="Baskerville Old Face"/>
          <w:sz w:val="24"/>
          <w:szCs w:val="24"/>
        </w:rPr>
        <w:t>Several</w:t>
      </w:r>
      <w:r w:rsidR="00497AB6" w:rsidRPr="00497AB6">
        <w:rPr>
          <w:rFonts w:ascii="Baskerville Old Face" w:hAnsi="Baskerville Old Face"/>
          <w:sz w:val="24"/>
          <w:szCs w:val="24"/>
        </w:rPr>
        <w:t xml:space="preserve"> major taxpayers demonstrated inadequate cooperation in responding to audit and investigative obligations. </w:t>
      </w:r>
    </w:p>
    <w:p w14:paraId="508C23A4"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Non-Compliance by State-Owned Enterprises (SOEs)</w:t>
      </w:r>
    </w:p>
    <w:p w14:paraId="2B403521" w14:textId="1B23DB13" w:rsidR="00497AB6" w:rsidRPr="00497AB6" w:rsidRDefault="00497AB6" w:rsidP="00497AB6">
      <w:pPr>
        <w:jc w:val="both"/>
        <w:rPr>
          <w:rFonts w:ascii="Baskerville Old Face" w:hAnsi="Baskerville Old Face"/>
          <w:sz w:val="24"/>
          <w:szCs w:val="24"/>
        </w:rPr>
      </w:pPr>
      <w:r w:rsidRPr="00497AB6">
        <w:rPr>
          <w:rFonts w:ascii="Baskerville Old Face" w:hAnsi="Baskerville Old Face"/>
          <w:sz w:val="24"/>
          <w:szCs w:val="24"/>
        </w:rPr>
        <w:t xml:space="preserve">SOEs, including the Electricity Distribution and Supply Authority (EDSA) and the Electricity Generation and Transmission Company (EGTC), failed to comply with </w:t>
      </w:r>
      <w:r w:rsidR="00691664">
        <w:rPr>
          <w:rFonts w:ascii="Baskerville Old Face" w:hAnsi="Baskerville Old Face"/>
          <w:sz w:val="24"/>
          <w:szCs w:val="24"/>
        </w:rPr>
        <w:t xml:space="preserve">their </w:t>
      </w:r>
      <w:r w:rsidRPr="00497AB6">
        <w:rPr>
          <w:rFonts w:ascii="Baskerville Old Face" w:hAnsi="Baskerville Old Face"/>
          <w:sz w:val="24"/>
          <w:szCs w:val="24"/>
        </w:rPr>
        <w:t>tax obligations. EDSA alone had an outstanding GST liability of NLe162 million for 2024.</w:t>
      </w:r>
    </w:p>
    <w:p w14:paraId="5942F1B4" w14:textId="77777777" w:rsidR="00497AB6" w:rsidRPr="00497AB6" w:rsidRDefault="00497AB6" w:rsidP="00931C1A">
      <w:pPr>
        <w:pStyle w:val="ListParagraph"/>
        <w:numPr>
          <w:ilvl w:val="0"/>
          <w:numId w:val="8"/>
        </w:numPr>
        <w:spacing w:line="278" w:lineRule="auto"/>
        <w:jc w:val="both"/>
        <w:rPr>
          <w:rFonts w:ascii="Baskerville Old Face" w:hAnsi="Baskerville Old Face"/>
          <w:b/>
          <w:bCs/>
          <w:sz w:val="24"/>
          <w:szCs w:val="24"/>
        </w:rPr>
      </w:pPr>
      <w:r w:rsidRPr="00497AB6">
        <w:rPr>
          <w:rFonts w:ascii="Baskerville Old Face" w:hAnsi="Baskerville Old Face"/>
          <w:b/>
          <w:bCs/>
          <w:sz w:val="24"/>
          <w:szCs w:val="24"/>
        </w:rPr>
        <w:t>Non-Payment of Parastatal Dividends</w:t>
      </w:r>
    </w:p>
    <w:p w14:paraId="24B2AB5B" w14:textId="6CDA19D7" w:rsidR="00691664" w:rsidRPr="00520DD2" w:rsidRDefault="00497AB6" w:rsidP="00520DD2">
      <w:pPr>
        <w:jc w:val="both"/>
        <w:rPr>
          <w:rFonts w:ascii="Baskerville Old Face" w:hAnsi="Baskerville Old Face"/>
          <w:sz w:val="24"/>
          <w:szCs w:val="24"/>
        </w:rPr>
      </w:pPr>
      <w:r w:rsidRPr="00497AB6">
        <w:rPr>
          <w:rFonts w:ascii="Baskerville Old Face" w:hAnsi="Baskerville Old Face"/>
          <w:sz w:val="24"/>
          <w:szCs w:val="24"/>
        </w:rPr>
        <w:t xml:space="preserve">The Sierra Leone Commercial Bank (SLCB) did not remit the expected dividend payment of NLe27 million in 2024, </w:t>
      </w:r>
      <w:r w:rsidR="00036C5B">
        <w:rPr>
          <w:rFonts w:ascii="Baskerville Old Face" w:hAnsi="Baskerville Old Face"/>
          <w:sz w:val="24"/>
          <w:szCs w:val="24"/>
        </w:rPr>
        <w:t xml:space="preserve">although they argued that they had </w:t>
      </w:r>
      <w:r w:rsidRPr="00497AB6">
        <w:rPr>
          <w:rFonts w:ascii="Baskerville Old Face" w:hAnsi="Baskerville Old Face"/>
          <w:sz w:val="24"/>
          <w:szCs w:val="24"/>
        </w:rPr>
        <w:t>prepaid this amount in 2022, thereby reducing anticipated non-tax revenue.</w:t>
      </w:r>
    </w:p>
    <w:p w14:paraId="5E6D32BA" w14:textId="12AF3AA2" w:rsidR="005D0E3C" w:rsidRPr="00520DD2" w:rsidRDefault="00395E0D" w:rsidP="00C03BAC">
      <w:pPr>
        <w:pStyle w:val="Heading3"/>
        <w:rPr>
          <w:rFonts w:ascii="Baskerville Old Face" w:hAnsi="Baskerville Old Face"/>
          <w:b/>
          <w:bCs/>
        </w:rPr>
      </w:pPr>
      <w:bookmarkStart w:id="35" w:name="_Toc198043920"/>
      <w:r w:rsidRPr="00520DD2">
        <w:rPr>
          <w:rFonts w:ascii="Baskerville Old Face" w:hAnsi="Baskerville Old Face"/>
          <w:b/>
          <w:bCs/>
        </w:rPr>
        <w:t>2.2.</w:t>
      </w:r>
      <w:r w:rsidR="00520DD2" w:rsidRPr="00520DD2">
        <w:rPr>
          <w:rFonts w:ascii="Baskerville Old Face" w:hAnsi="Baskerville Old Face"/>
          <w:b/>
          <w:bCs/>
        </w:rPr>
        <w:t>6</w:t>
      </w:r>
      <w:r w:rsidRPr="00520DD2">
        <w:rPr>
          <w:rFonts w:ascii="Baskerville Old Face" w:hAnsi="Baskerville Old Face"/>
          <w:b/>
          <w:bCs/>
        </w:rPr>
        <w:t xml:space="preserve"> </w:t>
      </w:r>
      <w:r w:rsidR="00CA4487" w:rsidRPr="00520DD2">
        <w:rPr>
          <w:rFonts w:ascii="Baskerville Old Face" w:hAnsi="Baskerville Old Face"/>
          <w:b/>
          <w:bCs/>
        </w:rPr>
        <w:t xml:space="preserve">Historic Revenue Performance </w:t>
      </w:r>
      <w:r w:rsidR="003416BA" w:rsidRPr="00520DD2">
        <w:rPr>
          <w:rFonts w:ascii="Baskerville Old Face" w:hAnsi="Baskerville Old Face"/>
          <w:b/>
          <w:bCs/>
        </w:rPr>
        <w:t>(20</w:t>
      </w:r>
      <w:r w:rsidR="007951EA" w:rsidRPr="00520DD2">
        <w:rPr>
          <w:rFonts w:ascii="Baskerville Old Face" w:hAnsi="Baskerville Old Face"/>
          <w:b/>
          <w:bCs/>
        </w:rPr>
        <w:t>2</w:t>
      </w:r>
      <w:r w:rsidR="005075B2" w:rsidRPr="00520DD2">
        <w:rPr>
          <w:rFonts w:ascii="Baskerville Old Face" w:hAnsi="Baskerville Old Face"/>
          <w:b/>
          <w:bCs/>
        </w:rPr>
        <w:t>0</w:t>
      </w:r>
      <w:r w:rsidR="003416BA" w:rsidRPr="00520DD2">
        <w:rPr>
          <w:rFonts w:ascii="Baskerville Old Face" w:hAnsi="Baskerville Old Face"/>
          <w:b/>
          <w:bCs/>
        </w:rPr>
        <w:t xml:space="preserve"> – 202</w:t>
      </w:r>
      <w:r w:rsidR="005075B2" w:rsidRPr="00520DD2">
        <w:rPr>
          <w:rFonts w:ascii="Baskerville Old Face" w:hAnsi="Baskerville Old Face"/>
          <w:b/>
          <w:bCs/>
        </w:rPr>
        <w:t>4</w:t>
      </w:r>
      <w:r w:rsidR="003416BA" w:rsidRPr="00520DD2">
        <w:rPr>
          <w:rFonts w:ascii="Baskerville Old Face" w:hAnsi="Baskerville Old Face"/>
          <w:b/>
          <w:bCs/>
        </w:rPr>
        <w:t>)</w:t>
      </w:r>
      <w:bookmarkEnd w:id="35"/>
    </w:p>
    <w:p w14:paraId="413DEF5B" w14:textId="178332CC" w:rsidR="00FE20B1" w:rsidRPr="0090559A" w:rsidRDefault="00FE20B1" w:rsidP="00FE20B1">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90559A">
        <w:rPr>
          <w:rFonts w:ascii="Baskerville Old Face" w:eastAsia="Times New Roman" w:hAnsi="Baskerville Old Face" w:cs="Times New Roman"/>
          <w:kern w:val="0"/>
          <w:sz w:val="24"/>
          <w:szCs w:val="24"/>
          <w14:ligatures w14:val="none"/>
        </w:rPr>
        <w:t xml:space="preserve">Figure 5 presents the trend in domestic revenue collection from 2020 to 2024, shown in nominal terms. The data </w:t>
      </w:r>
      <w:r w:rsidR="001D23B4" w:rsidRPr="0090559A">
        <w:rPr>
          <w:rFonts w:ascii="Baskerville Old Face" w:eastAsia="Times New Roman" w:hAnsi="Baskerville Old Face" w:cs="Times New Roman"/>
          <w:kern w:val="0"/>
          <w:sz w:val="24"/>
          <w:szCs w:val="24"/>
          <w14:ligatures w14:val="none"/>
        </w:rPr>
        <w:t>reveals</w:t>
      </w:r>
      <w:r w:rsidRPr="0090559A">
        <w:rPr>
          <w:rFonts w:ascii="Baskerville Old Face" w:eastAsia="Times New Roman" w:hAnsi="Baskerville Old Face" w:cs="Times New Roman"/>
          <w:kern w:val="0"/>
          <w:sz w:val="24"/>
          <w:szCs w:val="24"/>
          <w14:ligatures w14:val="none"/>
        </w:rPr>
        <w:t xml:space="preserve"> a steady upward trajectory in total domestic revenue since 20</w:t>
      </w:r>
      <w:r w:rsidRPr="00FE20B1">
        <w:rPr>
          <w:rFonts w:ascii="Baskerville Old Face" w:eastAsia="Times New Roman" w:hAnsi="Baskerville Old Face" w:cs="Times New Roman"/>
          <w:kern w:val="0"/>
          <w:sz w:val="24"/>
          <w:szCs w:val="24"/>
          <w14:ligatures w14:val="none"/>
        </w:rPr>
        <w:t>20</w:t>
      </w:r>
      <w:r w:rsidRPr="0090559A">
        <w:rPr>
          <w:rFonts w:ascii="Baskerville Old Face" w:eastAsia="Times New Roman" w:hAnsi="Baskerville Old Face" w:cs="Times New Roman"/>
          <w:kern w:val="0"/>
          <w:sz w:val="24"/>
          <w:szCs w:val="24"/>
          <w14:ligatures w14:val="none"/>
        </w:rPr>
        <w:t xml:space="preserve">. </w:t>
      </w:r>
      <w:r w:rsidR="001D23B4">
        <w:rPr>
          <w:rFonts w:ascii="Baskerville Old Face" w:eastAsia="Times New Roman" w:hAnsi="Baskerville Old Face" w:cs="Times New Roman"/>
          <w:kern w:val="0"/>
          <w:sz w:val="24"/>
          <w:szCs w:val="24"/>
          <w14:ligatures w14:val="none"/>
        </w:rPr>
        <w:t>Except for</w:t>
      </w:r>
      <w:r w:rsidRPr="0090559A">
        <w:rPr>
          <w:rFonts w:ascii="Baskerville Old Face" w:eastAsia="Times New Roman" w:hAnsi="Baskerville Old Face" w:cs="Times New Roman"/>
          <w:kern w:val="0"/>
          <w:sz w:val="24"/>
          <w:szCs w:val="24"/>
          <w14:ligatures w14:val="none"/>
        </w:rPr>
        <w:t xml:space="preserve"> 2020 and 2022, each year recorded an annual increase exceeding </w:t>
      </w:r>
      <w:proofErr w:type="spellStart"/>
      <w:r w:rsidRPr="0090559A">
        <w:rPr>
          <w:rFonts w:ascii="Baskerville Old Face" w:eastAsia="Times New Roman" w:hAnsi="Baskerville Old Face" w:cs="Times New Roman"/>
          <w:kern w:val="0"/>
          <w:sz w:val="24"/>
          <w:szCs w:val="24"/>
          <w14:ligatures w14:val="none"/>
        </w:rPr>
        <w:t>NLe</w:t>
      </w:r>
      <w:proofErr w:type="spellEnd"/>
      <w:r w:rsidRPr="0090559A">
        <w:rPr>
          <w:rFonts w:ascii="Baskerville Old Face" w:eastAsia="Times New Roman" w:hAnsi="Baskerville Old Face" w:cs="Times New Roman"/>
          <w:kern w:val="0"/>
          <w:sz w:val="24"/>
          <w:szCs w:val="24"/>
          <w14:ligatures w14:val="none"/>
        </w:rPr>
        <w:t xml:space="preserve"> 1 billion, with the most substantial growth occurring in 2024—an increase of </w:t>
      </w:r>
      <w:proofErr w:type="spellStart"/>
      <w:r w:rsidRPr="0090559A">
        <w:rPr>
          <w:rFonts w:ascii="Baskerville Old Face" w:eastAsia="Times New Roman" w:hAnsi="Baskerville Old Face" w:cs="Times New Roman"/>
          <w:kern w:val="0"/>
          <w:sz w:val="24"/>
          <w:szCs w:val="24"/>
          <w14:ligatures w14:val="none"/>
        </w:rPr>
        <w:t>NLe</w:t>
      </w:r>
      <w:proofErr w:type="spellEnd"/>
      <w:r w:rsidRPr="0090559A">
        <w:rPr>
          <w:rFonts w:ascii="Baskerville Old Face" w:eastAsia="Times New Roman" w:hAnsi="Baskerville Old Face" w:cs="Times New Roman"/>
          <w:kern w:val="0"/>
          <w:sz w:val="24"/>
          <w:szCs w:val="24"/>
          <w14:ligatures w14:val="none"/>
        </w:rPr>
        <w:t xml:space="preserve"> 4.5 billion, equivalent to a 44.2% rise. The relatively modest increases observed in 2020 and 2022 are primarily attributable to the economic disruptions caused by the COVID-19 pandemic and the Russia-Ukraine conflict</w:t>
      </w:r>
      <w:r w:rsidR="001D23B4">
        <w:rPr>
          <w:rFonts w:ascii="Baskerville Old Face" w:eastAsia="Times New Roman" w:hAnsi="Baskerville Old Face" w:cs="Times New Roman"/>
          <w:kern w:val="0"/>
          <w:sz w:val="24"/>
          <w:szCs w:val="24"/>
          <w14:ligatures w14:val="none"/>
        </w:rPr>
        <w:t>,</w:t>
      </w:r>
      <w:r w:rsidRPr="0090559A">
        <w:rPr>
          <w:rFonts w:ascii="Baskerville Old Face" w:eastAsia="Times New Roman" w:hAnsi="Baskerville Old Face" w:cs="Times New Roman"/>
          <w:kern w:val="0"/>
          <w:sz w:val="24"/>
          <w:szCs w:val="24"/>
          <w14:ligatures w14:val="none"/>
        </w:rPr>
        <w:t xml:space="preserve"> respectively.</w:t>
      </w:r>
    </w:p>
    <w:p w14:paraId="05977189" w14:textId="77777777" w:rsidR="0068040E" w:rsidRDefault="0068040E" w:rsidP="00766021">
      <w:pPr>
        <w:pStyle w:val="Caption"/>
        <w:rPr>
          <w:rFonts w:ascii="Baskerville Old Face" w:hAnsi="Baskerville Old Face"/>
          <w:b/>
          <w:bCs/>
          <w:sz w:val="24"/>
          <w:szCs w:val="24"/>
        </w:rPr>
      </w:pPr>
    </w:p>
    <w:p w14:paraId="66C3A49C" w14:textId="77777777" w:rsidR="0068040E" w:rsidRDefault="0068040E" w:rsidP="00766021">
      <w:pPr>
        <w:pStyle w:val="Caption"/>
        <w:rPr>
          <w:rFonts w:ascii="Baskerville Old Face" w:hAnsi="Baskerville Old Face"/>
          <w:b/>
          <w:bCs/>
          <w:sz w:val="24"/>
          <w:szCs w:val="24"/>
        </w:rPr>
      </w:pPr>
    </w:p>
    <w:p w14:paraId="53DA4628" w14:textId="77777777" w:rsidR="0068040E" w:rsidRDefault="0068040E" w:rsidP="00766021">
      <w:pPr>
        <w:pStyle w:val="Caption"/>
        <w:rPr>
          <w:rFonts w:ascii="Baskerville Old Face" w:hAnsi="Baskerville Old Face"/>
          <w:b/>
          <w:bCs/>
          <w:sz w:val="24"/>
          <w:szCs w:val="24"/>
        </w:rPr>
      </w:pPr>
    </w:p>
    <w:p w14:paraId="7573E0C3" w14:textId="77777777" w:rsidR="0068040E" w:rsidRDefault="0068040E" w:rsidP="00766021">
      <w:pPr>
        <w:pStyle w:val="Caption"/>
        <w:rPr>
          <w:rFonts w:ascii="Baskerville Old Face" w:hAnsi="Baskerville Old Face"/>
          <w:b/>
          <w:bCs/>
          <w:sz w:val="24"/>
          <w:szCs w:val="24"/>
        </w:rPr>
      </w:pPr>
    </w:p>
    <w:p w14:paraId="2377FE43" w14:textId="77777777" w:rsidR="0068040E" w:rsidRDefault="0068040E" w:rsidP="00766021">
      <w:pPr>
        <w:pStyle w:val="Caption"/>
        <w:rPr>
          <w:rFonts w:ascii="Baskerville Old Face" w:hAnsi="Baskerville Old Face"/>
          <w:b/>
          <w:bCs/>
          <w:sz w:val="24"/>
          <w:szCs w:val="24"/>
        </w:rPr>
      </w:pPr>
    </w:p>
    <w:p w14:paraId="45083149" w14:textId="77777777" w:rsidR="0068040E" w:rsidRDefault="0068040E" w:rsidP="00766021">
      <w:pPr>
        <w:pStyle w:val="Caption"/>
        <w:rPr>
          <w:rFonts w:ascii="Baskerville Old Face" w:hAnsi="Baskerville Old Face"/>
          <w:b/>
          <w:bCs/>
          <w:sz w:val="24"/>
          <w:szCs w:val="24"/>
        </w:rPr>
      </w:pPr>
    </w:p>
    <w:p w14:paraId="4ACC2548" w14:textId="77777777" w:rsidR="0068040E" w:rsidRDefault="0068040E" w:rsidP="00766021">
      <w:pPr>
        <w:pStyle w:val="Caption"/>
        <w:rPr>
          <w:rFonts w:ascii="Baskerville Old Face" w:hAnsi="Baskerville Old Face"/>
          <w:b/>
          <w:bCs/>
          <w:sz w:val="24"/>
          <w:szCs w:val="24"/>
        </w:rPr>
      </w:pPr>
    </w:p>
    <w:p w14:paraId="01B7CAC3" w14:textId="77777777" w:rsidR="0068040E" w:rsidRDefault="0068040E" w:rsidP="00766021">
      <w:pPr>
        <w:pStyle w:val="Caption"/>
        <w:rPr>
          <w:rFonts w:ascii="Baskerville Old Face" w:hAnsi="Baskerville Old Face"/>
          <w:b/>
          <w:bCs/>
          <w:sz w:val="24"/>
          <w:szCs w:val="24"/>
        </w:rPr>
      </w:pPr>
    </w:p>
    <w:p w14:paraId="419C858A" w14:textId="14BF15E6" w:rsidR="00766021" w:rsidRPr="0068040E" w:rsidRDefault="00766021" w:rsidP="00766021">
      <w:pPr>
        <w:pStyle w:val="Caption"/>
        <w:rPr>
          <w:rFonts w:ascii="Baskerville Old Face" w:hAnsi="Baskerville Old Face" w:cs="Times New Roman"/>
          <w:b/>
          <w:bCs/>
          <w:i w:val="0"/>
          <w:iCs w:val="0"/>
          <w:sz w:val="24"/>
          <w:szCs w:val="24"/>
        </w:rPr>
      </w:pPr>
      <w:bookmarkStart w:id="36" w:name="_Toc198044051"/>
      <w:r w:rsidRPr="0068040E">
        <w:rPr>
          <w:rFonts w:ascii="Baskerville Old Face" w:hAnsi="Baskerville Old Face"/>
          <w:b/>
          <w:bCs/>
          <w:sz w:val="24"/>
          <w:szCs w:val="24"/>
        </w:rPr>
        <w:lastRenderedPageBreak/>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0068040E" w:rsidRPr="0068040E">
        <w:rPr>
          <w:rFonts w:ascii="Baskerville Old Face" w:hAnsi="Baskerville Old Face"/>
          <w:b/>
          <w:bCs/>
          <w:noProof/>
          <w:sz w:val="24"/>
          <w:szCs w:val="24"/>
        </w:rPr>
        <w:t>5</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Revenue Performance in the Past Five Years</w:t>
      </w:r>
      <w:bookmarkEnd w:id="36"/>
    </w:p>
    <w:p w14:paraId="47C45F3E" w14:textId="6CD3780D" w:rsidR="00B425F0" w:rsidRPr="00B425F0" w:rsidRDefault="00B425F0" w:rsidP="00B425F0">
      <w:pPr>
        <w:rPr>
          <w:rFonts w:ascii="Baskerville Old Face" w:hAnsi="Baskerville Old Face" w:cs="Times New Roman"/>
          <w:sz w:val="24"/>
          <w:szCs w:val="24"/>
        </w:rPr>
      </w:pPr>
      <w:r>
        <w:rPr>
          <w:noProof/>
        </w:rPr>
        <w:drawing>
          <wp:inline distT="0" distB="0" distL="0" distR="0" wp14:anchorId="07B1799F" wp14:editId="385CFEBC">
            <wp:extent cx="5943600" cy="2917190"/>
            <wp:effectExtent l="0" t="0" r="0" b="16510"/>
            <wp:docPr id="1261549981" name="Chart 1">
              <a:extLst xmlns:a="http://schemas.openxmlformats.org/drawingml/2006/main">
                <a:ext uri="{FF2B5EF4-FFF2-40B4-BE49-F238E27FC236}">
                  <a16:creationId xmlns:a16="http://schemas.microsoft.com/office/drawing/2014/main" id="{7FB9E790-6903-2D06-D3F6-DA6DECD75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C91845" w14:textId="62A6722F" w:rsidR="003F5D55" w:rsidRPr="00A0626D" w:rsidRDefault="00A36BD5" w:rsidP="00736423">
      <w:pPr>
        <w:spacing w:line="360" w:lineRule="auto"/>
        <w:jc w:val="both"/>
        <w:rPr>
          <w:rFonts w:ascii="Baskerville Old Face" w:hAnsi="Baskerville Old Face" w:cs="Times New Roman"/>
          <w:b/>
          <w:bCs/>
          <w:i/>
          <w:iCs/>
          <w:sz w:val="24"/>
          <w:szCs w:val="24"/>
        </w:rPr>
      </w:pPr>
      <w:r w:rsidRPr="00971BF0">
        <w:rPr>
          <w:rFonts w:ascii="Baskerville Old Face" w:hAnsi="Baskerville Old Face" w:cs="Times New Roman"/>
          <w:i/>
          <w:iCs/>
          <w:sz w:val="18"/>
          <w:szCs w:val="18"/>
        </w:rPr>
        <w:t>Source: MRP Department</w:t>
      </w:r>
    </w:p>
    <w:p w14:paraId="12C0E95B" w14:textId="2A896F5F" w:rsidR="00FE20B1" w:rsidRPr="0090559A" w:rsidRDefault="00FE20B1" w:rsidP="00FE20B1">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90559A">
        <w:rPr>
          <w:rFonts w:ascii="Baskerville Old Face" w:eastAsia="Times New Roman" w:hAnsi="Baskerville Old Face" w:cs="Times New Roman"/>
          <w:kern w:val="0"/>
          <w:sz w:val="24"/>
          <w:szCs w:val="24"/>
          <w14:ligatures w14:val="none"/>
        </w:rPr>
        <w:t xml:space="preserve">A closer </w:t>
      </w:r>
      <w:r w:rsidRPr="00FE20B1">
        <w:rPr>
          <w:rFonts w:ascii="Baskerville Old Face" w:eastAsia="Times New Roman" w:hAnsi="Baskerville Old Face" w:cs="Times New Roman"/>
          <w:kern w:val="0"/>
          <w:sz w:val="24"/>
          <w:szCs w:val="24"/>
          <w14:ligatures w14:val="none"/>
        </w:rPr>
        <w:t>look at</w:t>
      </w:r>
      <w:r w:rsidRPr="0090559A">
        <w:rPr>
          <w:rFonts w:ascii="Baskerville Old Face" w:eastAsia="Times New Roman" w:hAnsi="Baskerville Old Face" w:cs="Times New Roman"/>
          <w:kern w:val="0"/>
          <w:sz w:val="24"/>
          <w:szCs w:val="24"/>
          <w14:ligatures w14:val="none"/>
        </w:rPr>
        <w:t xml:space="preserve"> Figure 5 indicates that DTD has consistently been the dominant contributor to total domestic revenue, accounting for more than half of total collections each year and exceeding 60% in both 2022 and 2023. Furthermore, between 2021 and 2023, the Non-Tax Revenue (NTR) Department emerged as the second-largest contributor, overtaking the Customs Services Department (CSD). During this period, NTR accounted for over one-fifth of total domestic revenue, partly due to significant inflows from the Treasury Single Account (TSA).</w:t>
      </w:r>
      <w:r w:rsidRPr="00FE20B1">
        <w:rPr>
          <w:rFonts w:ascii="Baskerville Old Face" w:eastAsia="Times New Roman" w:hAnsi="Baskerville Old Face" w:cs="Times New Roman"/>
          <w:kern w:val="0"/>
          <w:sz w:val="24"/>
          <w:szCs w:val="24"/>
          <w14:ligatures w14:val="none"/>
        </w:rPr>
        <w:t xml:space="preserve"> In addition,</w:t>
      </w:r>
      <w:r w:rsidRPr="0090559A">
        <w:rPr>
          <w:rFonts w:ascii="Baskerville Old Face" w:eastAsia="Times New Roman" w:hAnsi="Baskerville Old Face" w:cs="Times New Roman"/>
          <w:kern w:val="0"/>
          <w:sz w:val="24"/>
          <w:szCs w:val="24"/>
          <w14:ligatures w14:val="none"/>
        </w:rPr>
        <w:t xml:space="preserve"> both CSD and NTR revenues experienced a decline in 2022, with CSD revenue also contracting in 2020. In contrast, revenue collected by the DTD has demonstrated consistent growth throughout the period from 20</w:t>
      </w:r>
      <w:r w:rsidR="002738AA">
        <w:rPr>
          <w:rFonts w:ascii="Baskerville Old Face" w:eastAsia="Times New Roman" w:hAnsi="Baskerville Old Face" w:cs="Times New Roman"/>
          <w:kern w:val="0"/>
          <w:sz w:val="24"/>
          <w:szCs w:val="24"/>
          <w14:ligatures w14:val="none"/>
        </w:rPr>
        <w:t>20</w:t>
      </w:r>
      <w:r w:rsidRPr="0090559A">
        <w:rPr>
          <w:rFonts w:ascii="Baskerville Old Face" w:eastAsia="Times New Roman" w:hAnsi="Baskerville Old Face" w:cs="Times New Roman"/>
          <w:kern w:val="0"/>
          <w:sz w:val="24"/>
          <w:szCs w:val="24"/>
          <w14:ligatures w14:val="none"/>
        </w:rPr>
        <w:t xml:space="preserve"> to 2024, reinforcing its role as the primary driver of domestic revenue performance.</w:t>
      </w:r>
    </w:p>
    <w:p w14:paraId="6CBEEEEA" w14:textId="453B55B5" w:rsidR="00453F41" w:rsidRPr="00520DD2" w:rsidRDefault="00395E0D" w:rsidP="00C03BAC">
      <w:pPr>
        <w:pStyle w:val="Heading2"/>
        <w:rPr>
          <w:rFonts w:ascii="Baskerville Old Face" w:hAnsi="Baskerville Old Face"/>
          <w:b/>
          <w:bCs/>
        </w:rPr>
      </w:pPr>
      <w:bookmarkStart w:id="37" w:name="_Toc198043921"/>
      <w:r w:rsidRPr="00520DD2">
        <w:rPr>
          <w:rFonts w:ascii="Baskerville Old Face" w:hAnsi="Baskerville Old Face"/>
          <w:b/>
          <w:bCs/>
        </w:rPr>
        <w:t xml:space="preserve">2.3 </w:t>
      </w:r>
      <w:r w:rsidR="00C03BAC" w:rsidRPr="00520DD2">
        <w:rPr>
          <w:rFonts w:ascii="Baskerville Old Face" w:hAnsi="Baskerville Old Face"/>
          <w:b/>
          <w:bCs/>
        </w:rPr>
        <w:t>COMPARATIVE DUTY WAIVER PERFORMANCE, 2024 AND 2023</w:t>
      </w:r>
      <w:bookmarkEnd w:id="37"/>
    </w:p>
    <w:p w14:paraId="27A3C324" w14:textId="7A39D922" w:rsidR="00F215D0" w:rsidRPr="00F215D0" w:rsidRDefault="00F215D0" w:rsidP="00F215D0">
      <w:pPr>
        <w:spacing w:line="276" w:lineRule="auto"/>
        <w:jc w:val="both"/>
        <w:rPr>
          <w:rFonts w:ascii="Baskerville Old Face" w:hAnsi="Baskerville Old Face"/>
          <w:sz w:val="24"/>
          <w:szCs w:val="24"/>
        </w:rPr>
      </w:pPr>
      <w:r w:rsidRPr="00F215D0">
        <w:rPr>
          <w:rFonts w:ascii="Baskerville Old Face" w:hAnsi="Baskerville Old Face"/>
          <w:sz w:val="24"/>
          <w:szCs w:val="24"/>
        </w:rPr>
        <w:t xml:space="preserve">In this section, "duty waiver" encompasses both import duty and import GST exemptions. The analysis is structured around six primary categories: Government, Private Sector, Non-Governmental Organisations (NGOs), Mining, Embassies/High Commissions, and Public International Organisations (PIOs). All sectors that received duty waivers during the review period are included in this section. These waivers are granted </w:t>
      </w:r>
      <w:r w:rsidR="001D23B4">
        <w:rPr>
          <w:rFonts w:ascii="Baskerville Old Face" w:hAnsi="Baskerville Old Face"/>
          <w:sz w:val="24"/>
          <w:szCs w:val="24"/>
        </w:rPr>
        <w:t>under</w:t>
      </w:r>
      <w:r w:rsidRPr="00F215D0">
        <w:rPr>
          <w:rFonts w:ascii="Baskerville Old Face" w:hAnsi="Baskerville Old Face"/>
          <w:sz w:val="24"/>
          <w:szCs w:val="24"/>
        </w:rPr>
        <w:t xml:space="preserve"> applicable legal provisions, which may stem from general legislation or specific fiscal clauses within individual agreements with the Government of Sierra Leone. The principal legal framework guiding the processing of duty and tax waivers is the Tax and Duty Exemption Act of 2023. This Act provides comprehensive coverage of tax and duty waiver exemptions, </w:t>
      </w:r>
      <w:r w:rsidR="001D23B4">
        <w:rPr>
          <w:rFonts w:ascii="Baskerville Old Face" w:hAnsi="Baskerville Old Face"/>
          <w:sz w:val="24"/>
          <w:szCs w:val="24"/>
        </w:rPr>
        <w:t>except for</w:t>
      </w:r>
      <w:r w:rsidRPr="00F215D0">
        <w:rPr>
          <w:rFonts w:ascii="Baskerville Old Face" w:hAnsi="Baskerville Old Face"/>
          <w:sz w:val="24"/>
          <w:szCs w:val="24"/>
        </w:rPr>
        <w:t xml:space="preserve"> certain investment incentives stipulated in agreements between the Government and private investment entities.</w:t>
      </w:r>
    </w:p>
    <w:p w14:paraId="2BB788C2" w14:textId="7E28AEBB" w:rsidR="00FF0D17" w:rsidRPr="00FF0D17" w:rsidRDefault="00FF0D17" w:rsidP="00FF0D17">
      <w:pPr>
        <w:spacing w:line="276" w:lineRule="auto"/>
        <w:jc w:val="both"/>
        <w:rPr>
          <w:rFonts w:ascii="Baskerville Old Face" w:hAnsi="Baskerville Old Face" w:cs="Times New Roman"/>
          <w:sz w:val="24"/>
          <w:szCs w:val="24"/>
        </w:rPr>
      </w:pPr>
      <w:r w:rsidRPr="00FF0D17">
        <w:rPr>
          <w:rFonts w:ascii="Baskerville Old Face" w:hAnsi="Baskerville Old Face" w:cs="Times New Roman"/>
          <w:sz w:val="24"/>
          <w:szCs w:val="24"/>
        </w:rPr>
        <w:lastRenderedPageBreak/>
        <w:t>In 2024, the total value of duty waivers granted by the Government of Sierra Leone amounted to Le1.29</w:t>
      </w:r>
      <w:r w:rsidR="002738AA">
        <w:rPr>
          <w:rFonts w:ascii="Baskerville Old Face" w:hAnsi="Baskerville Old Face" w:cs="Times New Roman"/>
          <w:sz w:val="24"/>
          <w:szCs w:val="24"/>
        </w:rPr>
        <w:t>4</w:t>
      </w:r>
      <w:r w:rsidRPr="00FF0D17">
        <w:rPr>
          <w:rFonts w:ascii="Baskerville Old Face" w:hAnsi="Baskerville Old Face" w:cs="Times New Roman"/>
          <w:sz w:val="24"/>
          <w:szCs w:val="24"/>
        </w:rPr>
        <w:t xml:space="preserve"> billion, representing a significant increase of Le238.85</w:t>
      </w:r>
      <w:r w:rsidR="002738AA">
        <w:rPr>
          <w:rFonts w:ascii="Baskerville Old Face" w:hAnsi="Baskerville Old Face" w:cs="Times New Roman"/>
          <w:sz w:val="24"/>
          <w:szCs w:val="24"/>
        </w:rPr>
        <w:t>4</w:t>
      </w:r>
      <w:r w:rsidRPr="00FF0D17">
        <w:rPr>
          <w:rFonts w:ascii="Baskerville Old Face" w:hAnsi="Baskerville Old Face" w:cs="Times New Roman"/>
          <w:sz w:val="24"/>
          <w:szCs w:val="24"/>
        </w:rPr>
        <w:t xml:space="preserve"> million or 22.6% compared to the Le1.0</w:t>
      </w:r>
      <w:r w:rsidR="002738AA">
        <w:rPr>
          <w:rFonts w:ascii="Baskerville Old Face" w:hAnsi="Baskerville Old Face" w:cs="Times New Roman"/>
          <w:sz w:val="24"/>
          <w:szCs w:val="24"/>
        </w:rPr>
        <w:t>55</w:t>
      </w:r>
      <w:r w:rsidRPr="00FF0D17">
        <w:rPr>
          <w:rFonts w:ascii="Baskerville Old Face" w:hAnsi="Baskerville Old Face" w:cs="Times New Roman"/>
          <w:sz w:val="24"/>
          <w:szCs w:val="24"/>
        </w:rPr>
        <w:t xml:space="preserve"> billion granted in 2023. The data shows </w:t>
      </w:r>
      <w:r w:rsidR="001D23B4">
        <w:rPr>
          <w:rFonts w:ascii="Baskerville Old Face" w:hAnsi="Baskerville Old Face" w:cs="Times New Roman"/>
          <w:sz w:val="24"/>
          <w:szCs w:val="24"/>
        </w:rPr>
        <w:t xml:space="preserve">an </w:t>
      </w:r>
      <w:r w:rsidR="001D23B4" w:rsidRPr="00FF0D17">
        <w:rPr>
          <w:rFonts w:ascii="Baskerville Old Face" w:hAnsi="Baskerville Old Face" w:cs="Times New Roman"/>
          <w:sz w:val="24"/>
          <w:szCs w:val="24"/>
        </w:rPr>
        <w:t>increase</w:t>
      </w:r>
      <w:r w:rsidRPr="00FF0D17">
        <w:rPr>
          <w:rFonts w:ascii="Baskerville Old Face" w:hAnsi="Baskerville Old Face" w:cs="Times New Roman"/>
          <w:sz w:val="24"/>
          <w:szCs w:val="24"/>
        </w:rPr>
        <w:t xml:space="preserve"> across all beneficiary categories, with notable variations in the growth rate.</w:t>
      </w:r>
    </w:p>
    <w:p w14:paraId="054AF9C3" w14:textId="25181FE0" w:rsidR="00FF0D17" w:rsidRPr="00A25123" w:rsidRDefault="00FF0D17" w:rsidP="001B0A1C">
      <w:pPr>
        <w:spacing w:line="276" w:lineRule="auto"/>
        <w:jc w:val="both"/>
        <w:rPr>
          <w:rFonts w:ascii="Baskerville Old Face" w:hAnsi="Baskerville Old Face" w:cs="Times New Roman"/>
          <w:sz w:val="24"/>
          <w:szCs w:val="24"/>
        </w:rPr>
      </w:pPr>
      <w:r w:rsidRPr="00A25123">
        <w:rPr>
          <w:rFonts w:ascii="Baskerville Old Face" w:hAnsi="Baskerville Old Face" w:cs="Times New Roman"/>
          <w:sz w:val="24"/>
          <w:szCs w:val="24"/>
        </w:rPr>
        <w:t xml:space="preserve">All </w:t>
      </w:r>
      <w:r w:rsidR="001D23B4">
        <w:rPr>
          <w:rFonts w:ascii="Baskerville Old Face" w:hAnsi="Baskerville Old Face" w:cs="Times New Roman"/>
          <w:sz w:val="24"/>
          <w:szCs w:val="24"/>
        </w:rPr>
        <w:t>donor-funded</w:t>
      </w:r>
      <w:r w:rsidRPr="00A25123">
        <w:rPr>
          <w:rFonts w:ascii="Baskerville Old Face" w:hAnsi="Baskerville Old Face" w:cs="Times New Roman"/>
          <w:sz w:val="24"/>
          <w:szCs w:val="24"/>
        </w:rPr>
        <w:t xml:space="preserve"> projects executed by various government MDAs received the highest waiver amount in 2024, totaling Le514.00</w:t>
      </w:r>
      <w:r w:rsidR="002738AA">
        <w:rPr>
          <w:rFonts w:ascii="Baskerville Old Face" w:hAnsi="Baskerville Old Face" w:cs="Times New Roman"/>
          <w:sz w:val="24"/>
          <w:szCs w:val="24"/>
        </w:rPr>
        <w:t>2</w:t>
      </w:r>
      <w:r w:rsidRPr="00A25123">
        <w:rPr>
          <w:rFonts w:ascii="Baskerville Old Face" w:hAnsi="Baskerville Old Face" w:cs="Times New Roman"/>
          <w:sz w:val="24"/>
          <w:szCs w:val="24"/>
        </w:rPr>
        <w:t xml:space="preserve"> million, which reflects a substantial increase of Le99.40</w:t>
      </w:r>
      <w:r w:rsidR="002738AA">
        <w:rPr>
          <w:rFonts w:ascii="Baskerville Old Face" w:hAnsi="Baskerville Old Face" w:cs="Times New Roman"/>
          <w:sz w:val="24"/>
          <w:szCs w:val="24"/>
        </w:rPr>
        <w:t>1</w:t>
      </w:r>
      <w:r w:rsidRPr="00A25123">
        <w:rPr>
          <w:rFonts w:ascii="Baskerville Old Face" w:hAnsi="Baskerville Old Face" w:cs="Times New Roman"/>
          <w:sz w:val="24"/>
          <w:szCs w:val="24"/>
        </w:rPr>
        <w:t xml:space="preserve"> million or 24.0% from the previous year. The Private sector followed closely with waivers amounting to Le470.4</w:t>
      </w:r>
      <w:r w:rsidR="002738AA">
        <w:rPr>
          <w:rFonts w:ascii="Baskerville Old Face" w:hAnsi="Baskerville Old Face" w:cs="Times New Roman"/>
          <w:sz w:val="24"/>
          <w:szCs w:val="24"/>
        </w:rPr>
        <w:t>27</w:t>
      </w:r>
      <w:r w:rsidRPr="00A25123">
        <w:rPr>
          <w:rFonts w:ascii="Baskerville Old Face" w:hAnsi="Baskerville Old Face" w:cs="Times New Roman"/>
          <w:sz w:val="24"/>
          <w:szCs w:val="24"/>
        </w:rPr>
        <w:t xml:space="preserve"> million, an increase of Le66.0</w:t>
      </w:r>
      <w:r w:rsidR="002738AA">
        <w:rPr>
          <w:rFonts w:ascii="Baskerville Old Face" w:hAnsi="Baskerville Old Face" w:cs="Times New Roman"/>
          <w:sz w:val="24"/>
          <w:szCs w:val="24"/>
        </w:rPr>
        <w:t>87</w:t>
      </w:r>
      <w:r w:rsidRPr="00A25123">
        <w:rPr>
          <w:rFonts w:ascii="Baskerville Old Face" w:hAnsi="Baskerville Old Face" w:cs="Times New Roman"/>
          <w:sz w:val="24"/>
          <w:szCs w:val="24"/>
        </w:rPr>
        <w:t xml:space="preserve"> million or 16.3%. These figures suggest increased government activities and sustained support to private sector operations through fiscal concessions.</w:t>
      </w:r>
      <w:r w:rsidR="001B0A1C" w:rsidRPr="00A25123">
        <w:rPr>
          <w:rFonts w:ascii="Baskerville Old Face" w:hAnsi="Baskerville Old Face" w:cs="Times New Roman"/>
          <w:sz w:val="24"/>
          <w:szCs w:val="24"/>
        </w:rPr>
        <w:t xml:space="preserve"> </w:t>
      </w:r>
      <w:r w:rsidRPr="00A25123">
        <w:rPr>
          <w:rFonts w:ascii="Baskerville Old Face" w:hAnsi="Baskerville Old Face" w:cs="Times New Roman"/>
          <w:sz w:val="24"/>
          <w:szCs w:val="24"/>
        </w:rPr>
        <w:t>The category with the most significant percentage increase was the Mining sector, which experienced a remarkable 114.2% rise—from Le21.18</w:t>
      </w:r>
      <w:r w:rsidR="002738AA">
        <w:rPr>
          <w:rFonts w:ascii="Baskerville Old Face" w:hAnsi="Baskerville Old Face" w:cs="Times New Roman"/>
          <w:sz w:val="24"/>
          <w:szCs w:val="24"/>
        </w:rPr>
        <w:t>2</w:t>
      </w:r>
      <w:r w:rsidRPr="00A25123">
        <w:rPr>
          <w:rFonts w:ascii="Baskerville Old Face" w:hAnsi="Baskerville Old Face" w:cs="Times New Roman"/>
          <w:sz w:val="24"/>
          <w:szCs w:val="24"/>
        </w:rPr>
        <w:t xml:space="preserve"> million in 2023 to Le45.3</w:t>
      </w:r>
      <w:r w:rsidR="002738AA">
        <w:rPr>
          <w:rFonts w:ascii="Baskerville Old Face" w:hAnsi="Baskerville Old Face" w:cs="Times New Roman"/>
          <w:sz w:val="24"/>
          <w:szCs w:val="24"/>
        </w:rPr>
        <w:t>7</w:t>
      </w:r>
      <w:r w:rsidRPr="00A25123">
        <w:rPr>
          <w:rFonts w:ascii="Baskerville Old Face" w:hAnsi="Baskerville Old Face" w:cs="Times New Roman"/>
          <w:sz w:val="24"/>
          <w:szCs w:val="24"/>
        </w:rPr>
        <w:t>8 million in 2024. This sharp increase indicates a surge in mining-related imports and the implementation of new or expanded agreements granting duty relief to companies in the sector.</w:t>
      </w:r>
      <w:r w:rsidR="001B0A1C" w:rsidRPr="00A25123">
        <w:rPr>
          <w:rFonts w:ascii="Baskerville Old Face" w:hAnsi="Baskerville Old Face" w:cs="Times New Roman"/>
          <w:sz w:val="24"/>
          <w:szCs w:val="24"/>
        </w:rPr>
        <w:t xml:space="preserve"> </w:t>
      </w:r>
      <w:r w:rsidRPr="00A25123">
        <w:rPr>
          <w:rFonts w:ascii="Baskerville Old Face" w:hAnsi="Baskerville Old Face" w:cs="Times New Roman"/>
          <w:sz w:val="24"/>
          <w:szCs w:val="24"/>
        </w:rPr>
        <w:t>Public International Organisations (PIOs) also saw a notable increase in duty waivers, rising by Le29.1</w:t>
      </w:r>
      <w:r w:rsidR="002738AA">
        <w:rPr>
          <w:rFonts w:ascii="Baskerville Old Face" w:hAnsi="Baskerville Old Face" w:cs="Times New Roman"/>
          <w:sz w:val="24"/>
          <w:szCs w:val="24"/>
        </w:rPr>
        <w:t>58</w:t>
      </w:r>
      <w:r w:rsidRPr="00A25123">
        <w:rPr>
          <w:rFonts w:ascii="Baskerville Old Face" w:hAnsi="Baskerville Old Face" w:cs="Times New Roman"/>
          <w:sz w:val="24"/>
          <w:szCs w:val="24"/>
        </w:rPr>
        <w:t xml:space="preserve"> million or 27.0%, reflecting possibly greater operational activity or increased donor-supported imports. Embassies and NGOs also experienced increases in duty waivers by 20.1% and 18.2%, respectively.</w:t>
      </w:r>
    </w:p>
    <w:p w14:paraId="57B896FB" w14:textId="285C6105" w:rsidR="00FF0D17" w:rsidRDefault="00FF0D17" w:rsidP="001B0A1C">
      <w:pPr>
        <w:spacing w:line="276" w:lineRule="auto"/>
        <w:jc w:val="both"/>
        <w:rPr>
          <w:rFonts w:ascii="Baskerville Old Face" w:hAnsi="Baskerville Old Face" w:cs="Times New Roman"/>
          <w:sz w:val="24"/>
          <w:szCs w:val="24"/>
        </w:rPr>
      </w:pPr>
      <w:r w:rsidRPr="00FF0D17">
        <w:rPr>
          <w:rFonts w:ascii="Baskerville Old Face" w:hAnsi="Baskerville Old Face" w:cs="Times New Roman"/>
          <w:sz w:val="24"/>
          <w:szCs w:val="24"/>
        </w:rPr>
        <w:t>This surge in duty waivers carries significant implications for government revenue, representing a potential loss that could have been allocated to more productive projects. Had these waivers not been granted, total domestic revenue might have demonstrated higher performance levels than what was reported for 2024.</w:t>
      </w:r>
    </w:p>
    <w:p w14:paraId="1E868918" w14:textId="0E3197C8" w:rsidR="00326812" w:rsidRPr="0068040E" w:rsidRDefault="00326812" w:rsidP="00326812">
      <w:pPr>
        <w:pStyle w:val="Caption"/>
        <w:keepNext/>
        <w:rPr>
          <w:rFonts w:ascii="Baskerville Old Face" w:hAnsi="Baskerville Old Face"/>
          <w:b/>
          <w:bCs/>
          <w:sz w:val="24"/>
          <w:szCs w:val="24"/>
        </w:rPr>
      </w:pPr>
      <w:bookmarkStart w:id="38" w:name="_Toc198044023"/>
      <w:r w:rsidRPr="0068040E">
        <w:rPr>
          <w:rFonts w:ascii="Baskerville Old Face" w:hAnsi="Baskerville Old Face"/>
          <w:b/>
          <w:bCs/>
          <w:sz w:val="24"/>
          <w:szCs w:val="24"/>
        </w:rPr>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0071721B" w:rsidRPr="0068040E">
        <w:rPr>
          <w:rFonts w:ascii="Baskerville Old Face" w:hAnsi="Baskerville Old Face"/>
          <w:b/>
          <w:bCs/>
          <w:noProof/>
          <w:sz w:val="24"/>
          <w:szCs w:val="24"/>
        </w:rPr>
        <w:t>5</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Duty Waiver by Category of Exemption, 2023 and 2022 (</w:t>
      </w:r>
      <w:proofErr w:type="spellStart"/>
      <w:r w:rsidRPr="0068040E">
        <w:rPr>
          <w:rFonts w:ascii="Baskerville Old Face" w:hAnsi="Baskerville Old Face"/>
          <w:b/>
          <w:bCs/>
          <w:sz w:val="24"/>
          <w:szCs w:val="24"/>
        </w:rPr>
        <w:t>NLe</w:t>
      </w:r>
      <w:proofErr w:type="spellEnd"/>
      <w:r w:rsidRPr="0068040E">
        <w:rPr>
          <w:rFonts w:ascii="Baskerville Old Face" w:hAnsi="Baskerville Old Face"/>
          <w:b/>
          <w:bCs/>
          <w:sz w:val="24"/>
          <w:szCs w:val="24"/>
        </w:rPr>
        <w:t xml:space="preserve"> Million)</w:t>
      </w:r>
      <w:bookmarkEnd w:id="38"/>
    </w:p>
    <w:tbl>
      <w:tblPr>
        <w:tblStyle w:val="GridTable4-Accent4"/>
        <w:tblW w:w="0" w:type="auto"/>
        <w:tblLook w:val="04A0" w:firstRow="1" w:lastRow="0" w:firstColumn="1" w:lastColumn="0" w:noHBand="0" w:noVBand="1"/>
      </w:tblPr>
      <w:tblGrid>
        <w:gridCol w:w="2000"/>
        <w:gridCol w:w="1400"/>
        <w:gridCol w:w="1160"/>
        <w:gridCol w:w="1220"/>
        <w:gridCol w:w="1540"/>
      </w:tblGrid>
      <w:tr w:rsidR="00891198" w:rsidRPr="00A61B56" w14:paraId="589E1B3C" w14:textId="77777777" w:rsidTr="00046D9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BFDDFB5" w14:textId="77777777" w:rsidR="00891198" w:rsidRPr="00C84128" w:rsidRDefault="00891198" w:rsidP="00891198">
            <w:pPr>
              <w:rPr>
                <w:rFonts w:ascii="Baskerville Old Face" w:hAnsi="Baskerville Old Face" w:cs="Times New Roman"/>
                <w:color w:val="auto"/>
              </w:rPr>
            </w:pPr>
            <w:r w:rsidRPr="00C84128">
              <w:rPr>
                <w:rFonts w:ascii="Baskerville Old Face" w:hAnsi="Baskerville Old Face" w:cs="Times New Roman"/>
                <w:color w:val="auto"/>
              </w:rPr>
              <w:t>CATEGORY</w:t>
            </w:r>
          </w:p>
        </w:tc>
        <w:tc>
          <w:tcPr>
            <w:tcW w:w="1400" w:type="dxa"/>
            <w:noWrap/>
            <w:hideMark/>
          </w:tcPr>
          <w:p w14:paraId="257BE451" w14:textId="790455D7" w:rsidR="00891198" w:rsidRPr="00891198" w:rsidRDefault="00891198" w:rsidP="00891198">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891198">
              <w:rPr>
                <w:rFonts w:ascii="Baskerville Old Face" w:hAnsi="Baskerville Old Face"/>
                <w:color w:val="auto"/>
              </w:rPr>
              <w:t>2024</w:t>
            </w:r>
          </w:p>
        </w:tc>
        <w:tc>
          <w:tcPr>
            <w:tcW w:w="1160" w:type="dxa"/>
            <w:noWrap/>
            <w:hideMark/>
          </w:tcPr>
          <w:p w14:paraId="1CF2CECB" w14:textId="5090D961" w:rsidR="00891198" w:rsidRPr="00891198" w:rsidRDefault="00891198" w:rsidP="00891198">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891198">
              <w:rPr>
                <w:rFonts w:ascii="Baskerville Old Face" w:hAnsi="Baskerville Old Face"/>
                <w:color w:val="auto"/>
              </w:rPr>
              <w:t>2023</w:t>
            </w:r>
          </w:p>
        </w:tc>
        <w:tc>
          <w:tcPr>
            <w:tcW w:w="1220" w:type="dxa"/>
            <w:noWrap/>
            <w:hideMark/>
          </w:tcPr>
          <w:p w14:paraId="29F413A5" w14:textId="1FC9303D" w:rsidR="00891198" w:rsidRPr="00891198" w:rsidRDefault="00891198" w:rsidP="00891198">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891198">
              <w:rPr>
                <w:rFonts w:ascii="Baskerville Old Face" w:hAnsi="Baskerville Old Face"/>
                <w:color w:val="auto"/>
              </w:rPr>
              <w:t>Variance</w:t>
            </w:r>
          </w:p>
        </w:tc>
        <w:tc>
          <w:tcPr>
            <w:tcW w:w="1540" w:type="dxa"/>
            <w:noWrap/>
            <w:hideMark/>
          </w:tcPr>
          <w:p w14:paraId="13A268E0" w14:textId="0019CAB9" w:rsidR="00891198" w:rsidRPr="00891198" w:rsidRDefault="00891198" w:rsidP="00891198">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891198">
              <w:rPr>
                <w:rFonts w:ascii="Baskerville Old Face" w:hAnsi="Baskerville Old Face"/>
                <w:color w:val="auto"/>
              </w:rPr>
              <w:t>% Variance</w:t>
            </w:r>
          </w:p>
        </w:tc>
      </w:tr>
      <w:tr w:rsidR="00891198" w:rsidRPr="00A61B56" w14:paraId="7285873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487C009" w14:textId="14E1430B" w:rsidR="00891198" w:rsidRPr="00531B80" w:rsidRDefault="00891198" w:rsidP="00891198">
            <w:pPr>
              <w:rPr>
                <w:rFonts w:ascii="Baskerville Old Face" w:hAnsi="Baskerville Old Face" w:cs="Times New Roman"/>
                <w:b w:val="0"/>
                <w:bCs w:val="0"/>
              </w:rPr>
            </w:pPr>
            <w:r w:rsidRPr="00531B80">
              <w:rPr>
                <w:rFonts w:ascii="Baskerville Old Face" w:hAnsi="Baskerville Old Face" w:cs="Times New Roman"/>
                <w:b w:val="0"/>
                <w:bCs w:val="0"/>
              </w:rPr>
              <w:t>Embassy</w:t>
            </w:r>
          </w:p>
        </w:tc>
        <w:tc>
          <w:tcPr>
            <w:tcW w:w="1400" w:type="dxa"/>
            <w:noWrap/>
            <w:hideMark/>
          </w:tcPr>
          <w:p w14:paraId="26DF010C" w14:textId="4DD27AA7"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37,294</w:t>
            </w:r>
          </w:p>
        </w:tc>
        <w:tc>
          <w:tcPr>
            <w:tcW w:w="1160" w:type="dxa"/>
            <w:noWrap/>
            <w:hideMark/>
          </w:tcPr>
          <w:p w14:paraId="5437F2CA" w14:textId="1AB2FFB2"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31,062</w:t>
            </w:r>
          </w:p>
        </w:tc>
        <w:tc>
          <w:tcPr>
            <w:tcW w:w="1220" w:type="dxa"/>
            <w:noWrap/>
            <w:hideMark/>
          </w:tcPr>
          <w:p w14:paraId="016A0987" w14:textId="301C7A5A"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6,232</w:t>
            </w:r>
          </w:p>
        </w:tc>
        <w:tc>
          <w:tcPr>
            <w:tcW w:w="1540" w:type="dxa"/>
            <w:noWrap/>
            <w:hideMark/>
          </w:tcPr>
          <w:p w14:paraId="5BFC20DC" w14:textId="2E2C69B8"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20.1%</w:t>
            </w:r>
          </w:p>
        </w:tc>
      </w:tr>
      <w:tr w:rsidR="00891198" w:rsidRPr="00A61B56" w14:paraId="12861486"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7A03DFE" w14:textId="41ABFA72" w:rsidR="00891198" w:rsidRPr="00A61B56" w:rsidRDefault="00891198" w:rsidP="00891198">
            <w:pPr>
              <w:rPr>
                <w:rFonts w:ascii="Baskerville Old Face" w:hAnsi="Baskerville Old Face" w:cs="Times New Roman"/>
                <w:b w:val="0"/>
                <w:bCs w:val="0"/>
              </w:rPr>
            </w:pPr>
            <w:r w:rsidRPr="00A61B56">
              <w:rPr>
                <w:rFonts w:ascii="Baskerville Old Face" w:hAnsi="Baskerville Old Face" w:cs="Times New Roman"/>
                <w:b w:val="0"/>
                <w:bCs w:val="0"/>
              </w:rPr>
              <w:t>Government</w:t>
            </w:r>
          </w:p>
        </w:tc>
        <w:tc>
          <w:tcPr>
            <w:tcW w:w="1400" w:type="dxa"/>
            <w:noWrap/>
            <w:hideMark/>
          </w:tcPr>
          <w:p w14:paraId="2976EF00" w14:textId="5978814C"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514,002</w:t>
            </w:r>
          </w:p>
        </w:tc>
        <w:tc>
          <w:tcPr>
            <w:tcW w:w="1160" w:type="dxa"/>
            <w:noWrap/>
            <w:hideMark/>
          </w:tcPr>
          <w:p w14:paraId="52BB8F8B" w14:textId="04BFDDD4"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414,602</w:t>
            </w:r>
          </w:p>
        </w:tc>
        <w:tc>
          <w:tcPr>
            <w:tcW w:w="1220" w:type="dxa"/>
            <w:noWrap/>
            <w:hideMark/>
          </w:tcPr>
          <w:p w14:paraId="007E9859" w14:textId="5840CC4E"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99,401</w:t>
            </w:r>
          </w:p>
        </w:tc>
        <w:tc>
          <w:tcPr>
            <w:tcW w:w="1540" w:type="dxa"/>
            <w:noWrap/>
            <w:hideMark/>
          </w:tcPr>
          <w:p w14:paraId="13A74170" w14:textId="7020798C"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24.0%</w:t>
            </w:r>
          </w:p>
        </w:tc>
      </w:tr>
      <w:tr w:rsidR="00891198" w:rsidRPr="00A61B56" w14:paraId="562339F5"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CCE0573" w14:textId="761D745B" w:rsidR="00891198" w:rsidRPr="00A61B56" w:rsidRDefault="00891198" w:rsidP="00891198">
            <w:pPr>
              <w:rPr>
                <w:rFonts w:ascii="Baskerville Old Face" w:hAnsi="Baskerville Old Face" w:cs="Times New Roman"/>
                <w:b w:val="0"/>
                <w:bCs w:val="0"/>
              </w:rPr>
            </w:pPr>
            <w:r w:rsidRPr="00A61B56">
              <w:rPr>
                <w:rFonts w:ascii="Baskerville Old Face" w:hAnsi="Baskerville Old Face" w:cs="Times New Roman"/>
                <w:b w:val="0"/>
                <w:bCs w:val="0"/>
              </w:rPr>
              <w:t>Mining</w:t>
            </w:r>
          </w:p>
        </w:tc>
        <w:tc>
          <w:tcPr>
            <w:tcW w:w="1400" w:type="dxa"/>
            <w:noWrap/>
            <w:hideMark/>
          </w:tcPr>
          <w:p w14:paraId="46B3E7C7" w14:textId="49BCFBBC"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45,378</w:t>
            </w:r>
          </w:p>
        </w:tc>
        <w:tc>
          <w:tcPr>
            <w:tcW w:w="1160" w:type="dxa"/>
            <w:noWrap/>
            <w:hideMark/>
          </w:tcPr>
          <w:p w14:paraId="7ECF9B1A" w14:textId="3F22F62C"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21,182</w:t>
            </w:r>
          </w:p>
        </w:tc>
        <w:tc>
          <w:tcPr>
            <w:tcW w:w="1220" w:type="dxa"/>
            <w:noWrap/>
            <w:hideMark/>
          </w:tcPr>
          <w:p w14:paraId="7D7E1E2A" w14:textId="3FDFE5A7"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24,196</w:t>
            </w:r>
          </w:p>
        </w:tc>
        <w:tc>
          <w:tcPr>
            <w:tcW w:w="1540" w:type="dxa"/>
            <w:noWrap/>
            <w:hideMark/>
          </w:tcPr>
          <w:p w14:paraId="6A583CD9" w14:textId="648B7F12"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114.2%</w:t>
            </w:r>
          </w:p>
        </w:tc>
      </w:tr>
      <w:tr w:rsidR="00891198" w:rsidRPr="00A61B56" w14:paraId="79FAF9B8"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0733FC7" w14:textId="77777777" w:rsidR="00891198" w:rsidRPr="00A61B56" w:rsidRDefault="00891198" w:rsidP="00891198">
            <w:pPr>
              <w:rPr>
                <w:rFonts w:ascii="Baskerville Old Face" w:hAnsi="Baskerville Old Face" w:cs="Times New Roman"/>
                <w:b w:val="0"/>
                <w:bCs w:val="0"/>
              </w:rPr>
            </w:pPr>
            <w:r w:rsidRPr="00A61B56">
              <w:rPr>
                <w:rFonts w:ascii="Baskerville Old Face" w:hAnsi="Baskerville Old Face" w:cs="Times New Roman"/>
                <w:b w:val="0"/>
                <w:bCs w:val="0"/>
              </w:rPr>
              <w:t>NGO</w:t>
            </w:r>
          </w:p>
        </w:tc>
        <w:tc>
          <w:tcPr>
            <w:tcW w:w="1400" w:type="dxa"/>
            <w:noWrap/>
            <w:hideMark/>
          </w:tcPr>
          <w:p w14:paraId="00626B9F" w14:textId="6F769B07"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89,630</w:t>
            </w:r>
          </w:p>
        </w:tc>
        <w:tc>
          <w:tcPr>
            <w:tcW w:w="1160" w:type="dxa"/>
            <w:noWrap/>
            <w:hideMark/>
          </w:tcPr>
          <w:p w14:paraId="5AC75A53" w14:textId="3A9B2E2D"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75,850</w:t>
            </w:r>
          </w:p>
        </w:tc>
        <w:tc>
          <w:tcPr>
            <w:tcW w:w="1220" w:type="dxa"/>
            <w:noWrap/>
            <w:hideMark/>
          </w:tcPr>
          <w:p w14:paraId="2CE0F866" w14:textId="3D2E2009"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13,780</w:t>
            </w:r>
          </w:p>
        </w:tc>
        <w:tc>
          <w:tcPr>
            <w:tcW w:w="1540" w:type="dxa"/>
            <w:noWrap/>
            <w:hideMark/>
          </w:tcPr>
          <w:p w14:paraId="4DA6258A" w14:textId="037FD561"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18.2%</w:t>
            </w:r>
          </w:p>
        </w:tc>
      </w:tr>
      <w:tr w:rsidR="00891198" w:rsidRPr="00A61B56" w14:paraId="13CC2A1C"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C4AF8D6" w14:textId="77777777" w:rsidR="00891198" w:rsidRPr="00A61B56" w:rsidRDefault="00891198" w:rsidP="00891198">
            <w:pPr>
              <w:rPr>
                <w:rFonts w:ascii="Baskerville Old Face" w:hAnsi="Baskerville Old Face" w:cs="Times New Roman"/>
                <w:b w:val="0"/>
                <w:bCs w:val="0"/>
              </w:rPr>
            </w:pPr>
            <w:r w:rsidRPr="00A61B56">
              <w:rPr>
                <w:rFonts w:ascii="Baskerville Old Face" w:hAnsi="Baskerville Old Face" w:cs="Times New Roman"/>
                <w:b w:val="0"/>
                <w:bCs w:val="0"/>
              </w:rPr>
              <w:t>PIO</w:t>
            </w:r>
          </w:p>
        </w:tc>
        <w:tc>
          <w:tcPr>
            <w:tcW w:w="1400" w:type="dxa"/>
            <w:noWrap/>
            <w:hideMark/>
          </w:tcPr>
          <w:p w14:paraId="53390049" w14:textId="0A7A3CCF"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137,254</w:t>
            </w:r>
          </w:p>
        </w:tc>
        <w:tc>
          <w:tcPr>
            <w:tcW w:w="1160" w:type="dxa"/>
            <w:noWrap/>
            <w:hideMark/>
          </w:tcPr>
          <w:p w14:paraId="4CCCC27E" w14:textId="35E25866"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108,096</w:t>
            </w:r>
          </w:p>
        </w:tc>
        <w:tc>
          <w:tcPr>
            <w:tcW w:w="1220" w:type="dxa"/>
            <w:noWrap/>
            <w:hideMark/>
          </w:tcPr>
          <w:p w14:paraId="664E2AAC" w14:textId="2F0C43F0"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29,158</w:t>
            </w:r>
          </w:p>
        </w:tc>
        <w:tc>
          <w:tcPr>
            <w:tcW w:w="1540" w:type="dxa"/>
            <w:noWrap/>
            <w:hideMark/>
          </w:tcPr>
          <w:p w14:paraId="5FC7EC96" w14:textId="366BA044"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27.0%</w:t>
            </w:r>
          </w:p>
        </w:tc>
      </w:tr>
      <w:tr w:rsidR="00891198" w:rsidRPr="00A61B56" w14:paraId="0410E5D5"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A783211" w14:textId="70669F53" w:rsidR="00891198" w:rsidRPr="00A61B56" w:rsidRDefault="00891198" w:rsidP="00891198">
            <w:pPr>
              <w:rPr>
                <w:rFonts w:ascii="Baskerville Old Face" w:hAnsi="Baskerville Old Face" w:cs="Times New Roman"/>
                <w:b w:val="0"/>
                <w:bCs w:val="0"/>
              </w:rPr>
            </w:pPr>
            <w:r w:rsidRPr="00A61B56">
              <w:rPr>
                <w:rFonts w:ascii="Baskerville Old Face" w:hAnsi="Baskerville Old Face" w:cs="Times New Roman"/>
                <w:b w:val="0"/>
                <w:bCs w:val="0"/>
              </w:rPr>
              <w:t>Private</w:t>
            </w:r>
          </w:p>
        </w:tc>
        <w:tc>
          <w:tcPr>
            <w:tcW w:w="1400" w:type="dxa"/>
            <w:noWrap/>
            <w:hideMark/>
          </w:tcPr>
          <w:p w14:paraId="10256B01" w14:textId="6DE1E510"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470,427</w:t>
            </w:r>
          </w:p>
        </w:tc>
        <w:tc>
          <w:tcPr>
            <w:tcW w:w="1160" w:type="dxa"/>
            <w:noWrap/>
            <w:hideMark/>
          </w:tcPr>
          <w:p w14:paraId="0686BB04" w14:textId="1CD32D42"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404,340</w:t>
            </w:r>
          </w:p>
        </w:tc>
        <w:tc>
          <w:tcPr>
            <w:tcW w:w="1220" w:type="dxa"/>
            <w:noWrap/>
            <w:hideMark/>
          </w:tcPr>
          <w:p w14:paraId="79C13E06" w14:textId="6D481B55"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66,087</w:t>
            </w:r>
          </w:p>
        </w:tc>
        <w:tc>
          <w:tcPr>
            <w:tcW w:w="1540" w:type="dxa"/>
            <w:noWrap/>
            <w:hideMark/>
          </w:tcPr>
          <w:p w14:paraId="05756784" w14:textId="70607D46" w:rsidR="00891198" w:rsidRPr="00891198" w:rsidRDefault="00891198" w:rsidP="008911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891198">
              <w:rPr>
                <w:rFonts w:ascii="Baskerville Old Face" w:hAnsi="Baskerville Old Face"/>
              </w:rPr>
              <w:t>16.3%</w:t>
            </w:r>
          </w:p>
        </w:tc>
      </w:tr>
      <w:tr w:rsidR="00891198" w:rsidRPr="00A61B56" w14:paraId="5332E7C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74DDCAC" w14:textId="77777777" w:rsidR="00891198" w:rsidRPr="00A61B56" w:rsidRDefault="00891198" w:rsidP="00891198">
            <w:pPr>
              <w:rPr>
                <w:rFonts w:ascii="Baskerville Old Face" w:hAnsi="Baskerville Old Face" w:cs="Times New Roman"/>
              </w:rPr>
            </w:pPr>
            <w:r w:rsidRPr="00A61B56">
              <w:rPr>
                <w:rFonts w:ascii="Baskerville Old Face" w:hAnsi="Baskerville Old Face" w:cs="Times New Roman"/>
              </w:rPr>
              <w:t>TOTAL</w:t>
            </w:r>
          </w:p>
        </w:tc>
        <w:tc>
          <w:tcPr>
            <w:tcW w:w="1400" w:type="dxa"/>
            <w:noWrap/>
            <w:hideMark/>
          </w:tcPr>
          <w:p w14:paraId="2117601E" w14:textId="2A215F49"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91198">
              <w:rPr>
                <w:rFonts w:ascii="Baskerville Old Face" w:hAnsi="Baskerville Old Face"/>
                <w:b/>
                <w:bCs/>
              </w:rPr>
              <w:t>1,293,985</w:t>
            </w:r>
          </w:p>
        </w:tc>
        <w:tc>
          <w:tcPr>
            <w:tcW w:w="1160" w:type="dxa"/>
            <w:noWrap/>
            <w:hideMark/>
          </w:tcPr>
          <w:p w14:paraId="18CF2A21" w14:textId="0F37A075"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91198">
              <w:rPr>
                <w:rFonts w:ascii="Baskerville Old Face" w:hAnsi="Baskerville Old Face"/>
                <w:b/>
                <w:bCs/>
              </w:rPr>
              <w:t>1,055,132</w:t>
            </w:r>
          </w:p>
        </w:tc>
        <w:tc>
          <w:tcPr>
            <w:tcW w:w="1220" w:type="dxa"/>
            <w:noWrap/>
            <w:hideMark/>
          </w:tcPr>
          <w:p w14:paraId="5E8FF58D" w14:textId="54C828D9"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91198">
              <w:rPr>
                <w:rFonts w:ascii="Baskerville Old Face" w:hAnsi="Baskerville Old Face"/>
                <w:b/>
                <w:bCs/>
              </w:rPr>
              <w:t>238,854</w:t>
            </w:r>
          </w:p>
        </w:tc>
        <w:tc>
          <w:tcPr>
            <w:tcW w:w="1540" w:type="dxa"/>
            <w:noWrap/>
            <w:hideMark/>
          </w:tcPr>
          <w:p w14:paraId="53CBF997" w14:textId="65F47E44" w:rsidR="00891198" w:rsidRPr="00891198" w:rsidRDefault="00891198" w:rsidP="008911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91198">
              <w:rPr>
                <w:rFonts w:ascii="Baskerville Old Face" w:hAnsi="Baskerville Old Face"/>
                <w:b/>
                <w:bCs/>
              </w:rPr>
              <w:t>22.6%</w:t>
            </w:r>
          </w:p>
        </w:tc>
      </w:tr>
    </w:tbl>
    <w:p w14:paraId="0052F952" w14:textId="6A99B0E0" w:rsidR="00453F41" w:rsidRPr="00B90B69" w:rsidRDefault="00BA408D" w:rsidP="004D5FD6">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64609794" w14:textId="090E4731" w:rsidR="00C866C2" w:rsidRPr="00EB2631" w:rsidRDefault="002B4379" w:rsidP="00AD7DDF">
      <w:pPr>
        <w:spacing w:before="100" w:beforeAutospacing="1" w:after="100" w:afterAutospacing="1" w:line="276" w:lineRule="auto"/>
        <w:jc w:val="both"/>
        <w:rPr>
          <w:rFonts w:ascii="Baskerville Old Face" w:eastAsia="Times New Roman" w:hAnsi="Baskerville Old Face" w:cs="Times New Roman"/>
          <w:sz w:val="24"/>
          <w:szCs w:val="24"/>
        </w:rPr>
      </w:pPr>
      <w:proofErr w:type="spellStart"/>
      <w:r w:rsidRPr="00AD7DDF">
        <w:rPr>
          <w:rFonts w:ascii="Baskerville Old Face" w:hAnsi="Baskerville Old Face" w:cs="Times New Roman"/>
          <w:sz w:val="24"/>
          <w:szCs w:val="24"/>
        </w:rPr>
        <w:t>Analy</w:t>
      </w:r>
      <w:r w:rsidR="00C866C2" w:rsidRPr="00AD7DDF">
        <w:rPr>
          <w:rFonts w:ascii="Baskerville Old Face" w:hAnsi="Baskerville Old Face" w:cs="Times New Roman"/>
          <w:sz w:val="24"/>
          <w:szCs w:val="24"/>
        </w:rPr>
        <w:t>s</w:t>
      </w:r>
      <w:r w:rsidRPr="00AD7DDF">
        <w:rPr>
          <w:rFonts w:ascii="Baskerville Old Face" w:hAnsi="Baskerville Old Face" w:cs="Times New Roman"/>
          <w:sz w:val="24"/>
          <w:szCs w:val="24"/>
        </w:rPr>
        <w:t>ing</w:t>
      </w:r>
      <w:proofErr w:type="spellEnd"/>
      <w:r w:rsidRPr="00AD7DDF">
        <w:rPr>
          <w:rFonts w:ascii="Baskerville Old Face" w:hAnsi="Baskerville Old Face" w:cs="Times New Roman"/>
          <w:sz w:val="24"/>
          <w:szCs w:val="24"/>
        </w:rPr>
        <w:t xml:space="preserve"> the sectoral distribution of waivers (Table </w:t>
      </w:r>
      <w:r w:rsidR="002F028C" w:rsidRPr="00AD7DDF">
        <w:rPr>
          <w:rFonts w:ascii="Baskerville Old Face" w:hAnsi="Baskerville Old Face" w:cs="Times New Roman"/>
          <w:sz w:val="24"/>
          <w:szCs w:val="24"/>
        </w:rPr>
        <w:t>6</w:t>
      </w:r>
      <w:r w:rsidRPr="00AD7DDF">
        <w:rPr>
          <w:rFonts w:ascii="Baskerville Old Face" w:hAnsi="Baskerville Old Face" w:cs="Times New Roman"/>
          <w:sz w:val="24"/>
          <w:szCs w:val="24"/>
        </w:rPr>
        <w:t xml:space="preserve">), </w:t>
      </w:r>
      <w:r w:rsidR="00C866C2" w:rsidRPr="00AD7DDF">
        <w:rPr>
          <w:rFonts w:ascii="Baskerville Old Face" w:eastAsia="Times New Roman" w:hAnsi="Baskerville Old Face" w:cs="Times New Roman"/>
          <w:sz w:val="24"/>
          <w:szCs w:val="24"/>
        </w:rPr>
        <w:t>it reveals</w:t>
      </w:r>
      <w:r w:rsidR="00C866C2" w:rsidRPr="00EB2631">
        <w:rPr>
          <w:rFonts w:ascii="Baskerville Old Face" w:eastAsia="Times New Roman" w:hAnsi="Baskerville Old Face" w:cs="Times New Roman"/>
          <w:sz w:val="24"/>
          <w:szCs w:val="24"/>
        </w:rPr>
        <w:t xml:space="preserve"> that the Manufacturing and Energy sectors were the largest beneficiaries, receiving Le329.4</w:t>
      </w:r>
      <w:r w:rsidR="002738AA">
        <w:rPr>
          <w:rFonts w:ascii="Baskerville Old Face" w:eastAsia="Times New Roman" w:hAnsi="Baskerville Old Face" w:cs="Times New Roman"/>
          <w:sz w:val="24"/>
          <w:szCs w:val="24"/>
        </w:rPr>
        <w:t>58</w:t>
      </w:r>
      <w:r w:rsidR="00C866C2" w:rsidRPr="00EB2631">
        <w:rPr>
          <w:rFonts w:ascii="Baskerville Old Face" w:eastAsia="Times New Roman" w:hAnsi="Baskerville Old Face" w:cs="Times New Roman"/>
          <w:sz w:val="24"/>
          <w:szCs w:val="24"/>
        </w:rPr>
        <w:t xml:space="preserve"> million and Le326.8</w:t>
      </w:r>
      <w:r w:rsidR="002738AA">
        <w:rPr>
          <w:rFonts w:ascii="Baskerville Old Face" w:eastAsia="Times New Roman" w:hAnsi="Baskerville Old Face" w:cs="Times New Roman"/>
          <w:sz w:val="24"/>
          <w:szCs w:val="24"/>
        </w:rPr>
        <w:t>2</w:t>
      </w:r>
      <w:r w:rsidR="00C866C2" w:rsidRPr="00EB2631">
        <w:rPr>
          <w:rFonts w:ascii="Baskerville Old Face" w:eastAsia="Times New Roman" w:hAnsi="Baskerville Old Face" w:cs="Times New Roman"/>
          <w:sz w:val="24"/>
          <w:szCs w:val="24"/>
        </w:rPr>
        <w:t xml:space="preserve">2 million respectively. These sectors alone accounted for over half of the total waivers granted, with significant year-on-year increases of 39.5% for Manufacturing and 25.3% for Energy, indicating </w:t>
      </w:r>
      <w:r w:rsidR="00C866C2" w:rsidRPr="00AD7DDF">
        <w:rPr>
          <w:rFonts w:ascii="Baskerville Old Face" w:eastAsia="Times New Roman" w:hAnsi="Baskerville Old Face" w:cs="Times New Roman"/>
          <w:sz w:val="24"/>
          <w:szCs w:val="24"/>
        </w:rPr>
        <w:t>increased</w:t>
      </w:r>
      <w:r w:rsidR="00C866C2" w:rsidRPr="00EB2631">
        <w:rPr>
          <w:rFonts w:ascii="Baskerville Old Face" w:eastAsia="Times New Roman" w:hAnsi="Baskerville Old Face" w:cs="Times New Roman"/>
          <w:sz w:val="24"/>
          <w:szCs w:val="24"/>
        </w:rPr>
        <w:t xml:space="preserve"> industrial activity and energy-related investments.</w:t>
      </w:r>
    </w:p>
    <w:p w14:paraId="68A3F316" w14:textId="2140B28C" w:rsidR="00C866C2" w:rsidRPr="00EB2631" w:rsidRDefault="00C866C2" w:rsidP="00AD7DDF">
      <w:pPr>
        <w:spacing w:before="100" w:beforeAutospacing="1" w:after="100" w:afterAutospacing="1" w:line="276" w:lineRule="auto"/>
        <w:jc w:val="both"/>
        <w:rPr>
          <w:rFonts w:ascii="Baskerville Old Face" w:eastAsia="Times New Roman" w:hAnsi="Baskerville Old Face" w:cs="Times New Roman"/>
          <w:sz w:val="24"/>
          <w:szCs w:val="24"/>
        </w:rPr>
      </w:pPr>
      <w:r w:rsidRPr="00EB2631">
        <w:rPr>
          <w:rFonts w:ascii="Baskerville Old Face" w:eastAsia="Times New Roman" w:hAnsi="Baskerville Old Face" w:cs="Times New Roman"/>
          <w:sz w:val="24"/>
          <w:szCs w:val="24"/>
        </w:rPr>
        <w:t>The Health sector also saw a substantial increase of Le45.7</w:t>
      </w:r>
      <w:r w:rsidR="009773E3">
        <w:rPr>
          <w:rFonts w:ascii="Baskerville Old Face" w:eastAsia="Times New Roman" w:hAnsi="Baskerville Old Face" w:cs="Times New Roman"/>
          <w:sz w:val="24"/>
          <w:szCs w:val="24"/>
        </w:rPr>
        <w:t>8</w:t>
      </w:r>
      <w:r w:rsidRPr="00EB2631">
        <w:rPr>
          <w:rFonts w:ascii="Baskerville Old Face" w:eastAsia="Times New Roman" w:hAnsi="Baskerville Old Face" w:cs="Times New Roman"/>
          <w:sz w:val="24"/>
          <w:szCs w:val="24"/>
        </w:rPr>
        <w:t xml:space="preserve">9 million or 31.7%, suggesting continued emphasis on strengthening healthcare delivery. Similarly, the Mineral sector recorded a 120.3% rise </w:t>
      </w:r>
      <w:r w:rsidRPr="00EB2631">
        <w:rPr>
          <w:rFonts w:ascii="Baskerville Old Face" w:eastAsia="Times New Roman" w:hAnsi="Baskerville Old Face" w:cs="Times New Roman"/>
          <w:sz w:val="24"/>
          <w:szCs w:val="24"/>
        </w:rPr>
        <w:lastRenderedPageBreak/>
        <w:t xml:space="preserve">in waivers, underscoring expanded operations </w:t>
      </w:r>
      <w:r w:rsidRPr="00AD7DDF">
        <w:rPr>
          <w:rFonts w:ascii="Baskerville Old Face" w:eastAsia="Times New Roman" w:hAnsi="Baskerville Old Face" w:cs="Times New Roman"/>
          <w:sz w:val="24"/>
          <w:szCs w:val="24"/>
        </w:rPr>
        <w:t>and</w:t>
      </w:r>
      <w:r w:rsidRPr="00EB2631">
        <w:rPr>
          <w:rFonts w:ascii="Baskerville Old Face" w:eastAsia="Times New Roman" w:hAnsi="Baskerville Old Face" w:cs="Times New Roman"/>
          <w:sz w:val="24"/>
          <w:szCs w:val="24"/>
        </w:rPr>
        <w:t xml:space="preserve"> new incentives in mining. Other sectors that saw significant percentage increases include Communication (140.1%), Construction (46.8%), Sports (60.1%), and Tourism (69.7%), pointing to broader sectoral support through fiscal incentives.</w:t>
      </w:r>
    </w:p>
    <w:p w14:paraId="74B18987" w14:textId="4ABEFB41" w:rsidR="00C866C2" w:rsidRPr="00EB2631" w:rsidRDefault="00C866C2" w:rsidP="00AD7DDF">
      <w:pPr>
        <w:spacing w:before="100" w:beforeAutospacing="1" w:after="100" w:afterAutospacing="1" w:line="276" w:lineRule="auto"/>
        <w:jc w:val="both"/>
        <w:rPr>
          <w:rFonts w:ascii="Baskerville Old Face" w:eastAsia="Times New Roman" w:hAnsi="Baskerville Old Face" w:cs="Times New Roman"/>
          <w:sz w:val="24"/>
          <w:szCs w:val="24"/>
        </w:rPr>
      </w:pPr>
      <w:r w:rsidRPr="00EB2631">
        <w:rPr>
          <w:rFonts w:ascii="Baskerville Old Face" w:eastAsia="Times New Roman" w:hAnsi="Baskerville Old Face" w:cs="Times New Roman"/>
          <w:sz w:val="24"/>
          <w:szCs w:val="24"/>
        </w:rPr>
        <w:t xml:space="preserve">Conversely, some sectors experienced declines. </w:t>
      </w:r>
      <w:r w:rsidRPr="00AD7DDF">
        <w:rPr>
          <w:rFonts w:ascii="Baskerville Old Face" w:eastAsia="Times New Roman" w:hAnsi="Baskerville Old Face" w:cs="Times New Roman"/>
          <w:sz w:val="24"/>
          <w:szCs w:val="24"/>
        </w:rPr>
        <w:t>Trade</w:t>
      </w:r>
      <w:r w:rsidRPr="00EB2631">
        <w:rPr>
          <w:rFonts w:ascii="Baskerville Old Face" w:eastAsia="Times New Roman" w:hAnsi="Baskerville Old Face" w:cs="Times New Roman"/>
          <w:sz w:val="24"/>
          <w:szCs w:val="24"/>
        </w:rPr>
        <w:t xml:space="preserve">, </w:t>
      </w:r>
      <w:r w:rsidRPr="00AD7DDF">
        <w:rPr>
          <w:rFonts w:ascii="Baskerville Old Face" w:eastAsia="Times New Roman" w:hAnsi="Baskerville Old Face" w:cs="Times New Roman"/>
          <w:sz w:val="24"/>
          <w:szCs w:val="24"/>
        </w:rPr>
        <w:t xml:space="preserve">Transport, Water Resources, Fishery, Oil, and </w:t>
      </w:r>
      <w:r w:rsidRPr="00EB2631">
        <w:rPr>
          <w:rFonts w:ascii="Baskerville Old Face" w:eastAsia="Times New Roman" w:hAnsi="Baskerville Old Face" w:cs="Times New Roman"/>
          <w:sz w:val="24"/>
          <w:szCs w:val="24"/>
        </w:rPr>
        <w:t>Financial</w:t>
      </w:r>
      <w:r w:rsidRPr="00AD7DDF">
        <w:rPr>
          <w:rFonts w:ascii="Baskerville Old Face" w:eastAsia="Times New Roman" w:hAnsi="Baskerville Old Face" w:cs="Times New Roman"/>
          <w:sz w:val="24"/>
          <w:szCs w:val="24"/>
        </w:rPr>
        <w:t xml:space="preserve"> </w:t>
      </w:r>
      <w:r w:rsidRPr="00EB2631">
        <w:rPr>
          <w:rFonts w:ascii="Baskerville Old Face" w:eastAsia="Times New Roman" w:hAnsi="Baskerville Old Face" w:cs="Times New Roman"/>
          <w:sz w:val="24"/>
          <w:szCs w:val="24"/>
        </w:rPr>
        <w:t xml:space="preserve">sectors all recorded significant reductions in waivers, with </w:t>
      </w:r>
      <w:r w:rsidR="009773E3">
        <w:rPr>
          <w:rFonts w:ascii="Baskerville Old Face" w:eastAsia="Times New Roman" w:hAnsi="Baskerville Old Face" w:cs="Times New Roman"/>
          <w:sz w:val="24"/>
          <w:szCs w:val="24"/>
        </w:rPr>
        <w:t>few</w:t>
      </w:r>
      <w:r w:rsidRPr="00EB2631">
        <w:rPr>
          <w:rFonts w:ascii="Baskerville Old Face" w:eastAsia="Times New Roman" w:hAnsi="Baskerville Old Face" w:cs="Times New Roman"/>
          <w:sz w:val="24"/>
          <w:szCs w:val="24"/>
        </w:rPr>
        <w:t xml:space="preserve"> </w:t>
      </w:r>
      <w:r w:rsidRPr="00AD7DDF">
        <w:rPr>
          <w:rFonts w:ascii="Baskerville Old Face" w:eastAsia="Times New Roman" w:hAnsi="Baskerville Old Face" w:cs="Times New Roman"/>
          <w:sz w:val="24"/>
          <w:szCs w:val="24"/>
        </w:rPr>
        <w:t>recording no exemptions</w:t>
      </w:r>
      <w:r w:rsidRPr="00EB2631">
        <w:rPr>
          <w:rFonts w:ascii="Baskerville Old Face" w:eastAsia="Times New Roman" w:hAnsi="Baskerville Old Face" w:cs="Times New Roman"/>
          <w:sz w:val="24"/>
          <w:szCs w:val="24"/>
        </w:rPr>
        <w:t xml:space="preserve">. </w:t>
      </w:r>
    </w:p>
    <w:p w14:paraId="5555C8D0" w14:textId="0C3B46C0" w:rsidR="00326812" w:rsidRPr="0068040E" w:rsidRDefault="00326812" w:rsidP="00326812">
      <w:pPr>
        <w:pStyle w:val="Caption"/>
        <w:keepNext/>
        <w:rPr>
          <w:rFonts w:ascii="Baskerville Old Face" w:hAnsi="Baskerville Old Face"/>
          <w:b/>
          <w:bCs/>
          <w:sz w:val="24"/>
          <w:szCs w:val="24"/>
        </w:rPr>
      </w:pPr>
      <w:bookmarkStart w:id="39" w:name="_Toc198044024"/>
      <w:r w:rsidRPr="0068040E">
        <w:rPr>
          <w:rFonts w:ascii="Baskerville Old Face" w:hAnsi="Baskerville Old Face"/>
          <w:b/>
          <w:bCs/>
          <w:sz w:val="24"/>
          <w:szCs w:val="24"/>
        </w:rPr>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0071721B" w:rsidRPr="0068040E">
        <w:rPr>
          <w:rFonts w:ascii="Baskerville Old Face" w:hAnsi="Baskerville Old Face"/>
          <w:b/>
          <w:bCs/>
          <w:noProof/>
          <w:sz w:val="24"/>
          <w:szCs w:val="24"/>
        </w:rPr>
        <w:t>6</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Duty Waiver for 2024 and 2023 by Sector Analysis in (</w:t>
      </w:r>
      <w:proofErr w:type="spellStart"/>
      <w:r w:rsidRPr="0068040E">
        <w:rPr>
          <w:rFonts w:ascii="Baskerville Old Face" w:hAnsi="Baskerville Old Face"/>
          <w:b/>
          <w:bCs/>
          <w:sz w:val="24"/>
          <w:szCs w:val="24"/>
        </w:rPr>
        <w:t>NLe</w:t>
      </w:r>
      <w:proofErr w:type="spellEnd"/>
      <w:r w:rsidRPr="0068040E">
        <w:rPr>
          <w:rFonts w:ascii="Baskerville Old Face" w:hAnsi="Baskerville Old Face"/>
          <w:b/>
          <w:bCs/>
          <w:sz w:val="24"/>
          <w:szCs w:val="24"/>
        </w:rPr>
        <w:t xml:space="preserve"> Million)</w:t>
      </w:r>
      <w:bookmarkEnd w:id="39"/>
    </w:p>
    <w:tbl>
      <w:tblPr>
        <w:tblStyle w:val="GridTable4-Accent3"/>
        <w:tblW w:w="9355" w:type="dxa"/>
        <w:tblLook w:val="04A0" w:firstRow="1" w:lastRow="0" w:firstColumn="1" w:lastColumn="0" w:noHBand="0" w:noVBand="1"/>
      </w:tblPr>
      <w:tblGrid>
        <w:gridCol w:w="2700"/>
        <w:gridCol w:w="1420"/>
        <w:gridCol w:w="1635"/>
        <w:gridCol w:w="1890"/>
        <w:gridCol w:w="1710"/>
      </w:tblGrid>
      <w:tr w:rsidR="00AD7DDF" w:rsidRPr="00AD7DDF" w14:paraId="138BE5EE" w14:textId="77777777" w:rsidTr="00AD7DDF">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210FB04E" w14:textId="77777777" w:rsidR="00AD7DDF" w:rsidRPr="00AD7DDF" w:rsidRDefault="00AD7DDF">
            <w:pPr>
              <w:rPr>
                <w:rFonts w:ascii="Baskerville Old Face" w:hAnsi="Baskerville Old Face" w:cs="Times New Roman"/>
                <w:color w:val="auto"/>
              </w:rPr>
            </w:pPr>
            <w:r w:rsidRPr="00AD7DDF">
              <w:rPr>
                <w:rFonts w:ascii="Baskerville Old Face" w:hAnsi="Baskerville Old Face" w:cs="Times New Roman"/>
                <w:color w:val="auto"/>
              </w:rPr>
              <w:t xml:space="preserve">Sector </w:t>
            </w:r>
          </w:p>
        </w:tc>
        <w:tc>
          <w:tcPr>
            <w:tcW w:w="1420" w:type="dxa"/>
            <w:noWrap/>
            <w:hideMark/>
          </w:tcPr>
          <w:p w14:paraId="71EB565B" w14:textId="77777777" w:rsidR="00AD7DDF" w:rsidRPr="00AD7DDF" w:rsidRDefault="00AD7DDF" w:rsidP="00AD7DDF">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D7DDF">
              <w:rPr>
                <w:rFonts w:ascii="Baskerville Old Face" w:hAnsi="Baskerville Old Face" w:cs="Times New Roman"/>
                <w:color w:val="auto"/>
              </w:rPr>
              <w:t>2024</w:t>
            </w:r>
          </w:p>
        </w:tc>
        <w:tc>
          <w:tcPr>
            <w:tcW w:w="1635" w:type="dxa"/>
            <w:noWrap/>
            <w:hideMark/>
          </w:tcPr>
          <w:p w14:paraId="6C5CDFD6" w14:textId="77777777" w:rsidR="00AD7DDF" w:rsidRPr="00AD7DDF" w:rsidRDefault="00AD7DDF" w:rsidP="00AD7DDF">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D7DDF">
              <w:rPr>
                <w:rFonts w:ascii="Baskerville Old Face" w:hAnsi="Baskerville Old Face" w:cs="Times New Roman"/>
                <w:color w:val="auto"/>
              </w:rPr>
              <w:t>2023</w:t>
            </w:r>
          </w:p>
        </w:tc>
        <w:tc>
          <w:tcPr>
            <w:tcW w:w="1890" w:type="dxa"/>
            <w:noWrap/>
            <w:hideMark/>
          </w:tcPr>
          <w:p w14:paraId="4203FB78" w14:textId="77777777" w:rsidR="00AD7DDF" w:rsidRPr="00AD7DDF" w:rsidRDefault="00AD7DDF">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D7DDF">
              <w:rPr>
                <w:rFonts w:ascii="Baskerville Old Face" w:hAnsi="Baskerville Old Face" w:cs="Times New Roman"/>
                <w:color w:val="auto"/>
              </w:rPr>
              <w:t xml:space="preserve"> VARIANCE </w:t>
            </w:r>
          </w:p>
        </w:tc>
        <w:tc>
          <w:tcPr>
            <w:tcW w:w="1710" w:type="dxa"/>
            <w:noWrap/>
            <w:hideMark/>
          </w:tcPr>
          <w:p w14:paraId="2DD305A2" w14:textId="77777777" w:rsidR="00AD7DDF" w:rsidRPr="00AD7DDF" w:rsidRDefault="00AD7DDF">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D7DDF">
              <w:rPr>
                <w:rFonts w:ascii="Baskerville Old Face" w:hAnsi="Baskerville Old Face" w:cs="Times New Roman"/>
                <w:color w:val="auto"/>
              </w:rPr>
              <w:t xml:space="preserve"> % VARIANCE </w:t>
            </w:r>
          </w:p>
        </w:tc>
      </w:tr>
      <w:tr w:rsidR="00AD7DDF" w:rsidRPr="00AD7DDF" w14:paraId="6A189A5B"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9009946"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Agricultural </w:t>
            </w:r>
          </w:p>
        </w:tc>
        <w:tc>
          <w:tcPr>
            <w:tcW w:w="1420" w:type="dxa"/>
            <w:noWrap/>
            <w:hideMark/>
          </w:tcPr>
          <w:p w14:paraId="27050D04"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83,768 </w:t>
            </w:r>
          </w:p>
        </w:tc>
        <w:tc>
          <w:tcPr>
            <w:tcW w:w="1635" w:type="dxa"/>
            <w:noWrap/>
            <w:hideMark/>
          </w:tcPr>
          <w:p w14:paraId="07D10C3A"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83,586 </w:t>
            </w:r>
          </w:p>
        </w:tc>
        <w:tc>
          <w:tcPr>
            <w:tcW w:w="1890" w:type="dxa"/>
            <w:noWrap/>
            <w:hideMark/>
          </w:tcPr>
          <w:p w14:paraId="79CEC244"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182 </w:t>
            </w:r>
          </w:p>
        </w:tc>
        <w:tc>
          <w:tcPr>
            <w:tcW w:w="1710" w:type="dxa"/>
            <w:noWrap/>
            <w:hideMark/>
          </w:tcPr>
          <w:p w14:paraId="0BFFA98F"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0.2%</w:t>
            </w:r>
          </w:p>
        </w:tc>
      </w:tr>
      <w:tr w:rsidR="00AD7DDF" w:rsidRPr="00AD7DDF" w14:paraId="0BA161FB"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CE672DE"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Central Bank </w:t>
            </w:r>
          </w:p>
        </w:tc>
        <w:tc>
          <w:tcPr>
            <w:tcW w:w="1420" w:type="dxa"/>
            <w:noWrap/>
            <w:hideMark/>
          </w:tcPr>
          <w:p w14:paraId="3FD1985F"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166 </w:t>
            </w:r>
          </w:p>
        </w:tc>
        <w:tc>
          <w:tcPr>
            <w:tcW w:w="1635" w:type="dxa"/>
            <w:noWrap/>
            <w:hideMark/>
          </w:tcPr>
          <w:p w14:paraId="66CF59AA"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   </w:t>
            </w:r>
          </w:p>
        </w:tc>
        <w:tc>
          <w:tcPr>
            <w:tcW w:w="1890" w:type="dxa"/>
            <w:noWrap/>
            <w:hideMark/>
          </w:tcPr>
          <w:p w14:paraId="3BAFB0D7"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166 </w:t>
            </w:r>
          </w:p>
        </w:tc>
        <w:tc>
          <w:tcPr>
            <w:tcW w:w="1710" w:type="dxa"/>
            <w:noWrap/>
            <w:hideMark/>
          </w:tcPr>
          <w:p w14:paraId="5E1FF907"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w:t>
            </w:r>
          </w:p>
        </w:tc>
      </w:tr>
      <w:tr w:rsidR="00AD7DDF" w:rsidRPr="00AD7DDF" w14:paraId="49E0A268"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93884E4"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Civil Registration </w:t>
            </w:r>
          </w:p>
        </w:tc>
        <w:tc>
          <w:tcPr>
            <w:tcW w:w="1420" w:type="dxa"/>
            <w:noWrap/>
            <w:hideMark/>
          </w:tcPr>
          <w:p w14:paraId="184F0D33"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   </w:t>
            </w:r>
          </w:p>
        </w:tc>
        <w:tc>
          <w:tcPr>
            <w:tcW w:w="1635" w:type="dxa"/>
            <w:noWrap/>
            <w:hideMark/>
          </w:tcPr>
          <w:p w14:paraId="2BBA265C"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13,606 </w:t>
            </w:r>
          </w:p>
        </w:tc>
        <w:tc>
          <w:tcPr>
            <w:tcW w:w="1890" w:type="dxa"/>
            <w:noWrap/>
            <w:hideMark/>
          </w:tcPr>
          <w:p w14:paraId="1F5E602E"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(13,606)</w:t>
            </w:r>
          </w:p>
        </w:tc>
        <w:tc>
          <w:tcPr>
            <w:tcW w:w="1710" w:type="dxa"/>
            <w:noWrap/>
            <w:hideMark/>
          </w:tcPr>
          <w:p w14:paraId="029C8681"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-100.0%</w:t>
            </w:r>
          </w:p>
        </w:tc>
      </w:tr>
      <w:tr w:rsidR="00AD7DDF" w:rsidRPr="00AD7DDF" w14:paraId="157123F1"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9C35BAE"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Communication </w:t>
            </w:r>
          </w:p>
        </w:tc>
        <w:tc>
          <w:tcPr>
            <w:tcW w:w="1420" w:type="dxa"/>
            <w:noWrap/>
            <w:hideMark/>
          </w:tcPr>
          <w:p w14:paraId="66A10244"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11,999 </w:t>
            </w:r>
          </w:p>
        </w:tc>
        <w:tc>
          <w:tcPr>
            <w:tcW w:w="1635" w:type="dxa"/>
            <w:noWrap/>
            <w:hideMark/>
          </w:tcPr>
          <w:p w14:paraId="49E0E5A9"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4,998 </w:t>
            </w:r>
          </w:p>
        </w:tc>
        <w:tc>
          <w:tcPr>
            <w:tcW w:w="1890" w:type="dxa"/>
            <w:noWrap/>
            <w:hideMark/>
          </w:tcPr>
          <w:p w14:paraId="53D7610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7,001 </w:t>
            </w:r>
          </w:p>
        </w:tc>
        <w:tc>
          <w:tcPr>
            <w:tcW w:w="1710" w:type="dxa"/>
            <w:noWrap/>
            <w:hideMark/>
          </w:tcPr>
          <w:p w14:paraId="08B150B0"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140.1%</w:t>
            </w:r>
          </w:p>
        </w:tc>
      </w:tr>
      <w:tr w:rsidR="00AD7DDF" w:rsidRPr="00AD7DDF" w14:paraId="6C48DEAD"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307C8A47"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Construction </w:t>
            </w:r>
          </w:p>
        </w:tc>
        <w:tc>
          <w:tcPr>
            <w:tcW w:w="1420" w:type="dxa"/>
            <w:noWrap/>
            <w:hideMark/>
          </w:tcPr>
          <w:p w14:paraId="34D18256"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52,940 </w:t>
            </w:r>
          </w:p>
        </w:tc>
        <w:tc>
          <w:tcPr>
            <w:tcW w:w="1635" w:type="dxa"/>
            <w:noWrap/>
            <w:hideMark/>
          </w:tcPr>
          <w:p w14:paraId="6481EE17"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36,064 </w:t>
            </w:r>
          </w:p>
        </w:tc>
        <w:tc>
          <w:tcPr>
            <w:tcW w:w="1890" w:type="dxa"/>
            <w:noWrap/>
            <w:hideMark/>
          </w:tcPr>
          <w:p w14:paraId="6797C1D1"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16,876 </w:t>
            </w:r>
          </w:p>
        </w:tc>
        <w:tc>
          <w:tcPr>
            <w:tcW w:w="1710" w:type="dxa"/>
            <w:noWrap/>
            <w:hideMark/>
          </w:tcPr>
          <w:p w14:paraId="43F36A7C"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46.8%</w:t>
            </w:r>
          </w:p>
        </w:tc>
      </w:tr>
      <w:tr w:rsidR="00AD7DDF" w:rsidRPr="00AD7DDF" w14:paraId="3E8B501F"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2938590"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Diplomatic </w:t>
            </w:r>
          </w:p>
        </w:tc>
        <w:tc>
          <w:tcPr>
            <w:tcW w:w="1420" w:type="dxa"/>
            <w:noWrap/>
            <w:hideMark/>
          </w:tcPr>
          <w:p w14:paraId="3077C2C0"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43,176 </w:t>
            </w:r>
          </w:p>
        </w:tc>
        <w:tc>
          <w:tcPr>
            <w:tcW w:w="1635" w:type="dxa"/>
            <w:noWrap/>
            <w:hideMark/>
          </w:tcPr>
          <w:p w14:paraId="7D7706A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36,665 </w:t>
            </w:r>
          </w:p>
        </w:tc>
        <w:tc>
          <w:tcPr>
            <w:tcW w:w="1890" w:type="dxa"/>
            <w:noWrap/>
            <w:hideMark/>
          </w:tcPr>
          <w:p w14:paraId="5A46483F"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6,510 </w:t>
            </w:r>
          </w:p>
        </w:tc>
        <w:tc>
          <w:tcPr>
            <w:tcW w:w="1710" w:type="dxa"/>
            <w:noWrap/>
            <w:hideMark/>
          </w:tcPr>
          <w:p w14:paraId="554E792B"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17.8%</w:t>
            </w:r>
          </w:p>
        </w:tc>
      </w:tr>
      <w:tr w:rsidR="00AD7DDF" w:rsidRPr="00AD7DDF" w14:paraId="0C439262"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018D8584"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Education </w:t>
            </w:r>
          </w:p>
        </w:tc>
        <w:tc>
          <w:tcPr>
            <w:tcW w:w="1420" w:type="dxa"/>
            <w:noWrap/>
            <w:hideMark/>
          </w:tcPr>
          <w:p w14:paraId="2D47BAAC"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5,875 </w:t>
            </w:r>
          </w:p>
        </w:tc>
        <w:tc>
          <w:tcPr>
            <w:tcW w:w="1635" w:type="dxa"/>
            <w:noWrap/>
            <w:hideMark/>
          </w:tcPr>
          <w:p w14:paraId="33D12849"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4,228 </w:t>
            </w:r>
          </w:p>
        </w:tc>
        <w:tc>
          <w:tcPr>
            <w:tcW w:w="1890" w:type="dxa"/>
            <w:noWrap/>
            <w:hideMark/>
          </w:tcPr>
          <w:p w14:paraId="7A0348A7"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1,647 </w:t>
            </w:r>
          </w:p>
        </w:tc>
        <w:tc>
          <w:tcPr>
            <w:tcW w:w="1710" w:type="dxa"/>
            <w:noWrap/>
            <w:hideMark/>
          </w:tcPr>
          <w:p w14:paraId="6B0725D7"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39.0%</w:t>
            </w:r>
          </w:p>
        </w:tc>
      </w:tr>
      <w:tr w:rsidR="00AD7DDF" w:rsidRPr="00AD7DDF" w14:paraId="59E8BE7E"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17537506"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Energy </w:t>
            </w:r>
          </w:p>
        </w:tc>
        <w:tc>
          <w:tcPr>
            <w:tcW w:w="1420" w:type="dxa"/>
            <w:noWrap/>
            <w:hideMark/>
          </w:tcPr>
          <w:p w14:paraId="77BD1C3A"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326,822 </w:t>
            </w:r>
          </w:p>
        </w:tc>
        <w:tc>
          <w:tcPr>
            <w:tcW w:w="1635" w:type="dxa"/>
            <w:noWrap/>
            <w:hideMark/>
          </w:tcPr>
          <w:p w14:paraId="2CF0CDFD"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260,754 </w:t>
            </w:r>
          </w:p>
        </w:tc>
        <w:tc>
          <w:tcPr>
            <w:tcW w:w="1890" w:type="dxa"/>
            <w:noWrap/>
            <w:hideMark/>
          </w:tcPr>
          <w:p w14:paraId="2D1B328F"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66,068 </w:t>
            </w:r>
          </w:p>
        </w:tc>
        <w:tc>
          <w:tcPr>
            <w:tcW w:w="1710" w:type="dxa"/>
            <w:noWrap/>
            <w:hideMark/>
          </w:tcPr>
          <w:p w14:paraId="076F7504"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25.3%</w:t>
            </w:r>
          </w:p>
        </w:tc>
      </w:tr>
      <w:tr w:rsidR="00AD7DDF" w:rsidRPr="00AD7DDF" w14:paraId="34D3E4AC"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50E0CFC6"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Environment </w:t>
            </w:r>
          </w:p>
        </w:tc>
        <w:tc>
          <w:tcPr>
            <w:tcW w:w="1420" w:type="dxa"/>
            <w:noWrap/>
            <w:hideMark/>
          </w:tcPr>
          <w:p w14:paraId="5B8FBD43"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608 </w:t>
            </w:r>
          </w:p>
        </w:tc>
        <w:tc>
          <w:tcPr>
            <w:tcW w:w="1635" w:type="dxa"/>
            <w:noWrap/>
            <w:hideMark/>
          </w:tcPr>
          <w:p w14:paraId="345CA77B"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282 </w:t>
            </w:r>
          </w:p>
        </w:tc>
        <w:tc>
          <w:tcPr>
            <w:tcW w:w="1890" w:type="dxa"/>
            <w:noWrap/>
            <w:hideMark/>
          </w:tcPr>
          <w:p w14:paraId="6191E1FD"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326 </w:t>
            </w:r>
          </w:p>
        </w:tc>
        <w:tc>
          <w:tcPr>
            <w:tcW w:w="1710" w:type="dxa"/>
            <w:noWrap/>
            <w:hideMark/>
          </w:tcPr>
          <w:p w14:paraId="34978B9D"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115.6%</w:t>
            </w:r>
          </w:p>
        </w:tc>
      </w:tr>
      <w:tr w:rsidR="00AD7DDF" w:rsidRPr="00AD7DDF" w14:paraId="0EF9EF02"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3FF85DC5"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Financial </w:t>
            </w:r>
          </w:p>
        </w:tc>
        <w:tc>
          <w:tcPr>
            <w:tcW w:w="1420" w:type="dxa"/>
            <w:noWrap/>
            <w:hideMark/>
          </w:tcPr>
          <w:p w14:paraId="36322CC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   </w:t>
            </w:r>
          </w:p>
        </w:tc>
        <w:tc>
          <w:tcPr>
            <w:tcW w:w="1635" w:type="dxa"/>
            <w:noWrap/>
            <w:hideMark/>
          </w:tcPr>
          <w:p w14:paraId="3DEBA7F4"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237 </w:t>
            </w:r>
          </w:p>
        </w:tc>
        <w:tc>
          <w:tcPr>
            <w:tcW w:w="1890" w:type="dxa"/>
            <w:noWrap/>
            <w:hideMark/>
          </w:tcPr>
          <w:p w14:paraId="14970C3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(237)</w:t>
            </w:r>
          </w:p>
        </w:tc>
        <w:tc>
          <w:tcPr>
            <w:tcW w:w="1710" w:type="dxa"/>
            <w:noWrap/>
            <w:hideMark/>
          </w:tcPr>
          <w:p w14:paraId="01BB7165"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-100.0%</w:t>
            </w:r>
          </w:p>
        </w:tc>
      </w:tr>
      <w:tr w:rsidR="00AD7DDF" w:rsidRPr="00AD7DDF" w14:paraId="4C1B7005"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2552E5DD"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Fishery </w:t>
            </w:r>
          </w:p>
        </w:tc>
        <w:tc>
          <w:tcPr>
            <w:tcW w:w="1420" w:type="dxa"/>
            <w:noWrap/>
            <w:hideMark/>
          </w:tcPr>
          <w:p w14:paraId="78491A5C"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161 </w:t>
            </w:r>
          </w:p>
        </w:tc>
        <w:tc>
          <w:tcPr>
            <w:tcW w:w="1635" w:type="dxa"/>
            <w:noWrap/>
            <w:hideMark/>
          </w:tcPr>
          <w:p w14:paraId="27853BC7"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1,048 </w:t>
            </w:r>
          </w:p>
        </w:tc>
        <w:tc>
          <w:tcPr>
            <w:tcW w:w="1890" w:type="dxa"/>
            <w:noWrap/>
            <w:hideMark/>
          </w:tcPr>
          <w:p w14:paraId="3D52FA9D"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(886)</w:t>
            </w:r>
          </w:p>
        </w:tc>
        <w:tc>
          <w:tcPr>
            <w:tcW w:w="1710" w:type="dxa"/>
            <w:noWrap/>
            <w:hideMark/>
          </w:tcPr>
          <w:p w14:paraId="33653127"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-84.5%</w:t>
            </w:r>
          </w:p>
        </w:tc>
      </w:tr>
      <w:tr w:rsidR="00AD7DDF" w:rsidRPr="00AD7DDF" w14:paraId="5D87FC03"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53A55B43"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Health </w:t>
            </w:r>
          </w:p>
        </w:tc>
        <w:tc>
          <w:tcPr>
            <w:tcW w:w="1420" w:type="dxa"/>
            <w:noWrap/>
            <w:hideMark/>
          </w:tcPr>
          <w:p w14:paraId="09AB055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190,094 </w:t>
            </w:r>
          </w:p>
        </w:tc>
        <w:tc>
          <w:tcPr>
            <w:tcW w:w="1635" w:type="dxa"/>
            <w:noWrap/>
            <w:hideMark/>
          </w:tcPr>
          <w:p w14:paraId="00F79E17"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144,305 </w:t>
            </w:r>
          </w:p>
        </w:tc>
        <w:tc>
          <w:tcPr>
            <w:tcW w:w="1890" w:type="dxa"/>
            <w:noWrap/>
            <w:hideMark/>
          </w:tcPr>
          <w:p w14:paraId="36788B88"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45,789 </w:t>
            </w:r>
          </w:p>
        </w:tc>
        <w:tc>
          <w:tcPr>
            <w:tcW w:w="1710" w:type="dxa"/>
            <w:noWrap/>
            <w:hideMark/>
          </w:tcPr>
          <w:p w14:paraId="498DBC92"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31.7%</w:t>
            </w:r>
          </w:p>
        </w:tc>
      </w:tr>
      <w:tr w:rsidR="00AD7DDF" w:rsidRPr="00AD7DDF" w14:paraId="7BD6ADD2"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4DBEA2A"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Internal Affairs </w:t>
            </w:r>
          </w:p>
        </w:tc>
        <w:tc>
          <w:tcPr>
            <w:tcW w:w="1420" w:type="dxa"/>
            <w:noWrap/>
            <w:hideMark/>
          </w:tcPr>
          <w:p w14:paraId="43B31663"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1,927 </w:t>
            </w:r>
          </w:p>
        </w:tc>
        <w:tc>
          <w:tcPr>
            <w:tcW w:w="1635" w:type="dxa"/>
            <w:noWrap/>
            <w:hideMark/>
          </w:tcPr>
          <w:p w14:paraId="486EB898"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102 </w:t>
            </w:r>
          </w:p>
        </w:tc>
        <w:tc>
          <w:tcPr>
            <w:tcW w:w="1890" w:type="dxa"/>
            <w:noWrap/>
            <w:hideMark/>
          </w:tcPr>
          <w:p w14:paraId="5AAC76E2"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1,825 </w:t>
            </w:r>
          </w:p>
        </w:tc>
        <w:tc>
          <w:tcPr>
            <w:tcW w:w="1710" w:type="dxa"/>
            <w:noWrap/>
            <w:hideMark/>
          </w:tcPr>
          <w:p w14:paraId="2559A9E0"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1789.2%</w:t>
            </w:r>
          </w:p>
        </w:tc>
      </w:tr>
      <w:tr w:rsidR="00AD7DDF" w:rsidRPr="00AD7DDF" w14:paraId="2945AE5F"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5D73B03"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Manufacturing </w:t>
            </w:r>
          </w:p>
        </w:tc>
        <w:tc>
          <w:tcPr>
            <w:tcW w:w="1420" w:type="dxa"/>
            <w:noWrap/>
            <w:hideMark/>
          </w:tcPr>
          <w:p w14:paraId="5CFFC75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329,458 </w:t>
            </w:r>
          </w:p>
        </w:tc>
        <w:tc>
          <w:tcPr>
            <w:tcW w:w="1635" w:type="dxa"/>
            <w:noWrap/>
            <w:hideMark/>
          </w:tcPr>
          <w:p w14:paraId="5B8E578C"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236,113 </w:t>
            </w:r>
          </w:p>
        </w:tc>
        <w:tc>
          <w:tcPr>
            <w:tcW w:w="1890" w:type="dxa"/>
            <w:noWrap/>
            <w:hideMark/>
          </w:tcPr>
          <w:p w14:paraId="7EC18FFD"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93,345 </w:t>
            </w:r>
          </w:p>
        </w:tc>
        <w:tc>
          <w:tcPr>
            <w:tcW w:w="1710" w:type="dxa"/>
            <w:noWrap/>
            <w:hideMark/>
          </w:tcPr>
          <w:p w14:paraId="62BDDFF5"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39.5%</w:t>
            </w:r>
          </w:p>
        </w:tc>
      </w:tr>
      <w:tr w:rsidR="00AD7DDF" w:rsidRPr="00AD7DDF" w14:paraId="60F3FF38"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13F295B"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Mineral </w:t>
            </w:r>
          </w:p>
        </w:tc>
        <w:tc>
          <w:tcPr>
            <w:tcW w:w="1420" w:type="dxa"/>
            <w:noWrap/>
            <w:hideMark/>
          </w:tcPr>
          <w:p w14:paraId="1F2286C4"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46,211 </w:t>
            </w:r>
          </w:p>
        </w:tc>
        <w:tc>
          <w:tcPr>
            <w:tcW w:w="1635" w:type="dxa"/>
            <w:noWrap/>
            <w:hideMark/>
          </w:tcPr>
          <w:p w14:paraId="0A98C6AD"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20,973 </w:t>
            </w:r>
          </w:p>
        </w:tc>
        <w:tc>
          <w:tcPr>
            <w:tcW w:w="1890" w:type="dxa"/>
            <w:noWrap/>
            <w:hideMark/>
          </w:tcPr>
          <w:p w14:paraId="220A9A8A"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25,238 </w:t>
            </w:r>
          </w:p>
        </w:tc>
        <w:tc>
          <w:tcPr>
            <w:tcW w:w="1710" w:type="dxa"/>
            <w:noWrap/>
            <w:hideMark/>
          </w:tcPr>
          <w:p w14:paraId="0BD762BF"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120.3%</w:t>
            </w:r>
          </w:p>
        </w:tc>
      </w:tr>
      <w:tr w:rsidR="00AD7DDF" w:rsidRPr="00AD7DDF" w14:paraId="49C59FAB"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0B92EC47"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Minister </w:t>
            </w:r>
          </w:p>
        </w:tc>
        <w:tc>
          <w:tcPr>
            <w:tcW w:w="1420" w:type="dxa"/>
            <w:noWrap/>
            <w:hideMark/>
          </w:tcPr>
          <w:p w14:paraId="1E7F069C"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365 </w:t>
            </w:r>
          </w:p>
        </w:tc>
        <w:tc>
          <w:tcPr>
            <w:tcW w:w="1635" w:type="dxa"/>
            <w:noWrap/>
            <w:hideMark/>
          </w:tcPr>
          <w:p w14:paraId="0A2D4599"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171 </w:t>
            </w:r>
          </w:p>
        </w:tc>
        <w:tc>
          <w:tcPr>
            <w:tcW w:w="1890" w:type="dxa"/>
            <w:noWrap/>
            <w:hideMark/>
          </w:tcPr>
          <w:p w14:paraId="05D3B788"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194 </w:t>
            </w:r>
          </w:p>
        </w:tc>
        <w:tc>
          <w:tcPr>
            <w:tcW w:w="1710" w:type="dxa"/>
            <w:noWrap/>
            <w:hideMark/>
          </w:tcPr>
          <w:p w14:paraId="263491AF"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113.5%</w:t>
            </w:r>
          </w:p>
        </w:tc>
      </w:tr>
      <w:tr w:rsidR="00AD7DDF" w:rsidRPr="00AD7DDF" w14:paraId="611EEF19"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3D8B4CB2"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Office Of the President </w:t>
            </w:r>
          </w:p>
        </w:tc>
        <w:tc>
          <w:tcPr>
            <w:tcW w:w="1420" w:type="dxa"/>
            <w:noWrap/>
            <w:hideMark/>
          </w:tcPr>
          <w:p w14:paraId="240A1FE2"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8,942 </w:t>
            </w:r>
          </w:p>
        </w:tc>
        <w:tc>
          <w:tcPr>
            <w:tcW w:w="1635" w:type="dxa"/>
            <w:noWrap/>
            <w:hideMark/>
          </w:tcPr>
          <w:p w14:paraId="3375E510"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18,582 </w:t>
            </w:r>
          </w:p>
        </w:tc>
        <w:tc>
          <w:tcPr>
            <w:tcW w:w="1890" w:type="dxa"/>
            <w:noWrap/>
            <w:hideMark/>
          </w:tcPr>
          <w:p w14:paraId="4CE166FC"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(9,640)</w:t>
            </w:r>
          </w:p>
        </w:tc>
        <w:tc>
          <w:tcPr>
            <w:tcW w:w="1710" w:type="dxa"/>
            <w:noWrap/>
            <w:hideMark/>
          </w:tcPr>
          <w:p w14:paraId="7E38B905"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-51.9%</w:t>
            </w:r>
          </w:p>
        </w:tc>
      </w:tr>
      <w:tr w:rsidR="00AD7DDF" w:rsidRPr="00AD7DDF" w14:paraId="21B75A04"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AC77CB4"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Oil </w:t>
            </w:r>
          </w:p>
        </w:tc>
        <w:tc>
          <w:tcPr>
            <w:tcW w:w="1420" w:type="dxa"/>
            <w:noWrap/>
            <w:hideMark/>
          </w:tcPr>
          <w:p w14:paraId="5207F170"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479 </w:t>
            </w:r>
          </w:p>
        </w:tc>
        <w:tc>
          <w:tcPr>
            <w:tcW w:w="1635" w:type="dxa"/>
            <w:noWrap/>
            <w:hideMark/>
          </w:tcPr>
          <w:p w14:paraId="15C62CD5"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13,624 </w:t>
            </w:r>
          </w:p>
        </w:tc>
        <w:tc>
          <w:tcPr>
            <w:tcW w:w="1890" w:type="dxa"/>
            <w:noWrap/>
            <w:hideMark/>
          </w:tcPr>
          <w:p w14:paraId="6EB2A45E"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(13,144)</w:t>
            </w:r>
          </w:p>
        </w:tc>
        <w:tc>
          <w:tcPr>
            <w:tcW w:w="1710" w:type="dxa"/>
            <w:noWrap/>
            <w:hideMark/>
          </w:tcPr>
          <w:p w14:paraId="5658A4CE"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-96.5%</w:t>
            </w:r>
          </w:p>
        </w:tc>
      </w:tr>
      <w:tr w:rsidR="00AD7DDF" w:rsidRPr="00AD7DDF" w14:paraId="2B54B0A3"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12050381"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Parliament </w:t>
            </w:r>
          </w:p>
        </w:tc>
        <w:tc>
          <w:tcPr>
            <w:tcW w:w="1420" w:type="dxa"/>
            <w:noWrap/>
            <w:hideMark/>
          </w:tcPr>
          <w:p w14:paraId="65641A3E"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2,319 </w:t>
            </w:r>
          </w:p>
        </w:tc>
        <w:tc>
          <w:tcPr>
            <w:tcW w:w="1635" w:type="dxa"/>
            <w:noWrap/>
            <w:hideMark/>
          </w:tcPr>
          <w:p w14:paraId="4C4FA712"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304 </w:t>
            </w:r>
          </w:p>
        </w:tc>
        <w:tc>
          <w:tcPr>
            <w:tcW w:w="1890" w:type="dxa"/>
            <w:noWrap/>
            <w:hideMark/>
          </w:tcPr>
          <w:p w14:paraId="26C9429F"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2,015 </w:t>
            </w:r>
          </w:p>
        </w:tc>
        <w:tc>
          <w:tcPr>
            <w:tcW w:w="1710" w:type="dxa"/>
            <w:noWrap/>
            <w:hideMark/>
          </w:tcPr>
          <w:p w14:paraId="120D8284"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662.8%</w:t>
            </w:r>
          </w:p>
        </w:tc>
      </w:tr>
      <w:tr w:rsidR="00AD7DDF" w:rsidRPr="00AD7DDF" w14:paraId="62C4664E"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6B0916E8"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Security </w:t>
            </w:r>
          </w:p>
        </w:tc>
        <w:tc>
          <w:tcPr>
            <w:tcW w:w="1420" w:type="dxa"/>
            <w:noWrap/>
            <w:hideMark/>
          </w:tcPr>
          <w:p w14:paraId="56C0BD3D"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303 </w:t>
            </w:r>
          </w:p>
        </w:tc>
        <w:tc>
          <w:tcPr>
            <w:tcW w:w="1635" w:type="dxa"/>
            <w:noWrap/>
            <w:hideMark/>
          </w:tcPr>
          <w:p w14:paraId="3B28A9D9"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3,307 </w:t>
            </w:r>
          </w:p>
        </w:tc>
        <w:tc>
          <w:tcPr>
            <w:tcW w:w="1890" w:type="dxa"/>
            <w:noWrap/>
            <w:hideMark/>
          </w:tcPr>
          <w:p w14:paraId="2208B7C2"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(3,004)</w:t>
            </w:r>
          </w:p>
        </w:tc>
        <w:tc>
          <w:tcPr>
            <w:tcW w:w="1710" w:type="dxa"/>
            <w:noWrap/>
            <w:hideMark/>
          </w:tcPr>
          <w:p w14:paraId="437E63B8"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-90.8%</w:t>
            </w:r>
          </w:p>
        </w:tc>
      </w:tr>
      <w:tr w:rsidR="00AD7DDF" w:rsidRPr="00AD7DDF" w14:paraId="73C050BE"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23959DB9"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Social Welfare </w:t>
            </w:r>
          </w:p>
        </w:tc>
        <w:tc>
          <w:tcPr>
            <w:tcW w:w="1420" w:type="dxa"/>
            <w:noWrap/>
            <w:hideMark/>
          </w:tcPr>
          <w:p w14:paraId="3DD07E73"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38,700 </w:t>
            </w:r>
          </w:p>
        </w:tc>
        <w:tc>
          <w:tcPr>
            <w:tcW w:w="1635" w:type="dxa"/>
            <w:noWrap/>
            <w:hideMark/>
          </w:tcPr>
          <w:p w14:paraId="028FDD1E"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35,953 </w:t>
            </w:r>
          </w:p>
        </w:tc>
        <w:tc>
          <w:tcPr>
            <w:tcW w:w="1890" w:type="dxa"/>
            <w:noWrap/>
            <w:hideMark/>
          </w:tcPr>
          <w:p w14:paraId="64228B7B"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2,748 </w:t>
            </w:r>
          </w:p>
        </w:tc>
        <w:tc>
          <w:tcPr>
            <w:tcW w:w="1710" w:type="dxa"/>
            <w:noWrap/>
            <w:hideMark/>
          </w:tcPr>
          <w:p w14:paraId="1C4DE7BF"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7.6%</w:t>
            </w:r>
          </w:p>
        </w:tc>
      </w:tr>
      <w:tr w:rsidR="00AD7DDF" w:rsidRPr="00AD7DDF" w14:paraId="215C787E"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33E6785E"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Sports </w:t>
            </w:r>
          </w:p>
        </w:tc>
        <w:tc>
          <w:tcPr>
            <w:tcW w:w="1420" w:type="dxa"/>
            <w:noWrap/>
            <w:hideMark/>
          </w:tcPr>
          <w:p w14:paraId="2BA484FE"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36,492 </w:t>
            </w:r>
          </w:p>
        </w:tc>
        <w:tc>
          <w:tcPr>
            <w:tcW w:w="1635" w:type="dxa"/>
            <w:noWrap/>
            <w:hideMark/>
          </w:tcPr>
          <w:p w14:paraId="618ECBC1"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22,787 </w:t>
            </w:r>
          </w:p>
        </w:tc>
        <w:tc>
          <w:tcPr>
            <w:tcW w:w="1890" w:type="dxa"/>
            <w:noWrap/>
            <w:hideMark/>
          </w:tcPr>
          <w:p w14:paraId="3E2B8FE4"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13,706 </w:t>
            </w:r>
          </w:p>
        </w:tc>
        <w:tc>
          <w:tcPr>
            <w:tcW w:w="1710" w:type="dxa"/>
            <w:noWrap/>
            <w:hideMark/>
          </w:tcPr>
          <w:p w14:paraId="283C036F"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60.1%</w:t>
            </w:r>
          </w:p>
        </w:tc>
      </w:tr>
      <w:tr w:rsidR="00AD7DDF" w:rsidRPr="00AD7DDF" w14:paraId="6CB2A090"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38731F8"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Tourism </w:t>
            </w:r>
          </w:p>
        </w:tc>
        <w:tc>
          <w:tcPr>
            <w:tcW w:w="1420" w:type="dxa"/>
            <w:noWrap/>
            <w:hideMark/>
          </w:tcPr>
          <w:p w14:paraId="2494D9C7"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751 </w:t>
            </w:r>
          </w:p>
        </w:tc>
        <w:tc>
          <w:tcPr>
            <w:tcW w:w="1635" w:type="dxa"/>
            <w:noWrap/>
            <w:hideMark/>
          </w:tcPr>
          <w:p w14:paraId="7D73634F"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442 </w:t>
            </w:r>
          </w:p>
        </w:tc>
        <w:tc>
          <w:tcPr>
            <w:tcW w:w="1890" w:type="dxa"/>
            <w:noWrap/>
            <w:hideMark/>
          </w:tcPr>
          <w:p w14:paraId="4EB5BA7F"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308 </w:t>
            </w:r>
          </w:p>
        </w:tc>
        <w:tc>
          <w:tcPr>
            <w:tcW w:w="1710" w:type="dxa"/>
            <w:noWrap/>
            <w:hideMark/>
          </w:tcPr>
          <w:p w14:paraId="2CC06A16"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69.7%</w:t>
            </w:r>
          </w:p>
        </w:tc>
      </w:tr>
      <w:tr w:rsidR="00AD7DDF" w:rsidRPr="00AD7DDF" w14:paraId="430F846F"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1BC69499"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Trade </w:t>
            </w:r>
          </w:p>
        </w:tc>
        <w:tc>
          <w:tcPr>
            <w:tcW w:w="1420" w:type="dxa"/>
            <w:noWrap/>
            <w:hideMark/>
          </w:tcPr>
          <w:p w14:paraId="2C3F74CB"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643 </w:t>
            </w:r>
          </w:p>
        </w:tc>
        <w:tc>
          <w:tcPr>
            <w:tcW w:w="1635" w:type="dxa"/>
            <w:noWrap/>
            <w:hideMark/>
          </w:tcPr>
          <w:p w14:paraId="197066F7"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3,362 </w:t>
            </w:r>
          </w:p>
        </w:tc>
        <w:tc>
          <w:tcPr>
            <w:tcW w:w="1890" w:type="dxa"/>
            <w:noWrap/>
            <w:hideMark/>
          </w:tcPr>
          <w:p w14:paraId="082AD5B2"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(2,719)</w:t>
            </w:r>
          </w:p>
        </w:tc>
        <w:tc>
          <w:tcPr>
            <w:tcW w:w="1710" w:type="dxa"/>
            <w:noWrap/>
            <w:hideMark/>
          </w:tcPr>
          <w:p w14:paraId="6E54B779"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-80.9%</w:t>
            </w:r>
          </w:p>
        </w:tc>
      </w:tr>
      <w:tr w:rsidR="00AD7DDF" w:rsidRPr="00AD7DDF" w14:paraId="48478AF2"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5586A52"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Transport </w:t>
            </w:r>
          </w:p>
        </w:tc>
        <w:tc>
          <w:tcPr>
            <w:tcW w:w="1420" w:type="dxa"/>
            <w:noWrap/>
            <w:hideMark/>
          </w:tcPr>
          <w:p w14:paraId="6BF39704"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10,889 </w:t>
            </w:r>
          </w:p>
        </w:tc>
        <w:tc>
          <w:tcPr>
            <w:tcW w:w="1635" w:type="dxa"/>
            <w:noWrap/>
            <w:hideMark/>
          </w:tcPr>
          <w:p w14:paraId="7AF55C60"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13,821 </w:t>
            </w:r>
          </w:p>
        </w:tc>
        <w:tc>
          <w:tcPr>
            <w:tcW w:w="1890" w:type="dxa"/>
            <w:noWrap/>
            <w:hideMark/>
          </w:tcPr>
          <w:p w14:paraId="31E5CCAE"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(2,932)</w:t>
            </w:r>
          </w:p>
        </w:tc>
        <w:tc>
          <w:tcPr>
            <w:tcW w:w="1710" w:type="dxa"/>
            <w:noWrap/>
            <w:hideMark/>
          </w:tcPr>
          <w:p w14:paraId="57EA0826"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-21.2%</w:t>
            </w:r>
          </w:p>
        </w:tc>
      </w:tr>
      <w:tr w:rsidR="00AD7DDF" w:rsidRPr="00AD7DDF" w14:paraId="5FB1D365"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7BAA4A64"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Un Agency </w:t>
            </w:r>
          </w:p>
        </w:tc>
        <w:tc>
          <w:tcPr>
            <w:tcW w:w="1420" w:type="dxa"/>
            <w:noWrap/>
            <w:hideMark/>
          </w:tcPr>
          <w:p w14:paraId="4EF4CE6C"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98,888 </w:t>
            </w:r>
          </w:p>
        </w:tc>
        <w:tc>
          <w:tcPr>
            <w:tcW w:w="1635" w:type="dxa"/>
            <w:noWrap/>
            <w:hideMark/>
          </w:tcPr>
          <w:p w14:paraId="209FD4E3"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96,176 </w:t>
            </w:r>
          </w:p>
        </w:tc>
        <w:tc>
          <w:tcPr>
            <w:tcW w:w="1890" w:type="dxa"/>
            <w:noWrap/>
            <w:hideMark/>
          </w:tcPr>
          <w:p w14:paraId="2EB6BF2A"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2,712 </w:t>
            </w:r>
          </w:p>
        </w:tc>
        <w:tc>
          <w:tcPr>
            <w:tcW w:w="1710" w:type="dxa"/>
            <w:noWrap/>
            <w:hideMark/>
          </w:tcPr>
          <w:p w14:paraId="33D078AA" w14:textId="77777777" w:rsidR="00AD7DDF" w:rsidRPr="00AD7DDF" w:rsidRDefault="00AD7DDF" w:rsidP="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2.8%</w:t>
            </w:r>
          </w:p>
        </w:tc>
      </w:tr>
      <w:tr w:rsidR="00AD7DDF" w:rsidRPr="00AD7DDF" w14:paraId="09345231" w14:textId="77777777" w:rsidTr="00AD7DD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407A807"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Water Resources </w:t>
            </w:r>
          </w:p>
        </w:tc>
        <w:tc>
          <w:tcPr>
            <w:tcW w:w="1420" w:type="dxa"/>
            <w:noWrap/>
            <w:hideMark/>
          </w:tcPr>
          <w:p w14:paraId="74C5E251"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1,587 </w:t>
            </w:r>
          </w:p>
        </w:tc>
        <w:tc>
          <w:tcPr>
            <w:tcW w:w="1635" w:type="dxa"/>
            <w:noWrap/>
            <w:hideMark/>
          </w:tcPr>
          <w:p w14:paraId="66882C18"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3,645 </w:t>
            </w:r>
          </w:p>
        </w:tc>
        <w:tc>
          <w:tcPr>
            <w:tcW w:w="1890" w:type="dxa"/>
            <w:noWrap/>
            <w:hideMark/>
          </w:tcPr>
          <w:p w14:paraId="11107980"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(2,057)</w:t>
            </w:r>
          </w:p>
        </w:tc>
        <w:tc>
          <w:tcPr>
            <w:tcW w:w="1710" w:type="dxa"/>
            <w:noWrap/>
            <w:hideMark/>
          </w:tcPr>
          <w:p w14:paraId="4011E2BD"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-56.4%</w:t>
            </w:r>
          </w:p>
        </w:tc>
      </w:tr>
      <w:tr w:rsidR="00AD7DDF" w:rsidRPr="00AD7DDF" w14:paraId="2C5DE2B7" w14:textId="77777777" w:rsidTr="00AD7DDF">
        <w:trPr>
          <w:trHeight w:val="276"/>
        </w:trPr>
        <w:tc>
          <w:tcPr>
            <w:cnfStyle w:val="001000000000" w:firstRow="0" w:lastRow="0" w:firstColumn="1" w:lastColumn="0" w:oddVBand="0" w:evenVBand="0" w:oddHBand="0" w:evenHBand="0" w:firstRowFirstColumn="0" w:firstRowLastColumn="0" w:lastRowFirstColumn="0" w:lastRowLastColumn="0"/>
            <w:tcW w:w="2700" w:type="dxa"/>
            <w:noWrap/>
            <w:hideMark/>
          </w:tcPr>
          <w:p w14:paraId="3741D9FF" w14:textId="77777777" w:rsidR="00AD7DDF" w:rsidRPr="00AD7DDF" w:rsidRDefault="00AD7DDF">
            <w:pPr>
              <w:rPr>
                <w:rFonts w:ascii="Baskerville Old Face" w:hAnsi="Baskerville Old Face" w:cs="Times New Roman"/>
                <w:b w:val="0"/>
                <w:bCs w:val="0"/>
              </w:rPr>
            </w:pPr>
            <w:r w:rsidRPr="00AD7DDF">
              <w:rPr>
                <w:rFonts w:ascii="Baskerville Old Face" w:hAnsi="Baskerville Old Face" w:cs="Times New Roman"/>
                <w:b w:val="0"/>
                <w:bCs w:val="0"/>
              </w:rPr>
              <w:t xml:space="preserve"> Wide life </w:t>
            </w:r>
          </w:p>
        </w:tc>
        <w:tc>
          <w:tcPr>
            <w:tcW w:w="1420" w:type="dxa"/>
            <w:noWrap/>
            <w:hideMark/>
          </w:tcPr>
          <w:p w14:paraId="7454EE50"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422 </w:t>
            </w:r>
          </w:p>
        </w:tc>
        <w:tc>
          <w:tcPr>
            <w:tcW w:w="1635" w:type="dxa"/>
            <w:noWrap/>
            <w:hideMark/>
          </w:tcPr>
          <w:p w14:paraId="79477BBB"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   </w:t>
            </w:r>
          </w:p>
        </w:tc>
        <w:tc>
          <w:tcPr>
            <w:tcW w:w="1890" w:type="dxa"/>
            <w:noWrap/>
            <w:hideMark/>
          </w:tcPr>
          <w:p w14:paraId="46629AC3"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xml:space="preserve">           422 </w:t>
            </w:r>
          </w:p>
        </w:tc>
        <w:tc>
          <w:tcPr>
            <w:tcW w:w="1710" w:type="dxa"/>
            <w:noWrap/>
            <w:hideMark/>
          </w:tcPr>
          <w:p w14:paraId="4FD7FEFC" w14:textId="77777777" w:rsidR="00AD7DDF" w:rsidRPr="00AD7DDF" w:rsidRDefault="00AD7D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D7DDF">
              <w:rPr>
                <w:rFonts w:ascii="Baskerville Old Face" w:hAnsi="Baskerville Old Face" w:cs="Times New Roman"/>
              </w:rPr>
              <w:t> </w:t>
            </w:r>
          </w:p>
        </w:tc>
      </w:tr>
      <w:tr w:rsidR="00AD7DDF" w:rsidRPr="00AD7DDF" w14:paraId="7C78AB43" w14:textId="77777777" w:rsidTr="00AD7D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14:paraId="28CF3FCD" w14:textId="77777777" w:rsidR="00AD7DDF" w:rsidRPr="00AD7DDF" w:rsidRDefault="00AD7DDF">
            <w:pPr>
              <w:rPr>
                <w:rFonts w:ascii="Baskerville Old Face" w:hAnsi="Baskerville Old Face" w:cs="Times New Roman"/>
              </w:rPr>
            </w:pPr>
            <w:r w:rsidRPr="00AD7DDF">
              <w:rPr>
                <w:rFonts w:ascii="Baskerville Old Face" w:hAnsi="Baskerville Old Face" w:cs="Times New Roman"/>
              </w:rPr>
              <w:t xml:space="preserve"> Total </w:t>
            </w:r>
          </w:p>
        </w:tc>
        <w:tc>
          <w:tcPr>
            <w:tcW w:w="1420" w:type="dxa"/>
            <w:noWrap/>
            <w:hideMark/>
          </w:tcPr>
          <w:p w14:paraId="31CF7397"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D7DDF">
              <w:rPr>
                <w:rFonts w:ascii="Baskerville Old Face" w:hAnsi="Baskerville Old Face" w:cs="Times New Roman"/>
                <w:b/>
                <w:bCs/>
              </w:rPr>
              <w:t xml:space="preserve"> 1,293,986 </w:t>
            </w:r>
          </w:p>
        </w:tc>
        <w:tc>
          <w:tcPr>
            <w:tcW w:w="1635" w:type="dxa"/>
            <w:noWrap/>
            <w:hideMark/>
          </w:tcPr>
          <w:p w14:paraId="7E9232B5"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D7DDF">
              <w:rPr>
                <w:rFonts w:ascii="Baskerville Old Face" w:hAnsi="Baskerville Old Face" w:cs="Times New Roman"/>
                <w:b/>
                <w:bCs/>
              </w:rPr>
              <w:t xml:space="preserve"> 1,055,132 </w:t>
            </w:r>
          </w:p>
        </w:tc>
        <w:tc>
          <w:tcPr>
            <w:tcW w:w="1890" w:type="dxa"/>
            <w:noWrap/>
            <w:hideMark/>
          </w:tcPr>
          <w:p w14:paraId="49B03533" w14:textId="77777777" w:rsidR="00AD7DDF" w:rsidRPr="00AD7DDF" w:rsidRDefault="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D7DDF">
              <w:rPr>
                <w:rFonts w:ascii="Baskerville Old Face" w:hAnsi="Baskerville Old Face" w:cs="Times New Roman"/>
                <w:b/>
                <w:bCs/>
              </w:rPr>
              <w:t xml:space="preserve">   238,853 </w:t>
            </w:r>
          </w:p>
        </w:tc>
        <w:tc>
          <w:tcPr>
            <w:tcW w:w="1710" w:type="dxa"/>
            <w:noWrap/>
            <w:hideMark/>
          </w:tcPr>
          <w:p w14:paraId="07F5D1A7" w14:textId="77777777" w:rsidR="00AD7DDF" w:rsidRPr="00AD7DDF" w:rsidRDefault="00AD7DDF" w:rsidP="00AD7DDF">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D7DDF">
              <w:rPr>
                <w:rFonts w:ascii="Baskerville Old Face" w:hAnsi="Baskerville Old Face" w:cs="Times New Roman"/>
                <w:b/>
                <w:bCs/>
              </w:rPr>
              <w:t>22.6%</w:t>
            </w:r>
          </w:p>
        </w:tc>
      </w:tr>
    </w:tbl>
    <w:p w14:paraId="63A9CB13" w14:textId="0442D525" w:rsidR="00AD2A60" w:rsidRPr="00D04E78" w:rsidRDefault="00B90B69" w:rsidP="00D04E78">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14FF3E69" w14:textId="77777777" w:rsidR="00FE20B1" w:rsidRDefault="00FE20B1" w:rsidP="00453F41">
      <w:pPr>
        <w:jc w:val="center"/>
        <w:rPr>
          <w:rFonts w:ascii="Baskerville Old Face" w:hAnsi="Baskerville Old Face" w:cs="Times New Roman"/>
          <w:b/>
          <w:bCs/>
          <w:sz w:val="28"/>
          <w:szCs w:val="28"/>
        </w:rPr>
      </w:pPr>
    </w:p>
    <w:p w14:paraId="3440327C" w14:textId="07AFB0A3" w:rsidR="00453F41" w:rsidRPr="00520DD2" w:rsidRDefault="00453F41" w:rsidP="00520DD2">
      <w:pPr>
        <w:pStyle w:val="Heading1"/>
        <w:jc w:val="center"/>
        <w:rPr>
          <w:rFonts w:ascii="Baskerville Old Face" w:hAnsi="Baskerville Old Face"/>
          <w:b/>
          <w:bCs/>
        </w:rPr>
      </w:pPr>
      <w:bookmarkStart w:id="40" w:name="_Toc198043922"/>
      <w:r w:rsidRPr="00520DD2">
        <w:rPr>
          <w:rFonts w:ascii="Baskerville Old Face" w:hAnsi="Baskerville Old Face"/>
          <w:b/>
          <w:bCs/>
        </w:rPr>
        <w:lastRenderedPageBreak/>
        <w:t>CHAPTER THREE</w:t>
      </w:r>
      <w:bookmarkEnd w:id="40"/>
    </w:p>
    <w:p w14:paraId="32368543" w14:textId="25EC4B22" w:rsidR="0008160F" w:rsidRPr="00520DD2" w:rsidRDefault="00395E0D" w:rsidP="00C03BAC">
      <w:pPr>
        <w:pStyle w:val="Heading1"/>
        <w:rPr>
          <w:rFonts w:ascii="Baskerville Old Face" w:hAnsi="Baskerville Old Face"/>
          <w:b/>
          <w:bCs/>
        </w:rPr>
      </w:pPr>
      <w:bookmarkStart w:id="41" w:name="_Toc198043923"/>
      <w:r w:rsidRPr="00520DD2">
        <w:rPr>
          <w:rFonts w:ascii="Baskerville Old Face" w:hAnsi="Baskerville Old Face"/>
          <w:b/>
          <w:bCs/>
        </w:rPr>
        <w:t xml:space="preserve">3.0 </w:t>
      </w:r>
      <w:r w:rsidR="00453F41" w:rsidRPr="00520DD2">
        <w:rPr>
          <w:rFonts w:ascii="Baskerville Old Face" w:hAnsi="Baskerville Old Face"/>
          <w:b/>
          <w:bCs/>
        </w:rPr>
        <w:t>KEY NON-REVENUE ACHIEVEMENTS</w:t>
      </w:r>
      <w:bookmarkEnd w:id="41"/>
    </w:p>
    <w:p w14:paraId="3EE8C6A5" w14:textId="5F9A10E5" w:rsidR="0008160F" w:rsidRDefault="00C77C72" w:rsidP="00C77C72">
      <w:pPr>
        <w:spacing w:line="360" w:lineRule="auto"/>
        <w:jc w:val="both"/>
        <w:rPr>
          <w:rFonts w:ascii="Baskerville Old Face" w:hAnsi="Baskerville Old Face" w:cs="Times New Roman"/>
          <w:sz w:val="24"/>
          <w:szCs w:val="24"/>
        </w:rPr>
      </w:pPr>
      <w:r w:rsidRPr="00C77C72">
        <w:rPr>
          <w:rFonts w:ascii="Baskerville Old Face" w:hAnsi="Baskerville Old Face" w:cs="Times New Roman"/>
          <w:sz w:val="24"/>
          <w:szCs w:val="24"/>
        </w:rPr>
        <w:t>This chapter provides a</w:t>
      </w:r>
      <w:r w:rsidR="0056580D">
        <w:rPr>
          <w:rFonts w:ascii="Baskerville Old Face" w:hAnsi="Baskerville Old Face" w:cs="Times New Roman"/>
          <w:sz w:val="24"/>
          <w:szCs w:val="24"/>
        </w:rPr>
        <w:t>n</w:t>
      </w:r>
      <w:r w:rsidRPr="00C77C72">
        <w:rPr>
          <w:rFonts w:ascii="Baskerville Old Face" w:hAnsi="Baskerville Old Face" w:cs="Times New Roman"/>
          <w:sz w:val="24"/>
          <w:szCs w:val="24"/>
        </w:rPr>
        <w:t xml:space="preserve"> </w:t>
      </w:r>
      <w:r w:rsidR="00C13433">
        <w:rPr>
          <w:rFonts w:ascii="Baskerville Old Face" w:hAnsi="Baskerville Old Face" w:cs="Times New Roman"/>
          <w:sz w:val="24"/>
          <w:szCs w:val="24"/>
        </w:rPr>
        <w:t>update</w:t>
      </w:r>
      <w:r w:rsidRPr="00C77C72">
        <w:rPr>
          <w:rFonts w:ascii="Baskerville Old Face" w:hAnsi="Baskerville Old Face" w:cs="Times New Roman"/>
          <w:sz w:val="24"/>
          <w:szCs w:val="24"/>
        </w:rPr>
        <w:t xml:space="preserve"> of non-revenue achievements in 202</w:t>
      </w:r>
      <w:r w:rsidR="0056580D">
        <w:rPr>
          <w:rFonts w:ascii="Baskerville Old Face" w:hAnsi="Baskerville Old Face" w:cs="Times New Roman"/>
          <w:sz w:val="24"/>
          <w:szCs w:val="24"/>
        </w:rPr>
        <w:t>4</w:t>
      </w:r>
      <w:r w:rsidRPr="00C77C72">
        <w:rPr>
          <w:rFonts w:ascii="Baskerville Old Face" w:hAnsi="Baskerville Old Face" w:cs="Times New Roman"/>
          <w:sz w:val="24"/>
          <w:szCs w:val="24"/>
        </w:rPr>
        <w:t>, spanning multiple functional areas such as</w:t>
      </w:r>
      <w:r w:rsidR="00C13433">
        <w:rPr>
          <w:rFonts w:ascii="Baskerville Old Face" w:hAnsi="Baskerville Old Face" w:cs="Times New Roman"/>
          <w:sz w:val="24"/>
          <w:szCs w:val="24"/>
        </w:rPr>
        <w:t xml:space="preserve"> </w:t>
      </w:r>
      <w:r w:rsidRPr="00C77C72">
        <w:rPr>
          <w:rFonts w:ascii="Baskerville Old Face" w:hAnsi="Baskerville Old Face" w:cs="Times New Roman"/>
          <w:sz w:val="24"/>
          <w:szCs w:val="24"/>
        </w:rPr>
        <w:t>revenue intelligence and investigation</w:t>
      </w:r>
      <w:r>
        <w:rPr>
          <w:rFonts w:ascii="Baskerville Old Face" w:hAnsi="Baskerville Old Face" w:cs="Times New Roman"/>
          <w:sz w:val="24"/>
          <w:szCs w:val="24"/>
        </w:rPr>
        <w:t>s</w:t>
      </w:r>
      <w:r w:rsidRPr="00C77C72">
        <w:rPr>
          <w:rFonts w:ascii="Baskerville Old Face" w:hAnsi="Baskerville Old Face" w:cs="Times New Roman"/>
          <w:sz w:val="24"/>
          <w:szCs w:val="24"/>
        </w:rPr>
        <w:t xml:space="preserve">, corporate governance, human resources management, staff integrity, business facilitation, risk management, </w:t>
      </w:r>
      <w:r w:rsidR="005803E4" w:rsidRPr="00C77C72">
        <w:rPr>
          <w:rFonts w:ascii="Baskerville Old Face" w:hAnsi="Baskerville Old Face" w:cs="Times New Roman"/>
          <w:sz w:val="24"/>
          <w:szCs w:val="24"/>
        </w:rPr>
        <w:t>ICT</w:t>
      </w:r>
      <w:r w:rsidR="00E55D23">
        <w:rPr>
          <w:rFonts w:ascii="Baskerville Old Face" w:hAnsi="Baskerville Old Face" w:cs="Times New Roman"/>
          <w:sz w:val="24"/>
          <w:szCs w:val="24"/>
        </w:rPr>
        <w:t>, NTRD revenue mobilisation drive,</w:t>
      </w:r>
      <w:r w:rsidR="00A27EEB">
        <w:rPr>
          <w:rFonts w:ascii="Baskerville Old Face" w:hAnsi="Baskerville Old Face" w:cs="Times New Roman"/>
          <w:sz w:val="24"/>
          <w:szCs w:val="24"/>
        </w:rPr>
        <w:t xml:space="preserve"> and </w:t>
      </w:r>
      <w:r w:rsidR="005803E4">
        <w:rPr>
          <w:rFonts w:ascii="Baskerville Old Face" w:hAnsi="Baskerville Old Face" w:cs="Times New Roman"/>
          <w:sz w:val="24"/>
          <w:szCs w:val="24"/>
        </w:rPr>
        <w:t xml:space="preserve">other modernisation </w:t>
      </w:r>
      <w:r w:rsidRPr="00C77C72">
        <w:rPr>
          <w:rFonts w:ascii="Baskerville Old Face" w:hAnsi="Baskerville Old Face" w:cs="Times New Roman"/>
          <w:sz w:val="24"/>
          <w:szCs w:val="24"/>
        </w:rPr>
        <w:t>reform</w:t>
      </w:r>
      <w:r w:rsidR="005803E4">
        <w:rPr>
          <w:rFonts w:ascii="Baskerville Old Face" w:hAnsi="Baskerville Old Face" w:cs="Times New Roman"/>
          <w:sz w:val="24"/>
          <w:szCs w:val="24"/>
        </w:rPr>
        <w:t>s</w:t>
      </w:r>
      <w:r w:rsidRPr="00C77C72">
        <w:rPr>
          <w:rFonts w:ascii="Baskerville Old Face" w:hAnsi="Baskerville Old Face" w:cs="Times New Roman"/>
          <w:sz w:val="24"/>
          <w:szCs w:val="24"/>
        </w:rPr>
        <w:t>.</w:t>
      </w:r>
    </w:p>
    <w:p w14:paraId="7B283EA4" w14:textId="1E4E60AD" w:rsidR="00673974" w:rsidRPr="00520DD2" w:rsidRDefault="00395E0D" w:rsidP="00C03BAC">
      <w:pPr>
        <w:pStyle w:val="Heading2"/>
        <w:rPr>
          <w:rFonts w:ascii="Baskerville Old Face" w:hAnsi="Baskerville Old Face"/>
          <w:b/>
          <w:bCs/>
        </w:rPr>
      </w:pPr>
      <w:bookmarkStart w:id="42" w:name="_Toc198043924"/>
      <w:r w:rsidRPr="00520DD2">
        <w:rPr>
          <w:rFonts w:ascii="Baskerville Old Face" w:hAnsi="Baskerville Old Face"/>
          <w:b/>
          <w:bCs/>
        </w:rPr>
        <w:t xml:space="preserve">3.1 </w:t>
      </w:r>
      <w:r w:rsidR="00757858" w:rsidRPr="00520DD2">
        <w:rPr>
          <w:rFonts w:ascii="Baskerville Old Face" w:hAnsi="Baskerville Old Face"/>
          <w:b/>
          <w:bCs/>
        </w:rPr>
        <w:t xml:space="preserve">HUMAN RESOURCE </w:t>
      </w:r>
      <w:r w:rsidR="00845B8C" w:rsidRPr="00520DD2">
        <w:rPr>
          <w:rFonts w:ascii="Baskerville Old Face" w:hAnsi="Baskerville Old Face"/>
          <w:b/>
          <w:bCs/>
        </w:rPr>
        <w:t xml:space="preserve">AND STAFF WELFARE </w:t>
      </w:r>
      <w:r w:rsidR="00757858" w:rsidRPr="00520DD2">
        <w:rPr>
          <w:rFonts w:ascii="Baskerville Old Face" w:hAnsi="Baskerville Old Face"/>
          <w:b/>
          <w:bCs/>
        </w:rPr>
        <w:t>MANAGEMENT</w:t>
      </w:r>
      <w:bookmarkEnd w:id="42"/>
      <w:r w:rsidR="00845B8C" w:rsidRPr="00520DD2">
        <w:rPr>
          <w:rFonts w:ascii="Baskerville Old Face" w:hAnsi="Baskerville Old Face"/>
          <w:b/>
          <w:bCs/>
        </w:rPr>
        <w:t xml:space="preserve"> </w:t>
      </w:r>
    </w:p>
    <w:p w14:paraId="1CCE3440" w14:textId="7D72F70D" w:rsidR="00412386" w:rsidRPr="00B811D8" w:rsidRDefault="00412386" w:rsidP="00673974">
      <w:pPr>
        <w:spacing w:line="360" w:lineRule="auto"/>
        <w:jc w:val="both"/>
        <w:rPr>
          <w:rFonts w:ascii="Baskerville Old Face" w:hAnsi="Baskerville Old Face" w:cs="Times New Roman"/>
          <w:sz w:val="24"/>
          <w:szCs w:val="24"/>
        </w:rPr>
      </w:pPr>
      <w:r w:rsidRPr="00B811D8">
        <w:rPr>
          <w:rFonts w:ascii="Baskerville Old Face" w:eastAsia="Times New Roman" w:hAnsi="Baskerville Old Face" w:cs="Times New Roman"/>
          <w:kern w:val="0"/>
          <w:sz w:val="24"/>
          <w:szCs w:val="24"/>
          <w14:ligatures w14:val="none"/>
        </w:rPr>
        <w:t>The Human Resources Department (HRD) plays a critical role in advancing the Authority’s institutional objectives by aligning its human capital strategy with the overall goals outlined in the Strategic Plan 2023–2027. Working under the supervision of the Commissioner-General and in close coordination with the Board of Directors and the Senior Management Team (SMT), the HRD is responsible for formulating and implementing human resource policies that promote efficiency, professionalism, and organisational growth.</w:t>
      </w:r>
    </w:p>
    <w:p w14:paraId="2DB746B4" w14:textId="50E86936" w:rsidR="00412386" w:rsidRPr="00B811D8" w:rsidRDefault="00412386" w:rsidP="00412386">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 xml:space="preserve">Core functions of the department include the recruitment, development, training, and retention of staff across all operational areas. To effectively deliver on these mandates, the HRD operates through three </w:t>
      </w:r>
      <w:proofErr w:type="spellStart"/>
      <w:r w:rsidRPr="00B811D8">
        <w:rPr>
          <w:rFonts w:ascii="Baskerville Old Face" w:eastAsia="Times New Roman" w:hAnsi="Baskerville Old Face" w:cs="Times New Roman"/>
          <w:kern w:val="0"/>
          <w:sz w:val="24"/>
          <w:szCs w:val="24"/>
          <w14:ligatures w14:val="none"/>
        </w:rPr>
        <w:t>specialised</w:t>
      </w:r>
      <w:proofErr w:type="spellEnd"/>
      <w:r w:rsidRPr="00B811D8">
        <w:rPr>
          <w:rFonts w:ascii="Baskerville Old Face" w:eastAsia="Times New Roman" w:hAnsi="Baskerville Old Face" w:cs="Times New Roman"/>
          <w:kern w:val="0"/>
          <w:sz w:val="24"/>
          <w:szCs w:val="24"/>
          <w14:ligatures w14:val="none"/>
        </w:rPr>
        <w:t xml:space="preserve"> units:</w:t>
      </w:r>
    </w:p>
    <w:p w14:paraId="6B203DDB" w14:textId="77777777" w:rsidR="00412386" w:rsidRPr="00B811D8" w:rsidRDefault="00412386" w:rsidP="00931C1A">
      <w:pPr>
        <w:numPr>
          <w:ilvl w:val="0"/>
          <w:numId w:val="7"/>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Recruitment and Staff Appraisal Unit</w:t>
      </w:r>
    </w:p>
    <w:p w14:paraId="4EF1EBED" w14:textId="77777777" w:rsidR="00412386" w:rsidRPr="00B811D8" w:rsidRDefault="00412386" w:rsidP="00931C1A">
      <w:pPr>
        <w:numPr>
          <w:ilvl w:val="0"/>
          <w:numId w:val="7"/>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Salary Administration and Records Management Unit</w:t>
      </w:r>
    </w:p>
    <w:p w14:paraId="31F4B632" w14:textId="77777777" w:rsidR="00412386" w:rsidRPr="00B811D8" w:rsidRDefault="00412386" w:rsidP="00931C1A">
      <w:pPr>
        <w:numPr>
          <w:ilvl w:val="0"/>
          <w:numId w:val="7"/>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Training, Manpower Planning, and Capacity Development Unit</w:t>
      </w:r>
    </w:p>
    <w:p w14:paraId="13FE6080" w14:textId="77777777" w:rsidR="00412386" w:rsidRPr="00B811D8" w:rsidRDefault="00412386" w:rsidP="00412386">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In 2021, the Staff Welfare Unit was upgraded to a full-fledged Staff Welfare Department, reflecting the Authority’s renewed commitment to strengthening the well-being and support systems for its workforce. This strategic shift has enabled more focused and comprehensive management of staff welfare initiatives.</w:t>
      </w:r>
    </w:p>
    <w:p w14:paraId="20C8DB27" w14:textId="78367021" w:rsidR="00412386" w:rsidRPr="00B811D8" w:rsidRDefault="00412386" w:rsidP="00412386">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 xml:space="preserve">The activities undertaken by the HRD and the Staff Welfare Department during the reporting period are guided by Goal 2 of the Strategic Plan, which </w:t>
      </w:r>
      <w:proofErr w:type="spellStart"/>
      <w:r w:rsidRPr="00B811D8">
        <w:rPr>
          <w:rFonts w:ascii="Baskerville Old Face" w:eastAsia="Times New Roman" w:hAnsi="Baskerville Old Face" w:cs="Times New Roman"/>
          <w:kern w:val="0"/>
          <w:sz w:val="24"/>
          <w:szCs w:val="24"/>
          <w14:ligatures w14:val="none"/>
        </w:rPr>
        <w:t>emphasi</w:t>
      </w:r>
      <w:r w:rsidR="00B14994">
        <w:rPr>
          <w:rFonts w:ascii="Baskerville Old Face" w:eastAsia="Times New Roman" w:hAnsi="Baskerville Old Face" w:cs="Times New Roman"/>
          <w:kern w:val="0"/>
          <w:sz w:val="24"/>
          <w:szCs w:val="24"/>
          <w14:ligatures w14:val="none"/>
        </w:rPr>
        <w:t>s</w:t>
      </w:r>
      <w:r w:rsidRPr="00B811D8">
        <w:rPr>
          <w:rFonts w:ascii="Baskerville Old Face" w:eastAsia="Times New Roman" w:hAnsi="Baskerville Old Face" w:cs="Times New Roman"/>
          <w:kern w:val="0"/>
          <w:sz w:val="24"/>
          <w:szCs w:val="24"/>
          <w14:ligatures w14:val="none"/>
        </w:rPr>
        <w:t>es</w:t>
      </w:r>
      <w:proofErr w:type="spellEnd"/>
      <w:r w:rsidRPr="00B811D8">
        <w:rPr>
          <w:rFonts w:ascii="Baskerville Old Face" w:eastAsia="Times New Roman" w:hAnsi="Baskerville Old Face" w:cs="Times New Roman"/>
          <w:kern w:val="0"/>
          <w:sz w:val="24"/>
          <w:szCs w:val="24"/>
          <w14:ligatures w14:val="none"/>
        </w:rPr>
        <w:t xml:space="preserve"> the "Maintenance of a professional workforce and the development of institutional capacity."</w:t>
      </w:r>
    </w:p>
    <w:p w14:paraId="3C77A403" w14:textId="7667FCDB" w:rsidR="00757858" w:rsidRPr="00E959EF" w:rsidRDefault="00395E0D" w:rsidP="00C03BAC">
      <w:pPr>
        <w:pStyle w:val="Heading3"/>
        <w:rPr>
          <w:rFonts w:ascii="Baskerville Old Face" w:hAnsi="Baskerville Old Face"/>
          <w:b/>
          <w:bCs/>
        </w:rPr>
      </w:pPr>
      <w:bookmarkStart w:id="43" w:name="_Toc198043925"/>
      <w:r w:rsidRPr="00E959EF">
        <w:rPr>
          <w:rFonts w:ascii="Baskerville Old Face" w:hAnsi="Baskerville Old Face"/>
          <w:b/>
          <w:bCs/>
        </w:rPr>
        <w:t xml:space="preserve">3.1.1 </w:t>
      </w:r>
      <w:r w:rsidR="00C12D44" w:rsidRPr="00E959EF">
        <w:rPr>
          <w:rFonts w:ascii="Baskerville Old Face" w:hAnsi="Baskerville Old Face"/>
          <w:b/>
          <w:bCs/>
        </w:rPr>
        <w:t>Staff Strength</w:t>
      </w:r>
      <w:bookmarkEnd w:id="43"/>
    </w:p>
    <w:p w14:paraId="029475DE" w14:textId="6F7AFF2E" w:rsidR="00412386" w:rsidRPr="00B811D8" w:rsidRDefault="00412386" w:rsidP="00412386">
      <w:pPr>
        <w:spacing w:line="276" w:lineRule="auto"/>
        <w:jc w:val="both"/>
        <w:rPr>
          <w:rFonts w:ascii="Baskerville Old Face" w:hAnsi="Baskerville Old Face"/>
          <w:sz w:val="24"/>
          <w:szCs w:val="24"/>
        </w:rPr>
      </w:pPr>
      <w:r w:rsidRPr="00B811D8">
        <w:rPr>
          <w:rFonts w:ascii="Baskerville Old Face" w:hAnsi="Baskerville Old Face"/>
          <w:sz w:val="24"/>
          <w:szCs w:val="24"/>
        </w:rPr>
        <w:t xml:space="preserve">As presented in </w:t>
      </w:r>
      <w:r w:rsidRPr="00B811D8">
        <w:rPr>
          <w:rStyle w:val="Strong"/>
          <w:rFonts w:ascii="Baskerville Old Face" w:hAnsi="Baskerville Old Face"/>
          <w:b w:val="0"/>
          <w:bCs w:val="0"/>
          <w:sz w:val="24"/>
          <w:szCs w:val="24"/>
        </w:rPr>
        <w:t xml:space="preserve">Table </w:t>
      </w:r>
      <w:r w:rsidR="00284161" w:rsidRPr="00B811D8">
        <w:rPr>
          <w:rStyle w:val="Strong"/>
          <w:rFonts w:ascii="Baskerville Old Face" w:hAnsi="Baskerville Old Face"/>
          <w:b w:val="0"/>
          <w:bCs w:val="0"/>
          <w:sz w:val="24"/>
          <w:szCs w:val="24"/>
        </w:rPr>
        <w:t>7</w:t>
      </w:r>
      <w:r w:rsidRPr="00B811D8">
        <w:rPr>
          <w:rFonts w:ascii="Baskerville Old Face" w:hAnsi="Baskerville Old Face"/>
          <w:sz w:val="24"/>
          <w:szCs w:val="24"/>
        </w:rPr>
        <w:t xml:space="preserve">, a year-on-year comparison of staff strength by gender shows that the total workforce decreased by </w:t>
      </w:r>
      <w:r w:rsidRPr="00B811D8">
        <w:rPr>
          <w:rStyle w:val="Strong"/>
          <w:rFonts w:ascii="Baskerville Old Face" w:hAnsi="Baskerville Old Face"/>
          <w:b w:val="0"/>
          <w:bCs w:val="0"/>
          <w:sz w:val="24"/>
          <w:szCs w:val="24"/>
        </w:rPr>
        <w:t>20 employees</w:t>
      </w:r>
      <w:r w:rsidRPr="00B811D8">
        <w:rPr>
          <w:rFonts w:ascii="Baskerville Old Face" w:hAnsi="Baskerville Old Face"/>
          <w:b/>
          <w:bCs/>
          <w:sz w:val="24"/>
          <w:szCs w:val="24"/>
        </w:rPr>
        <w:t>—</w:t>
      </w:r>
      <w:r w:rsidRPr="00B811D8">
        <w:rPr>
          <w:rFonts w:ascii="Baskerville Old Face" w:hAnsi="Baskerville Old Face"/>
          <w:sz w:val="24"/>
          <w:szCs w:val="24"/>
        </w:rPr>
        <w:t xml:space="preserve">from </w:t>
      </w:r>
      <w:r w:rsidRPr="00B811D8">
        <w:rPr>
          <w:rStyle w:val="Strong"/>
          <w:rFonts w:ascii="Baskerville Old Face" w:hAnsi="Baskerville Old Face"/>
          <w:b w:val="0"/>
          <w:bCs w:val="0"/>
          <w:sz w:val="24"/>
          <w:szCs w:val="24"/>
        </w:rPr>
        <w:t>837 in 2023 to 817 in 2024</w:t>
      </w:r>
      <w:r w:rsidRPr="00B811D8">
        <w:rPr>
          <w:rFonts w:ascii="Baskerville Old Face" w:hAnsi="Baskerville Old Face"/>
          <w:sz w:val="24"/>
          <w:szCs w:val="24"/>
        </w:rPr>
        <w:t xml:space="preserve">. A breakdown reveals that the number of </w:t>
      </w:r>
      <w:r w:rsidRPr="00B811D8">
        <w:rPr>
          <w:rStyle w:val="Strong"/>
          <w:rFonts w:ascii="Baskerville Old Face" w:hAnsi="Baskerville Old Face"/>
          <w:b w:val="0"/>
          <w:bCs w:val="0"/>
          <w:sz w:val="24"/>
          <w:szCs w:val="24"/>
        </w:rPr>
        <w:t>male staff declined by 15</w:t>
      </w:r>
      <w:r w:rsidRPr="00B811D8">
        <w:rPr>
          <w:rFonts w:ascii="Baskerville Old Face" w:hAnsi="Baskerville Old Face"/>
          <w:sz w:val="24"/>
          <w:szCs w:val="24"/>
        </w:rPr>
        <w:t xml:space="preserve">, while </w:t>
      </w:r>
      <w:r w:rsidRPr="00B811D8">
        <w:rPr>
          <w:rStyle w:val="Strong"/>
          <w:rFonts w:ascii="Baskerville Old Face" w:hAnsi="Baskerville Old Face"/>
          <w:b w:val="0"/>
          <w:bCs w:val="0"/>
          <w:sz w:val="24"/>
          <w:szCs w:val="24"/>
        </w:rPr>
        <w:t>female staff decreased by 5</w:t>
      </w:r>
      <w:r w:rsidRPr="00B811D8">
        <w:rPr>
          <w:rFonts w:ascii="Baskerville Old Face" w:hAnsi="Baskerville Old Face"/>
          <w:sz w:val="24"/>
          <w:szCs w:val="24"/>
        </w:rPr>
        <w:t xml:space="preserve">. In 2023, male employees represented </w:t>
      </w:r>
      <w:r w:rsidRPr="00B811D8">
        <w:rPr>
          <w:rStyle w:val="Strong"/>
          <w:rFonts w:ascii="Baskerville Old Face" w:hAnsi="Baskerville Old Face"/>
          <w:b w:val="0"/>
          <w:bCs w:val="0"/>
          <w:sz w:val="24"/>
          <w:szCs w:val="24"/>
        </w:rPr>
        <w:t>74.8%</w:t>
      </w:r>
      <w:r w:rsidRPr="00B811D8">
        <w:rPr>
          <w:rFonts w:ascii="Baskerville Old Face" w:hAnsi="Baskerville Old Face"/>
          <w:sz w:val="24"/>
          <w:szCs w:val="24"/>
        </w:rPr>
        <w:t xml:space="preserve"> of the workforce, while female employees accounted for </w:t>
      </w:r>
      <w:r w:rsidRPr="00B811D8">
        <w:rPr>
          <w:rStyle w:val="Strong"/>
          <w:rFonts w:ascii="Baskerville Old Face" w:hAnsi="Baskerville Old Face"/>
          <w:b w:val="0"/>
          <w:bCs w:val="0"/>
          <w:sz w:val="24"/>
          <w:szCs w:val="24"/>
        </w:rPr>
        <w:t>25.2%</w:t>
      </w:r>
      <w:r w:rsidRPr="00B811D8">
        <w:rPr>
          <w:rFonts w:ascii="Baskerville Old Face" w:hAnsi="Baskerville Old Face"/>
          <w:b/>
          <w:bCs/>
          <w:sz w:val="24"/>
          <w:szCs w:val="24"/>
        </w:rPr>
        <w:t>.</w:t>
      </w:r>
      <w:r w:rsidRPr="00B811D8">
        <w:rPr>
          <w:rFonts w:ascii="Baskerville Old Face" w:hAnsi="Baskerville Old Face"/>
          <w:sz w:val="24"/>
          <w:szCs w:val="24"/>
        </w:rPr>
        <w:t xml:space="preserve"> The figures for </w:t>
      </w:r>
      <w:r w:rsidRPr="00B811D8">
        <w:rPr>
          <w:rFonts w:ascii="Baskerville Old Face" w:hAnsi="Baskerville Old Face"/>
          <w:sz w:val="24"/>
          <w:szCs w:val="24"/>
        </w:rPr>
        <w:lastRenderedPageBreak/>
        <w:t>2024 reflect a similar gender distribution, underscoring the need for continued efforts to promote gender balance across the Authority.</w:t>
      </w:r>
    </w:p>
    <w:p w14:paraId="775F4BCD" w14:textId="3594626D" w:rsidR="0071721B" w:rsidRPr="0068040E" w:rsidRDefault="0071721B" w:rsidP="0071721B">
      <w:pPr>
        <w:pStyle w:val="Caption"/>
        <w:keepNext/>
        <w:rPr>
          <w:rFonts w:ascii="Baskerville Old Face" w:hAnsi="Baskerville Old Face"/>
          <w:b/>
          <w:bCs/>
          <w:sz w:val="24"/>
          <w:szCs w:val="24"/>
        </w:rPr>
      </w:pPr>
      <w:bookmarkStart w:id="44" w:name="_Toc198044025"/>
      <w:r w:rsidRPr="0068040E">
        <w:rPr>
          <w:rFonts w:ascii="Baskerville Old Face" w:hAnsi="Baskerville Old Face"/>
          <w:b/>
          <w:bCs/>
          <w:sz w:val="24"/>
          <w:szCs w:val="24"/>
        </w:rPr>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Pr="0068040E">
        <w:rPr>
          <w:rFonts w:ascii="Baskerville Old Face" w:hAnsi="Baskerville Old Face"/>
          <w:b/>
          <w:bCs/>
          <w:noProof/>
          <w:sz w:val="24"/>
          <w:szCs w:val="24"/>
        </w:rPr>
        <w:t>7</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Staff Strength by Gender 2024 and 2023</w:t>
      </w:r>
      <w:bookmarkEnd w:id="44"/>
    </w:p>
    <w:tbl>
      <w:tblPr>
        <w:tblStyle w:val="GridTable4-Accent3"/>
        <w:tblW w:w="9175" w:type="dxa"/>
        <w:tblLook w:val="04A0" w:firstRow="1" w:lastRow="0" w:firstColumn="1" w:lastColumn="0" w:noHBand="0" w:noVBand="1"/>
      </w:tblPr>
      <w:tblGrid>
        <w:gridCol w:w="2325"/>
        <w:gridCol w:w="893"/>
        <w:gridCol w:w="1177"/>
        <w:gridCol w:w="1270"/>
        <w:gridCol w:w="1080"/>
        <w:gridCol w:w="1170"/>
        <w:gridCol w:w="1260"/>
      </w:tblGrid>
      <w:tr w:rsidR="004F2C12" w:rsidRPr="004F2C12" w14:paraId="6C413376" w14:textId="77777777" w:rsidTr="003A57C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vMerge w:val="restart"/>
            <w:hideMark/>
          </w:tcPr>
          <w:p w14:paraId="4A505069" w14:textId="77777777" w:rsidR="004F2C12" w:rsidRPr="004F2C12" w:rsidRDefault="004F2C12" w:rsidP="004F2C12">
            <w:pPr>
              <w:jc w:val="both"/>
              <w:rPr>
                <w:rFonts w:ascii="Baskerville Old Face" w:hAnsi="Baskerville Old Face" w:cs="Times New Roman"/>
                <w:b w:val="0"/>
                <w:bCs w:val="0"/>
                <w:sz w:val="20"/>
                <w:szCs w:val="20"/>
                <w:lang w:val="en-GB"/>
              </w:rPr>
            </w:pPr>
          </w:p>
          <w:p w14:paraId="250C2149" w14:textId="5DD4DDDD" w:rsidR="004F2C12" w:rsidRPr="004F2C12" w:rsidRDefault="004F2C12" w:rsidP="004F2C12">
            <w:pPr>
              <w:jc w:val="both"/>
              <w:rPr>
                <w:rFonts w:ascii="Baskerville Old Face" w:hAnsi="Baskerville Old Face" w:cs="Times New Roman"/>
                <w:color w:val="auto"/>
                <w:sz w:val="20"/>
                <w:szCs w:val="20"/>
              </w:rPr>
            </w:pPr>
            <w:r w:rsidRPr="004F2C12">
              <w:rPr>
                <w:rFonts w:ascii="Baskerville Old Face" w:hAnsi="Baskerville Old Face" w:cs="Times New Roman"/>
                <w:color w:val="auto"/>
                <w:sz w:val="20"/>
                <w:szCs w:val="20"/>
                <w:lang w:val="en-GB"/>
              </w:rPr>
              <w:t>DEPARTMENT</w:t>
            </w:r>
          </w:p>
        </w:tc>
        <w:tc>
          <w:tcPr>
            <w:tcW w:w="893" w:type="dxa"/>
            <w:hideMark/>
          </w:tcPr>
          <w:p w14:paraId="5D65A21E" w14:textId="77777777"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4F2C12">
              <w:rPr>
                <w:rFonts w:ascii="Baskerville Old Face" w:hAnsi="Baskerville Old Face" w:cs="Times New Roman"/>
                <w:color w:val="auto"/>
                <w:sz w:val="20"/>
                <w:szCs w:val="20"/>
                <w:lang w:val="en-GB"/>
              </w:rPr>
              <w:t>2024</w:t>
            </w:r>
          </w:p>
        </w:tc>
        <w:tc>
          <w:tcPr>
            <w:tcW w:w="1177" w:type="dxa"/>
            <w:hideMark/>
          </w:tcPr>
          <w:p w14:paraId="1F09465F" w14:textId="77777777"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4F2C12">
              <w:rPr>
                <w:rFonts w:ascii="Baskerville Old Face" w:hAnsi="Baskerville Old Face" w:cs="Times New Roman"/>
                <w:color w:val="auto"/>
                <w:sz w:val="20"/>
                <w:szCs w:val="20"/>
                <w:lang w:val="en-GB"/>
              </w:rPr>
              <w:t>2023</w:t>
            </w:r>
          </w:p>
        </w:tc>
        <w:tc>
          <w:tcPr>
            <w:tcW w:w="1270" w:type="dxa"/>
            <w:hideMark/>
          </w:tcPr>
          <w:p w14:paraId="41DD6C73" w14:textId="51EF557A"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p>
        </w:tc>
        <w:tc>
          <w:tcPr>
            <w:tcW w:w="1080" w:type="dxa"/>
            <w:hideMark/>
          </w:tcPr>
          <w:p w14:paraId="66964B9F" w14:textId="77777777"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4F2C12">
              <w:rPr>
                <w:rFonts w:ascii="Baskerville Old Face" w:hAnsi="Baskerville Old Face" w:cs="Times New Roman"/>
                <w:color w:val="auto"/>
                <w:sz w:val="20"/>
                <w:szCs w:val="20"/>
                <w:lang w:val="en-GB"/>
              </w:rPr>
              <w:t>2024</w:t>
            </w:r>
          </w:p>
        </w:tc>
        <w:tc>
          <w:tcPr>
            <w:tcW w:w="1170" w:type="dxa"/>
            <w:hideMark/>
          </w:tcPr>
          <w:p w14:paraId="2EDFF66B" w14:textId="77777777"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4F2C12">
              <w:rPr>
                <w:rFonts w:ascii="Baskerville Old Face" w:hAnsi="Baskerville Old Face" w:cs="Times New Roman"/>
                <w:color w:val="auto"/>
                <w:sz w:val="20"/>
                <w:szCs w:val="20"/>
              </w:rPr>
              <w:t>2023</w:t>
            </w:r>
          </w:p>
        </w:tc>
        <w:tc>
          <w:tcPr>
            <w:tcW w:w="1260" w:type="dxa"/>
            <w:noWrap/>
            <w:hideMark/>
          </w:tcPr>
          <w:p w14:paraId="60FD30AC" w14:textId="65AF02C8" w:rsidR="004F2C12" w:rsidRPr="004F2C12" w:rsidRDefault="004F2C12" w:rsidP="003A57C8">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4F2C12" w:rsidRPr="004F2C12" w14:paraId="3FDCCFF6" w14:textId="77777777" w:rsidTr="003A57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5" w:type="dxa"/>
            <w:vMerge/>
            <w:hideMark/>
          </w:tcPr>
          <w:p w14:paraId="1C60352C" w14:textId="77777777" w:rsidR="004F2C12" w:rsidRPr="004F2C12" w:rsidRDefault="004F2C12" w:rsidP="004F2C12">
            <w:pPr>
              <w:jc w:val="both"/>
              <w:rPr>
                <w:rFonts w:ascii="Baskerville Old Face" w:hAnsi="Baskerville Old Face" w:cs="Times New Roman"/>
                <w:sz w:val="20"/>
                <w:szCs w:val="20"/>
              </w:rPr>
            </w:pPr>
          </w:p>
        </w:tc>
        <w:tc>
          <w:tcPr>
            <w:tcW w:w="893" w:type="dxa"/>
            <w:hideMark/>
          </w:tcPr>
          <w:p w14:paraId="31E4A3D7"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MALE</w:t>
            </w:r>
          </w:p>
        </w:tc>
        <w:tc>
          <w:tcPr>
            <w:tcW w:w="1177" w:type="dxa"/>
            <w:hideMark/>
          </w:tcPr>
          <w:p w14:paraId="2B6E3431" w14:textId="060AAE38"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MALE</w:t>
            </w:r>
          </w:p>
        </w:tc>
        <w:tc>
          <w:tcPr>
            <w:tcW w:w="1270" w:type="dxa"/>
            <w:hideMark/>
          </w:tcPr>
          <w:p w14:paraId="3DD50169"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VARIANCE</w:t>
            </w:r>
          </w:p>
        </w:tc>
        <w:tc>
          <w:tcPr>
            <w:tcW w:w="1080" w:type="dxa"/>
            <w:hideMark/>
          </w:tcPr>
          <w:p w14:paraId="2FA3E92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FEMALE</w:t>
            </w:r>
          </w:p>
        </w:tc>
        <w:tc>
          <w:tcPr>
            <w:tcW w:w="1170" w:type="dxa"/>
            <w:hideMark/>
          </w:tcPr>
          <w:p w14:paraId="3E34F029"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FEMALE</w:t>
            </w:r>
          </w:p>
        </w:tc>
        <w:tc>
          <w:tcPr>
            <w:tcW w:w="1260" w:type="dxa"/>
            <w:hideMark/>
          </w:tcPr>
          <w:p w14:paraId="0FEE310F"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VARIANCE</w:t>
            </w:r>
          </w:p>
        </w:tc>
      </w:tr>
      <w:tr w:rsidR="004F2C12" w:rsidRPr="004F2C12" w14:paraId="311E37F3"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1522DD19"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CG’s OFFICE</w:t>
            </w:r>
          </w:p>
        </w:tc>
        <w:tc>
          <w:tcPr>
            <w:tcW w:w="893" w:type="dxa"/>
            <w:hideMark/>
          </w:tcPr>
          <w:p w14:paraId="7588BB8E"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12</w:t>
            </w:r>
          </w:p>
        </w:tc>
        <w:tc>
          <w:tcPr>
            <w:tcW w:w="1177" w:type="dxa"/>
            <w:hideMark/>
          </w:tcPr>
          <w:p w14:paraId="19902EA0"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10</w:t>
            </w:r>
          </w:p>
        </w:tc>
        <w:tc>
          <w:tcPr>
            <w:tcW w:w="1270" w:type="dxa"/>
            <w:hideMark/>
          </w:tcPr>
          <w:p w14:paraId="4B59634D"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080" w:type="dxa"/>
            <w:hideMark/>
          </w:tcPr>
          <w:p w14:paraId="3F435D23"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14</w:t>
            </w:r>
          </w:p>
        </w:tc>
        <w:tc>
          <w:tcPr>
            <w:tcW w:w="1170" w:type="dxa"/>
            <w:hideMark/>
          </w:tcPr>
          <w:p w14:paraId="1658CB3A"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13</w:t>
            </w:r>
          </w:p>
        </w:tc>
        <w:tc>
          <w:tcPr>
            <w:tcW w:w="1260" w:type="dxa"/>
            <w:hideMark/>
          </w:tcPr>
          <w:p w14:paraId="67793CCB"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r>
      <w:tr w:rsidR="004F2C12" w:rsidRPr="004F2C12" w14:paraId="7A223F27"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6F5536F2"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RIID</w:t>
            </w:r>
          </w:p>
        </w:tc>
        <w:tc>
          <w:tcPr>
            <w:tcW w:w="893" w:type="dxa"/>
            <w:hideMark/>
          </w:tcPr>
          <w:p w14:paraId="3329E1A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7</w:t>
            </w:r>
          </w:p>
        </w:tc>
        <w:tc>
          <w:tcPr>
            <w:tcW w:w="1177" w:type="dxa"/>
            <w:hideMark/>
          </w:tcPr>
          <w:p w14:paraId="68C32B6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8</w:t>
            </w:r>
          </w:p>
        </w:tc>
        <w:tc>
          <w:tcPr>
            <w:tcW w:w="1270" w:type="dxa"/>
            <w:hideMark/>
          </w:tcPr>
          <w:p w14:paraId="2265A0F5"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c>
          <w:tcPr>
            <w:tcW w:w="1080" w:type="dxa"/>
            <w:hideMark/>
          </w:tcPr>
          <w:p w14:paraId="2FDC9EDD"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7</w:t>
            </w:r>
          </w:p>
        </w:tc>
        <w:tc>
          <w:tcPr>
            <w:tcW w:w="1170" w:type="dxa"/>
            <w:hideMark/>
          </w:tcPr>
          <w:p w14:paraId="3DC73F2E"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7</w:t>
            </w:r>
          </w:p>
        </w:tc>
        <w:tc>
          <w:tcPr>
            <w:tcW w:w="1260" w:type="dxa"/>
            <w:hideMark/>
          </w:tcPr>
          <w:p w14:paraId="1FCF98B6"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71FF6E94"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0EDDAE7C"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HUMAN RESOURCE</w:t>
            </w:r>
          </w:p>
        </w:tc>
        <w:tc>
          <w:tcPr>
            <w:tcW w:w="893" w:type="dxa"/>
            <w:hideMark/>
          </w:tcPr>
          <w:p w14:paraId="697B9380"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8</w:t>
            </w:r>
          </w:p>
        </w:tc>
        <w:tc>
          <w:tcPr>
            <w:tcW w:w="1177" w:type="dxa"/>
            <w:hideMark/>
          </w:tcPr>
          <w:p w14:paraId="44D68824"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11</w:t>
            </w:r>
          </w:p>
        </w:tc>
        <w:tc>
          <w:tcPr>
            <w:tcW w:w="1270" w:type="dxa"/>
            <w:hideMark/>
          </w:tcPr>
          <w:p w14:paraId="7531A378"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080" w:type="dxa"/>
            <w:hideMark/>
          </w:tcPr>
          <w:p w14:paraId="0C591CFF"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25</w:t>
            </w:r>
          </w:p>
        </w:tc>
        <w:tc>
          <w:tcPr>
            <w:tcW w:w="1170" w:type="dxa"/>
            <w:hideMark/>
          </w:tcPr>
          <w:p w14:paraId="51BA136A"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25</w:t>
            </w:r>
          </w:p>
        </w:tc>
        <w:tc>
          <w:tcPr>
            <w:tcW w:w="1260" w:type="dxa"/>
            <w:hideMark/>
          </w:tcPr>
          <w:p w14:paraId="6A87ACDC"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2659A26B"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6F420ADD"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STAFF WELFARE</w:t>
            </w:r>
          </w:p>
        </w:tc>
        <w:tc>
          <w:tcPr>
            <w:tcW w:w="893" w:type="dxa"/>
            <w:hideMark/>
          </w:tcPr>
          <w:p w14:paraId="53A7BE17"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w:t>
            </w:r>
          </w:p>
        </w:tc>
        <w:tc>
          <w:tcPr>
            <w:tcW w:w="1177" w:type="dxa"/>
            <w:hideMark/>
          </w:tcPr>
          <w:p w14:paraId="6534514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270" w:type="dxa"/>
            <w:hideMark/>
          </w:tcPr>
          <w:p w14:paraId="231F9B64"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c>
          <w:tcPr>
            <w:tcW w:w="1080" w:type="dxa"/>
            <w:hideMark/>
          </w:tcPr>
          <w:p w14:paraId="0E990972"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170" w:type="dxa"/>
            <w:hideMark/>
          </w:tcPr>
          <w:p w14:paraId="200C2425"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260" w:type="dxa"/>
            <w:hideMark/>
          </w:tcPr>
          <w:p w14:paraId="0CD36F18"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28B6AC41"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57B8AD46"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ADMIN</w:t>
            </w:r>
          </w:p>
        </w:tc>
        <w:tc>
          <w:tcPr>
            <w:tcW w:w="893" w:type="dxa"/>
            <w:hideMark/>
          </w:tcPr>
          <w:p w14:paraId="62DC3E6E"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147</w:t>
            </w:r>
          </w:p>
        </w:tc>
        <w:tc>
          <w:tcPr>
            <w:tcW w:w="1177" w:type="dxa"/>
            <w:hideMark/>
          </w:tcPr>
          <w:p w14:paraId="3653E04C"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150</w:t>
            </w:r>
          </w:p>
        </w:tc>
        <w:tc>
          <w:tcPr>
            <w:tcW w:w="1270" w:type="dxa"/>
            <w:hideMark/>
          </w:tcPr>
          <w:p w14:paraId="4AD09162"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080" w:type="dxa"/>
            <w:hideMark/>
          </w:tcPr>
          <w:p w14:paraId="3E664B45"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7</w:t>
            </w:r>
          </w:p>
        </w:tc>
        <w:tc>
          <w:tcPr>
            <w:tcW w:w="1170" w:type="dxa"/>
            <w:hideMark/>
          </w:tcPr>
          <w:p w14:paraId="75627AC4"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6</w:t>
            </w:r>
          </w:p>
        </w:tc>
        <w:tc>
          <w:tcPr>
            <w:tcW w:w="1260" w:type="dxa"/>
            <w:hideMark/>
          </w:tcPr>
          <w:p w14:paraId="5E0CB633"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r>
      <w:tr w:rsidR="004F2C12" w:rsidRPr="004F2C12" w14:paraId="01F1D656"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02FAF868"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CUSTOMS</w:t>
            </w:r>
          </w:p>
        </w:tc>
        <w:tc>
          <w:tcPr>
            <w:tcW w:w="893" w:type="dxa"/>
            <w:hideMark/>
          </w:tcPr>
          <w:p w14:paraId="7118697F"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158</w:t>
            </w:r>
          </w:p>
        </w:tc>
        <w:tc>
          <w:tcPr>
            <w:tcW w:w="1177" w:type="dxa"/>
            <w:hideMark/>
          </w:tcPr>
          <w:p w14:paraId="5094246D"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162</w:t>
            </w:r>
          </w:p>
        </w:tc>
        <w:tc>
          <w:tcPr>
            <w:tcW w:w="1270" w:type="dxa"/>
            <w:hideMark/>
          </w:tcPr>
          <w:p w14:paraId="5E463ABE"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w:t>
            </w:r>
          </w:p>
        </w:tc>
        <w:tc>
          <w:tcPr>
            <w:tcW w:w="1080" w:type="dxa"/>
            <w:hideMark/>
          </w:tcPr>
          <w:p w14:paraId="4748805C"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46</w:t>
            </w:r>
          </w:p>
        </w:tc>
        <w:tc>
          <w:tcPr>
            <w:tcW w:w="1170" w:type="dxa"/>
            <w:hideMark/>
          </w:tcPr>
          <w:p w14:paraId="4371347F"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47</w:t>
            </w:r>
          </w:p>
        </w:tc>
        <w:tc>
          <w:tcPr>
            <w:tcW w:w="1260" w:type="dxa"/>
            <w:hideMark/>
          </w:tcPr>
          <w:p w14:paraId="68F7B544"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r>
      <w:tr w:rsidR="004F2C12" w:rsidRPr="004F2C12" w14:paraId="2D3D394F"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35B8528C"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NTR</w:t>
            </w:r>
          </w:p>
        </w:tc>
        <w:tc>
          <w:tcPr>
            <w:tcW w:w="893" w:type="dxa"/>
            <w:hideMark/>
          </w:tcPr>
          <w:p w14:paraId="7B438C44"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31</w:t>
            </w:r>
          </w:p>
        </w:tc>
        <w:tc>
          <w:tcPr>
            <w:tcW w:w="1177" w:type="dxa"/>
            <w:hideMark/>
          </w:tcPr>
          <w:p w14:paraId="69690184"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35</w:t>
            </w:r>
          </w:p>
        </w:tc>
        <w:tc>
          <w:tcPr>
            <w:tcW w:w="1270" w:type="dxa"/>
            <w:hideMark/>
          </w:tcPr>
          <w:p w14:paraId="7C6C05AF"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w:t>
            </w:r>
          </w:p>
        </w:tc>
        <w:tc>
          <w:tcPr>
            <w:tcW w:w="1080" w:type="dxa"/>
            <w:hideMark/>
          </w:tcPr>
          <w:p w14:paraId="5722F785"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20</w:t>
            </w:r>
          </w:p>
        </w:tc>
        <w:tc>
          <w:tcPr>
            <w:tcW w:w="1170" w:type="dxa"/>
            <w:hideMark/>
          </w:tcPr>
          <w:p w14:paraId="737E8759"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22</w:t>
            </w:r>
          </w:p>
        </w:tc>
        <w:tc>
          <w:tcPr>
            <w:tcW w:w="1260" w:type="dxa"/>
            <w:hideMark/>
          </w:tcPr>
          <w:p w14:paraId="581B5FF6"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r>
      <w:tr w:rsidR="004F2C12" w:rsidRPr="004F2C12" w14:paraId="0DBB5230"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20CC567B"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F &amp; B</w:t>
            </w:r>
          </w:p>
        </w:tc>
        <w:tc>
          <w:tcPr>
            <w:tcW w:w="893" w:type="dxa"/>
            <w:hideMark/>
          </w:tcPr>
          <w:p w14:paraId="5A1E6ACC"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13</w:t>
            </w:r>
          </w:p>
        </w:tc>
        <w:tc>
          <w:tcPr>
            <w:tcW w:w="1177" w:type="dxa"/>
            <w:hideMark/>
          </w:tcPr>
          <w:p w14:paraId="5BF40433"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13</w:t>
            </w:r>
          </w:p>
        </w:tc>
        <w:tc>
          <w:tcPr>
            <w:tcW w:w="1270" w:type="dxa"/>
            <w:hideMark/>
          </w:tcPr>
          <w:p w14:paraId="3B520E8A"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080" w:type="dxa"/>
            <w:hideMark/>
          </w:tcPr>
          <w:p w14:paraId="5604A131"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8</w:t>
            </w:r>
          </w:p>
        </w:tc>
        <w:tc>
          <w:tcPr>
            <w:tcW w:w="1170" w:type="dxa"/>
            <w:hideMark/>
          </w:tcPr>
          <w:p w14:paraId="0AA8C592"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9</w:t>
            </w:r>
          </w:p>
        </w:tc>
        <w:tc>
          <w:tcPr>
            <w:tcW w:w="1260" w:type="dxa"/>
            <w:hideMark/>
          </w:tcPr>
          <w:p w14:paraId="07B033AE"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r>
      <w:tr w:rsidR="004F2C12" w:rsidRPr="004F2C12" w14:paraId="25A54C30"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664CA2D9"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MRP</w:t>
            </w:r>
          </w:p>
        </w:tc>
        <w:tc>
          <w:tcPr>
            <w:tcW w:w="893" w:type="dxa"/>
            <w:hideMark/>
          </w:tcPr>
          <w:p w14:paraId="25104D81"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16</w:t>
            </w:r>
          </w:p>
        </w:tc>
        <w:tc>
          <w:tcPr>
            <w:tcW w:w="1177" w:type="dxa"/>
            <w:hideMark/>
          </w:tcPr>
          <w:p w14:paraId="7D7A0C33"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12</w:t>
            </w:r>
          </w:p>
        </w:tc>
        <w:tc>
          <w:tcPr>
            <w:tcW w:w="1270" w:type="dxa"/>
            <w:hideMark/>
          </w:tcPr>
          <w:p w14:paraId="4E330586"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w:t>
            </w:r>
          </w:p>
        </w:tc>
        <w:tc>
          <w:tcPr>
            <w:tcW w:w="1080" w:type="dxa"/>
            <w:hideMark/>
          </w:tcPr>
          <w:p w14:paraId="1667CF68"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170" w:type="dxa"/>
            <w:hideMark/>
          </w:tcPr>
          <w:p w14:paraId="278C8793"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260" w:type="dxa"/>
            <w:hideMark/>
          </w:tcPr>
          <w:p w14:paraId="5539CE1F"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71F7B198"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51688782"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ICT</w:t>
            </w:r>
          </w:p>
        </w:tc>
        <w:tc>
          <w:tcPr>
            <w:tcW w:w="893" w:type="dxa"/>
            <w:hideMark/>
          </w:tcPr>
          <w:p w14:paraId="3223574D"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27</w:t>
            </w:r>
          </w:p>
        </w:tc>
        <w:tc>
          <w:tcPr>
            <w:tcW w:w="1177" w:type="dxa"/>
            <w:hideMark/>
          </w:tcPr>
          <w:p w14:paraId="10D8ECF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26</w:t>
            </w:r>
          </w:p>
        </w:tc>
        <w:tc>
          <w:tcPr>
            <w:tcW w:w="1270" w:type="dxa"/>
            <w:hideMark/>
          </w:tcPr>
          <w:p w14:paraId="6D082203"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c>
          <w:tcPr>
            <w:tcW w:w="1080" w:type="dxa"/>
            <w:hideMark/>
          </w:tcPr>
          <w:p w14:paraId="6C0DBC35"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170" w:type="dxa"/>
            <w:hideMark/>
          </w:tcPr>
          <w:p w14:paraId="65FA257A"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260" w:type="dxa"/>
            <w:hideMark/>
          </w:tcPr>
          <w:p w14:paraId="487CACA2"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5462AD45"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4664FFE4"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ICA</w:t>
            </w:r>
          </w:p>
        </w:tc>
        <w:tc>
          <w:tcPr>
            <w:tcW w:w="893" w:type="dxa"/>
            <w:hideMark/>
          </w:tcPr>
          <w:p w14:paraId="2BB9A86B"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7</w:t>
            </w:r>
          </w:p>
        </w:tc>
        <w:tc>
          <w:tcPr>
            <w:tcW w:w="1177" w:type="dxa"/>
            <w:hideMark/>
          </w:tcPr>
          <w:p w14:paraId="0C7EDB81"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9</w:t>
            </w:r>
          </w:p>
        </w:tc>
        <w:tc>
          <w:tcPr>
            <w:tcW w:w="1270" w:type="dxa"/>
            <w:hideMark/>
          </w:tcPr>
          <w:p w14:paraId="79B7940A"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080" w:type="dxa"/>
            <w:hideMark/>
          </w:tcPr>
          <w:p w14:paraId="12B73BF9"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170" w:type="dxa"/>
            <w:hideMark/>
          </w:tcPr>
          <w:p w14:paraId="1A846825"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4</w:t>
            </w:r>
          </w:p>
        </w:tc>
        <w:tc>
          <w:tcPr>
            <w:tcW w:w="1260" w:type="dxa"/>
            <w:hideMark/>
          </w:tcPr>
          <w:p w14:paraId="649C1F1E"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r>
      <w:tr w:rsidR="004F2C12" w:rsidRPr="004F2C12" w14:paraId="00181ADB"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689E1511"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L&amp;CS</w:t>
            </w:r>
          </w:p>
        </w:tc>
        <w:tc>
          <w:tcPr>
            <w:tcW w:w="893" w:type="dxa"/>
            <w:hideMark/>
          </w:tcPr>
          <w:p w14:paraId="139B27B0"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9</w:t>
            </w:r>
          </w:p>
        </w:tc>
        <w:tc>
          <w:tcPr>
            <w:tcW w:w="1177" w:type="dxa"/>
            <w:hideMark/>
          </w:tcPr>
          <w:p w14:paraId="424E3DBD"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10</w:t>
            </w:r>
          </w:p>
        </w:tc>
        <w:tc>
          <w:tcPr>
            <w:tcW w:w="1270" w:type="dxa"/>
            <w:hideMark/>
          </w:tcPr>
          <w:p w14:paraId="4EA35B58"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w:t>
            </w:r>
          </w:p>
        </w:tc>
        <w:tc>
          <w:tcPr>
            <w:tcW w:w="1080" w:type="dxa"/>
            <w:hideMark/>
          </w:tcPr>
          <w:p w14:paraId="6BF41715"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6</w:t>
            </w:r>
          </w:p>
        </w:tc>
        <w:tc>
          <w:tcPr>
            <w:tcW w:w="1170" w:type="dxa"/>
            <w:hideMark/>
          </w:tcPr>
          <w:p w14:paraId="0E2671D9"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6</w:t>
            </w:r>
          </w:p>
        </w:tc>
        <w:tc>
          <w:tcPr>
            <w:tcW w:w="1260" w:type="dxa"/>
            <w:hideMark/>
          </w:tcPr>
          <w:p w14:paraId="73EA56FD"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116256A3" w14:textId="77777777" w:rsidTr="003A57C8">
        <w:trPr>
          <w:trHeight w:val="372"/>
        </w:trPr>
        <w:tc>
          <w:tcPr>
            <w:cnfStyle w:val="001000000000" w:firstRow="0" w:lastRow="0" w:firstColumn="1" w:lastColumn="0" w:oddVBand="0" w:evenVBand="0" w:oddHBand="0" w:evenHBand="0" w:firstRowFirstColumn="0" w:firstRowLastColumn="0" w:lastRowFirstColumn="0" w:lastRowLastColumn="0"/>
            <w:tcW w:w="2325" w:type="dxa"/>
            <w:hideMark/>
          </w:tcPr>
          <w:p w14:paraId="37CAE940"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BOARD SECRETARIAT</w:t>
            </w:r>
          </w:p>
        </w:tc>
        <w:tc>
          <w:tcPr>
            <w:tcW w:w="893" w:type="dxa"/>
            <w:hideMark/>
          </w:tcPr>
          <w:p w14:paraId="7E62FDBC"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177" w:type="dxa"/>
            <w:hideMark/>
          </w:tcPr>
          <w:p w14:paraId="36AD19B2"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c>
          <w:tcPr>
            <w:tcW w:w="1270" w:type="dxa"/>
            <w:hideMark/>
          </w:tcPr>
          <w:p w14:paraId="29BF9A02"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080" w:type="dxa"/>
            <w:hideMark/>
          </w:tcPr>
          <w:p w14:paraId="3683F81F"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170" w:type="dxa"/>
            <w:hideMark/>
          </w:tcPr>
          <w:p w14:paraId="7FD29C58"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c>
          <w:tcPr>
            <w:tcW w:w="1260" w:type="dxa"/>
            <w:hideMark/>
          </w:tcPr>
          <w:p w14:paraId="4DC4C910"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38379922" w14:textId="77777777" w:rsidTr="003A57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04A26D4E"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MODERNIZATION</w:t>
            </w:r>
          </w:p>
        </w:tc>
        <w:tc>
          <w:tcPr>
            <w:tcW w:w="893" w:type="dxa"/>
            <w:hideMark/>
          </w:tcPr>
          <w:p w14:paraId="664804C1"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18</w:t>
            </w:r>
          </w:p>
        </w:tc>
        <w:tc>
          <w:tcPr>
            <w:tcW w:w="1177" w:type="dxa"/>
            <w:hideMark/>
          </w:tcPr>
          <w:p w14:paraId="73EB3B86"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15</w:t>
            </w:r>
          </w:p>
        </w:tc>
        <w:tc>
          <w:tcPr>
            <w:tcW w:w="1270" w:type="dxa"/>
            <w:hideMark/>
          </w:tcPr>
          <w:p w14:paraId="22577499"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080" w:type="dxa"/>
            <w:hideMark/>
          </w:tcPr>
          <w:p w14:paraId="1020E13C"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170" w:type="dxa"/>
            <w:hideMark/>
          </w:tcPr>
          <w:p w14:paraId="586D717E"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3</w:t>
            </w:r>
          </w:p>
        </w:tc>
        <w:tc>
          <w:tcPr>
            <w:tcW w:w="1260" w:type="dxa"/>
            <w:hideMark/>
          </w:tcPr>
          <w:p w14:paraId="79A7DF8A"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0</w:t>
            </w:r>
          </w:p>
        </w:tc>
      </w:tr>
      <w:tr w:rsidR="004F2C12" w:rsidRPr="004F2C12" w14:paraId="12957C47" w14:textId="77777777" w:rsidTr="003A57C8">
        <w:trPr>
          <w:trHeight w:val="288"/>
        </w:trPr>
        <w:tc>
          <w:tcPr>
            <w:cnfStyle w:val="001000000000" w:firstRow="0" w:lastRow="0" w:firstColumn="1" w:lastColumn="0" w:oddVBand="0" w:evenVBand="0" w:oddHBand="0" w:evenHBand="0" w:firstRowFirstColumn="0" w:firstRowLastColumn="0" w:lastRowFirstColumn="0" w:lastRowLastColumn="0"/>
            <w:tcW w:w="2325" w:type="dxa"/>
            <w:hideMark/>
          </w:tcPr>
          <w:p w14:paraId="47FA8BB0" w14:textId="77777777" w:rsidR="004F2C12" w:rsidRPr="004F2C12" w:rsidRDefault="004F2C12" w:rsidP="004F2C12">
            <w:pPr>
              <w:jc w:val="both"/>
              <w:rPr>
                <w:rFonts w:ascii="Baskerville Old Face" w:hAnsi="Baskerville Old Face" w:cs="Times New Roman"/>
                <w:b w:val="0"/>
                <w:bCs w:val="0"/>
                <w:sz w:val="20"/>
                <w:szCs w:val="20"/>
              </w:rPr>
            </w:pPr>
            <w:r w:rsidRPr="004F2C12">
              <w:rPr>
                <w:rFonts w:ascii="Baskerville Old Face" w:hAnsi="Baskerville Old Face" w:cs="Times New Roman"/>
                <w:b w:val="0"/>
                <w:bCs w:val="0"/>
                <w:sz w:val="20"/>
                <w:szCs w:val="20"/>
                <w:lang w:val="en-GB"/>
              </w:rPr>
              <w:t>DTD</w:t>
            </w:r>
          </w:p>
        </w:tc>
        <w:tc>
          <w:tcPr>
            <w:tcW w:w="893" w:type="dxa"/>
            <w:hideMark/>
          </w:tcPr>
          <w:p w14:paraId="71CDACB6"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152</w:t>
            </w:r>
          </w:p>
        </w:tc>
        <w:tc>
          <w:tcPr>
            <w:tcW w:w="1177" w:type="dxa"/>
            <w:hideMark/>
          </w:tcPr>
          <w:p w14:paraId="7A67B0C8"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160</w:t>
            </w:r>
          </w:p>
        </w:tc>
        <w:tc>
          <w:tcPr>
            <w:tcW w:w="1270" w:type="dxa"/>
            <w:hideMark/>
          </w:tcPr>
          <w:p w14:paraId="76F5F3CC"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-8</w:t>
            </w:r>
          </w:p>
        </w:tc>
        <w:tc>
          <w:tcPr>
            <w:tcW w:w="1080" w:type="dxa"/>
            <w:hideMark/>
          </w:tcPr>
          <w:p w14:paraId="5496BEC9"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62</w:t>
            </w:r>
          </w:p>
        </w:tc>
        <w:tc>
          <w:tcPr>
            <w:tcW w:w="1170" w:type="dxa"/>
            <w:hideMark/>
          </w:tcPr>
          <w:p w14:paraId="36221197"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64</w:t>
            </w:r>
          </w:p>
        </w:tc>
        <w:tc>
          <w:tcPr>
            <w:tcW w:w="1260" w:type="dxa"/>
            <w:hideMark/>
          </w:tcPr>
          <w:p w14:paraId="5409AF43" w14:textId="77777777" w:rsidR="004F2C12" w:rsidRPr="004F2C12" w:rsidRDefault="004F2C12" w:rsidP="003A57C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F2C12">
              <w:rPr>
                <w:rFonts w:ascii="Baskerville Old Face" w:hAnsi="Baskerville Old Face" w:cs="Times New Roman"/>
                <w:sz w:val="20"/>
                <w:szCs w:val="20"/>
                <w:lang w:val="en-GB"/>
              </w:rPr>
              <w:t>-2</w:t>
            </w:r>
          </w:p>
        </w:tc>
      </w:tr>
      <w:tr w:rsidR="004F2C12" w:rsidRPr="004F2C12" w14:paraId="10D16664" w14:textId="77777777" w:rsidTr="003A57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25" w:type="dxa"/>
            <w:hideMark/>
          </w:tcPr>
          <w:p w14:paraId="0BCD6898" w14:textId="77777777" w:rsidR="004F2C12" w:rsidRPr="004F2C12" w:rsidRDefault="004F2C12" w:rsidP="004F2C12">
            <w:pPr>
              <w:jc w:val="both"/>
              <w:rPr>
                <w:rFonts w:ascii="Baskerville Old Face" w:hAnsi="Baskerville Old Face" w:cs="Times New Roman"/>
                <w:sz w:val="20"/>
                <w:szCs w:val="20"/>
              </w:rPr>
            </w:pPr>
            <w:r w:rsidRPr="004F2C12">
              <w:rPr>
                <w:rFonts w:ascii="Baskerville Old Face" w:hAnsi="Baskerville Old Face" w:cs="Times New Roman"/>
                <w:sz w:val="20"/>
                <w:szCs w:val="20"/>
                <w:lang w:val="en-GB"/>
              </w:rPr>
              <w:t>TOTAL</w:t>
            </w:r>
          </w:p>
        </w:tc>
        <w:tc>
          <w:tcPr>
            <w:tcW w:w="893" w:type="dxa"/>
            <w:hideMark/>
          </w:tcPr>
          <w:p w14:paraId="6232368E"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611</w:t>
            </w:r>
          </w:p>
        </w:tc>
        <w:tc>
          <w:tcPr>
            <w:tcW w:w="1177" w:type="dxa"/>
            <w:hideMark/>
          </w:tcPr>
          <w:p w14:paraId="3B63CD4A"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626</w:t>
            </w:r>
          </w:p>
        </w:tc>
        <w:tc>
          <w:tcPr>
            <w:tcW w:w="1270" w:type="dxa"/>
            <w:hideMark/>
          </w:tcPr>
          <w:p w14:paraId="7EC75257"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-15</w:t>
            </w:r>
          </w:p>
        </w:tc>
        <w:tc>
          <w:tcPr>
            <w:tcW w:w="1080" w:type="dxa"/>
            <w:hideMark/>
          </w:tcPr>
          <w:p w14:paraId="3FAED83B"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206</w:t>
            </w:r>
          </w:p>
        </w:tc>
        <w:tc>
          <w:tcPr>
            <w:tcW w:w="1170" w:type="dxa"/>
            <w:hideMark/>
          </w:tcPr>
          <w:p w14:paraId="31AA1664"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211</w:t>
            </w:r>
          </w:p>
        </w:tc>
        <w:tc>
          <w:tcPr>
            <w:tcW w:w="1260" w:type="dxa"/>
            <w:hideMark/>
          </w:tcPr>
          <w:p w14:paraId="6529D4B1" w14:textId="77777777" w:rsidR="004F2C12" w:rsidRPr="004F2C12" w:rsidRDefault="004F2C12" w:rsidP="003A57C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4F2C12">
              <w:rPr>
                <w:rFonts w:ascii="Baskerville Old Face" w:hAnsi="Baskerville Old Face" w:cs="Times New Roman"/>
                <w:b/>
                <w:bCs/>
                <w:sz w:val="20"/>
                <w:szCs w:val="20"/>
                <w:lang w:val="en-GB"/>
              </w:rPr>
              <w:t>-5</w:t>
            </w:r>
          </w:p>
        </w:tc>
      </w:tr>
    </w:tbl>
    <w:p w14:paraId="474442B0" w14:textId="65EC37BF" w:rsidR="00433A4F" w:rsidRPr="00BC7192" w:rsidRDefault="00BC7192" w:rsidP="00C77C72">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7FB459DF" w14:textId="703DFD05" w:rsidR="001347EB" w:rsidRPr="00520DD2" w:rsidRDefault="00395E0D" w:rsidP="00C03BAC">
      <w:pPr>
        <w:pStyle w:val="Heading3"/>
        <w:rPr>
          <w:rFonts w:ascii="Baskerville Old Face" w:hAnsi="Baskerville Old Face"/>
          <w:b/>
          <w:bCs/>
        </w:rPr>
      </w:pPr>
      <w:bookmarkStart w:id="45" w:name="_Toc198043926"/>
      <w:r w:rsidRPr="00520DD2">
        <w:rPr>
          <w:rFonts w:ascii="Baskerville Old Face" w:hAnsi="Baskerville Old Face"/>
          <w:b/>
          <w:bCs/>
        </w:rPr>
        <w:t xml:space="preserve">3.1.2 </w:t>
      </w:r>
      <w:r w:rsidR="00C12D44" w:rsidRPr="00520DD2">
        <w:rPr>
          <w:rFonts w:ascii="Baskerville Old Face" w:hAnsi="Baskerville Old Face"/>
          <w:b/>
          <w:bCs/>
        </w:rPr>
        <w:t>Staff Separation</w:t>
      </w:r>
      <w:bookmarkEnd w:id="45"/>
      <w:r w:rsidR="00002021" w:rsidRPr="00520DD2">
        <w:rPr>
          <w:rFonts w:ascii="Baskerville Old Face" w:hAnsi="Baskerville Old Face"/>
          <w:b/>
          <w:bCs/>
        </w:rPr>
        <w:t xml:space="preserve"> </w:t>
      </w:r>
    </w:p>
    <w:p w14:paraId="42194256" w14:textId="2A837AF0" w:rsidR="001347EB" w:rsidRPr="00D4450A" w:rsidRDefault="001347EB" w:rsidP="003A57C8">
      <w:pPr>
        <w:spacing w:line="276" w:lineRule="auto"/>
        <w:jc w:val="both"/>
        <w:rPr>
          <w:rFonts w:ascii="Baskerville Old Face" w:hAnsi="Baskerville Old Face" w:cs="Times New Roman"/>
          <w:b/>
          <w:bCs/>
          <w:sz w:val="24"/>
          <w:szCs w:val="24"/>
        </w:rPr>
      </w:pPr>
      <w:r w:rsidRPr="00B811D8">
        <w:rPr>
          <w:rFonts w:ascii="Baskerville Old Face" w:eastAsia="Times New Roman" w:hAnsi="Baskerville Old Face" w:cs="Times New Roman"/>
          <w:sz w:val="24"/>
          <w:szCs w:val="24"/>
        </w:rPr>
        <w:t xml:space="preserve">Table </w:t>
      </w:r>
      <w:r w:rsidR="00284161" w:rsidRPr="00B811D8">
        <w:rPr>
          <w:rFonts w:ascii="Baskerville Old Face" w:eastAsia="Times New Roman" w:hAnsi="Baskerville Old Face" w:cs="Times New Roman"/>
          <w:sz w:val="24"/>
          <w:szCs w:val="24"/>
        </w:rPr>
        <w:t>8</w:t>
      </w:r>
      <w:r w:rsidRPr="00B811D8">
        <w:rPr>
          <w:rFonts w:ascii="Baskerville Old Face" w:eastAsia="Times New Roman" w:hAnsi="Baskerville Old Face" w:cs="Times New Roman"/>
          <w:sz w:val="24"/>
          <w:szCs w:val="24"/>
        </w:rPr>
        <w:t xml:space="preserve"> provides a breakdown of staff separations by department for the years 2023 and 2024, while Figure 5</w:t>
      </w:r>
      <w:r w:rsidRPr="00D4450A">
        <w:rPr>
          <w:rFonts w:ascii="Baskerville Old Face" w:eastAsia="Times New Roman" w:hAnsi="Baskerville Old Face" w:cs="Times New Roman"/>
          <w:sz w:val="24"/>
          <w:szCs w:val="24"/>
        </w:rPr>
        <w:t xml:space="preserve"> illustrates separations by category. In 2024, a total of </w:t>
      </w:r>
      <w:r w:rsidRPr="00B811D8">
        <w:rPr>
          <w:rFonts w:ascii="Baskerville Old Face" w:eastAsia="Times New Roman" w:hAnsi="Baskerville Old Face" w:cs="Times New Roman"/>
          <w:sz w:val="24"/>
          <w:szCs w:val="24"/>
        </w:rPr>
        <w:t>45 staff members exited the Authority for various reasons, representing an increase from 32 separations</w:t>
      </w:r>
      <w:r w:rsidRPr="00D4450A">
        <w:rPr>
          <w:rFonts w:ascii="Baskerville Old Face" w:eastAsia="Times New Roman" w:hAnsi="Baskerville Old Face" w:cs="Times New Roman"/>
          <w:sz w:val="24"/>
          <w:szCs w:val="24"/>
        </w:rPr>
        <w:t xml:space="preserve"> recorded in 2023.</w:t>
      </w:r>
    </w:p>
    <w:p w14:paraId="5E12B342" w14:textId="77777777" w:rsidR="001347EB" w:rsidRDefault="001347EB" w:rsidP="001347EB">
      <w:pPr>
        <w:spacing w:before="100" w:beforeAutospacing="1" w:after="100" w:afterAutospacing="1" w:line="276" w:lineRule="auto"/>
        <w:jc w:val="both"/>
        <w:rPr>
          <w:rFonts w:ascii="Baskerville Old Face" w:eastAsia="Times New Roman" w:hAnsi="Baskerville Old Face" w:cs="Times New Roman"/>
          <w:sz w:val="24"/>
          <w:szCs w:val="24"/>
        </w:rPr>
      </w:pPr>
      <w:r w:rsidRPr="00B811D8">
        <w:rPr>
          <w:rFonts w:ascii="Baskerville Old Face" w:eastAsia="Times New Roman" w:hAnsi="Baskerville Old Face" w:cs="Times New Roman"/>
          <w:sz w:val="24"/>
          <w:szCs w:val="24"/>
        </w:rPr>
        <w:t>The Administrative Department recorded the highest number of staff separations in 2024, with 11 exits, followed by the CSD and the DTD, with 9 and 8 separations, respectively. This trend mirrors that of 2023, during which the Administrative Department also led with 8 separations, while both the CSD and DTD reported 7 departures each.</w:t>
      </w:r>
    </w:p>
    <w:p w14:paraId="6B56E155" w14:textId="77777777" w:rsidR="00001032" w:rsidRDefault="00001032" w:rsidP="001347EB">
      <w:pPr>
        <w:spacing w:before="100" w:beforeAutospacing="1" w:after="100" w:afterAutospacing="1" w:line="276" w:lineRule="auto"/>
        <w:jc w:val="both"/>
        <w:rPr>
          <w:rFonts w:ascii="Baskerville Old Face" w:eastAsia="Times New Roman" w:hAnsi="Baskerville Old Face" w:cs="Times New Roman"/>
          <w:sz w:val="24"/>
          <w:szCs w:val="24"/>
        </w:rPr>
      </w:pPr>
    </w:p>
    <w:p w14:paraId="0C6FCFF9" w14:textId="77777777" w:rsidR="00001032" w:rsidRDefault="00001032" w:rsidP="001347EB">
      <w:pPr>
        <w:spacing w:before="100" w:beforeAutospacing="1" w:after="100" w:afterAutospacing="1" w:line="276" w:lineRule="auto"/>
        <w:jc w:val="both"/>
        <w:rPr>
          <w:rFonts w:ascii="Baskerville Old Face" w:eastAsia="Times New Roman" w:hAnsi="Baskerville Old Face" w:cs="Times New Roman"/>
          <w:sz w:val="24"/>
          <w:szCs w:val="24"/>
        </w:rPr>
      </w:pPr>
    </w:p>
    <w:p w14:paraId="1178F708" w14:textId="77777777" w:rsidR="00001032" w:rsidRDefault="00001032" w:rsidP="001347EB">
      <w:pPr>
        <w:spacing w:before="100" w:beforeAutospacing="1" w:after="100" w:afterAutospacing="1" w:line="276" w:lineRule="auto"/>
        <w:jc w:val="both"/>
        <w:rPr>
          <w:rFonts w:ascii="Baskerville Old Face" w:eastAsia="Times New Roman" w:hAnsi="Baskerville Old Face" w:cs="Times New Roman"/>
          <w:sz w:val="24"/>
          <w:szCs w:val="24"/>
        </w:rPr>
      </w:pPr>
    </w:p>
    <w:p w14:paraId="06C51A7B" w14:textId="77777777" w:rsidR="00001032" w:rsidRDefault="00001032" w:rsidP="001347EB">
      <w:pPr>
        <w:spacing w:before="100" w:beforeAutospacing="1" w:after="100" w:afterAutospacing="1" w:line="276" w:lineRule="auto"/>
        <w:jc w:val="both"/>
        <w:rPr>
          <w:rFonts w:ascii="Baskerville Old Face" w:eastAsia="Times New Roman" w:hAnsi="Baskerville Old Face" w:cs="Times New Roman"/>
          <w:sz w:val="24"/>
          <w:szCs w:val="24"/>
        </w:rPr>
      </w:pPr>
    </w:p>
    <w:p w14:paraId="7E3D58CF" w14:textId="1F65E9F1" w:rsidR="0071721B" w:rsidRPr="0068040E" w:rsidRDefault="0071721B" w:rsidP="0071721B">
      <w:pPr>
        <w:pStyle w:val="Caption"/>
        <w:rPr>
          <w:rFonts w:ascii="Baskerville Old Face" w:hAnsi="Baskerville Old Face" w:cs="Times New Roman"/>
          <w:b/>
          <w:bCs/>
          <w:i w:val="0"/>
          <w:iCs w:val="0"/>
          <w:sz w:val="36"/>
          <w:szCs w:val="36"/>
        </w:rPr>
      </w:pPr>
      <w:bookmarkStart w:id="46" w:name="_Toc198044026"/>
      <w:r w:rsidRPr="0068040E">
        <w:rPr>
          <w:rFonts w:ascii="Baskerville Old Face" w:hAnsi="Baskerville Old Face"/>
          <w:b/>
          <w:bCs/>
          <w:sz w:val="24"/>
          <w:szCs w:val="24"/>
        </w:rPr>
        <w:lastRenderedPageBreak/>
        <w:t xml:space="preserve">Table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Table \* ARABIC </w:instrText>
      </w:r>
      <w:r w:rsidRPr="0068040E">
        <w:rPr>
          <w:rFonts w:ascii="Baskerville Old Face" w:hAnsi="Baskerville Old Face"/>
          <w:b/>
          <w:bCs/>
          <w:sz w:val="24"/>
          <w:szCs w:val="24"/>
        </w:rPr>
        <w:fldChar w:fldCharType="separate"/>
      </w:r>
      <w:r w:rsidRPr="0068040E">
        <w:rPr>
          <w:rFonts w:ascii="Baskerville Old Face" w:hAnsi="Baskerville Old Face"/>
          <w:b/>
          <w:bCs/>
          <w:noProof/>
          <w:sz w:val="24"/>
          <w:szCs w:val="24"/>
        </w:rPr>
        <w:t>8</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Staff Separation by Department, 2024 and 2023</w:t>
      </w:r>
      <w:bookmarkEnd w:id="46"/>
    </w:p>
    <w:tbl>
      <w:tblPr>
        <w:tblStyle w:val="GridTable4-Accent4"/>
        <w:tblW w:w="6540" w:type="dxa"/>
        <w:tblLook w:val="04A0" w:firstRow="1" w:lastRow="0" w:firstColumn="1" w:lastColumn="0" w:noHBand="0" w:noVBand="1"/>
      </w:tblPr>
      <w:tblGrid>
        <w:gridCol w:w="2515"/>
        <w:gridCol w:w="1845"/>
        <w:gridCol w:w="2180"/>
      </w:tblGrid>
      <w:tr w:rsidR="002610B9" w:rsidRPr="002610B9" w14:paraId="10FFE6E1" w14:textId="77777777" w:rsidTr="002610B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094A9A62" w14:textId="77777777" w:rsidR="002610B9" w:rsidRPr="002610B9" w:rsidRDefault="002610B9" w:rsidP="002610B9">
            <w:pPr>
              <w:jc w:val="center"/>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DEPARTMENT</w:t>
            </w:r>
          </w:p>
        </w:tc>
        <w:tc>
          <w:tcPr>
            <w:tcW w:w="1845" w:type="dxa"/>
            <w:hideMark/>
          </w:tcPr>
          <w:p w14:paraId="0E11584D" w14:textId="77777777" w:rsidR="002610B9" w:rsidRPr="002610B9" w:rsidRDefault="002610B9" w:rsidP="002610B9">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2024</w:t>
            </w:r>
          </w:p>
        </w:tc>
        <w:tc>
          <w:tcPr>
            <w:tcW w:w="2180" w:type="dxa"/>
            <w:noWrap/>
            <w:hideMark/>
          </w:tcPr>
          <w:p w14:paraId="4A754C60" w14:textId="77777777" w:rsidR="002610B9" w:rsidRPr="002610B9" w:rsidRDefault="002610B9" w:rsidP="002610B9">
            <w:pPr>
              <w:jc w:val="right"/>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2023</w:t>
            </w:r>
          </w:p>
        </w:tc>
      </w:tr>
      <w:tr w:rsidR="002610B9" w:rsidRPr="002610B9" w14:paraId="7084DDD6" w14:textId="77777777" w:rsidTr="002610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5" w:type="dxa"/>
            <w:hideMark/>
          </w:tcPr>
          <w:p w14:paraId="4448FDB6"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ADMIN</w:t>
            </w:r>
          </w:p>
        </w:tc>
        <w:tc>
          <w:tcPr>
            <w:tcW w:w="1845" w:type="dxa"/>
            <w:hideMark/>
          </w:tcPr>
          <w:p w14:paraId="3F39FCE5" w14:textId="77777777" w:rsidR="002610B9" w:rsidRPr="002610B9" w:rsidRDefault="002610B9" w:rsidP="002610B9">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11</w:t>
            </w:r>
          </w:p>
        </w:tc>
        <w:tc>
          <w:tcPr>
            <w:tcW w:w="2180" w:type="dxa"/>
            <w:noWrap/>
            <w:hideMark/>
          </w:tcPr>
          <w:p w14:paraId="2EA7A580"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8</w:t>
            </w:r>
          </w:p>
        </w:tc>
      </w:tr>
      <w:tr w:rsidR="002610B9" w:rsidRPr="002610B9" w14:paraId="69478958"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343F5FBE"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CGO</w:t>
            </w:r>
          </w:p>
        </w:tc>
        <w:tc>
          <w:tcPr>
            <w:tcW w:w="1845" w:type="dxa"/>
            <w:hideMark/>
          </w:tcPr>
          <w:p w14:paraId="7E48BF61"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1</w:t>
            </w:r>
          </w:p>
        </w:tc>
        <w:tc>
          <w:tcPr>
            <w:tcW w:w="2180" w:type="dxa"/>
            <w:noWrap/>
            <w:hideMark/>
          </w:tcPr>
          <w:p w14:paraId="47E2F7C1" w14:textId="77777777" w:rsidR="002610B9" w:rsidRPr="002610B9" w:rsidRDefault="002610B9" w:rsidP="002610B9">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2</w:t>
            </w:r>
          </w:p>
        </w:tc>
      </w:tr>
      <w:tr w:rsidR="002610B9" w:rsidRPr="002610B9" w14:paraId="3777DB1A"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786CD3D3"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CSD</w:t>
            </w:r>
          </w:p>
        </w:tc>
        <w:tc>
          <w:tcPr>
            <w:tcW w:w="1845" w:type="dxa"/>
            <w:hideMark/>
          </w:tcPr>
          <w:p w14:paraId="02074436" w14:textId="77777777" w:rsidR="002610B9" w:rsidRPr="002610B9" w:rsidRDefault="002610B9" w:rsidP="002610B9">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9</w:t>
            </w:r>
          </w:p>
        </w:tc>
        <w:tc>
          <w:tcPr>
            <w:tcW w:w="2180" w:type="dxa"/>
            <w:noWrap/>
            <w:hideMark/>
          </w:tcPr>
          <w:p w14:paraId="6BD07726"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7</w:t>
            </w:r>
          </w:p>
        </w:tc>
      </w:tr>
      <w:tr w:rsidR="002610B9" w:rsidRPr="002610B9" w14:paraId="42800898"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0C1D4D64"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NTR</w:t>
            </w:r>
          </w:p>
        </w:tc>
        <w:tc>
          <w:tcPr>
            <w:tcW w:w="1845" w:type="dxa"/>
            <w:hideMark/>
          </w:tcPr>
          <w:p w14:paraId="5B2E99BE"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6</w:t>
            </w:r>
          </w:p>
        </w:tc>
        <w:tc>
          <w:tcPr>
            <w:tcW w:w="2180" w:type="dxa"/>
            <w:noWrap/>
            <w:hideMark/>
          </w:tcPr>
          <w:p w14:paraId="25CCF281" w14:textId="77777777" w:rsidR="002610B9" w:rsidRPr="002610B9" w:rsidRDefault="002610B9" w:rsidP="002610B9">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2</w:t>
            </w:r>
          </w:p>
        </w:tc>
      </w:tr>
      <w:tr w:rsidR="002610B9" w:rsidRPr="002610B9" w14:paraId="34440565"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44D67EDE"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F &amp; B</w:t>
            </w:r>
          </w:p>
        </w:tc>
        <w:tc>
          <w:tcPr>
            <w:tcW w:w="1845" w:type="dxa"/>
            <w:hideMark/>
          </w:tcPr>
          <w:p w14:paraId="73CDE7B5" w14:textId="77777777" w:rsidR="002610B9" w:rsidRPr="002610B9" w:rsidRDefault="002610B9" w:rsidP="002610B9">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2</w:t>
            </w:r>
          </w:p>
        </w:tc>
        <w:tc>
          <w:tcPr>
            <w:tcW w:w="2180" w:type="dxa"/>
            <w:noWrap/>
            <w:hideMark/>
          </w:tcPr>
          <w:p w14:paraId="3D3EFB86"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2</w:t>
            </w:r>
          </w:p>
        </w:tc>
      </w:tr>
      <w:tr w:rsidR="002610B9" w:rsidRPr="002610B9" w14:paraId="48A20677"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308FB2A2"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ICT</w:t>
            </w:r>
          </w:p>
        </w:tc>
        <w:tc>
          <w:tcPr>
            <w:tcW w:w="1845" w:type="dxa"/>
            <w:hideMark/>
          </w:tcPr>
          <w:p w14:paraId="13C4BA82"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2</w:t>
            </w:r>
          </w:p>
        </w:tc>
        <w:tc>
          <w:tcPr>
            <w:tcW w:w="2180" w:type="dxa"/>
            <w:noWrap/>
            <w:hideMark/>
          </w:tcPr>
          <w:p w14:paraId="7D33D5E7" w14:textId="77777777" w:rsidR="002610B9" w:rsidRPr="002610B9" w:rsidRDefault="002610B9" w:rsidP="002610B9">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1</w:t>
            </w:r>
          </w:p>
        </w:tc>
      </w:tr>
      <w:tr w:rsidR="002610B9" w:rsidRPr="002610B9" w14:paraId="0279D260"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0ADECD57"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ICA</w:t>
            </w:r>
          </w:p>
        </w:tc>
        <w:tc>
          <w:tcPr>
            <w:tcW w:w="1845" w:type="dxa"/>
            <w:hideMark/>
          </w:tcPr>
          <w:p w14:paraId="2078285F" w14:textId="77777777" w:rsidR="002610B9" w:rsidRPr="002610B9" w:rsidRDefault="002610B9" w:rsidP="002610B9">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1</w:t>
            </w:r>
          </w:p>
        </w:tc>
        <w:tc>
          <w:tcPr>
            <w:tcW w:w="2180" w:type="dxa"/>
            <w:noWrap/>
            <w:hideMark/>
          </w:tcPr>
          <w:p w14:paraId="3CB18CF8" w14:textId="77777777" w:rsidR="002610B9" w:rsidRPr="002610B9" w:rsidRDefault="002610B9" w:rsidP="002610B9">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r>
      <w:tr w:rsidR="002610B9" w:rsidRPr="002610B9" w14:paraId="60077C53"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16885CE8"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HRD</w:t>
            </w:r>
          </w:p>
        </w:tc>
        <w:tc>
          <w:tcPr>
            <w:tcW w:w="1845" w:type="dxa"/>
            <w:hideMark/>
          </w:tcPr>
          <w:p w14:paraId="0860F452"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4</w:t>
            </w:r>
          </w:p>
        </w:tc>
        <w:tc>
          <w:tcPr>
            <w:tcW w:w="2180" w:type="dxa"/>
            <w:noWrap/>
            <w:hideMark/>
          </w:tcPr>
          <w:p w14:paraId="0A89B593" w14:textId="77777777" w:rsidR="002610B9" w:rsidRPr="002610B9" w:rsidRDefault="002610B9" w:rsidP="002610B9">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r>
      <w:tr w:rsidR="002610B9" w:rsidRPr="002610B9" w14:paraId="35AD049B"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1A3977A3"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DTD</w:t>
            </w:r>
          </w:p>
        </w:tc>
        <w:tc>
          <w:tcPr>
            <w:tcW w:w="1845" w:type="dxa"/>
            <w:hideMark/>
          </w:tcPr>
          <w:p w14:paraId="29AF68E1" w14:textId="77777777" w:rsidR="002610B9" w:rsidRPr="002610B9" w:rsidRDefault="002610B9" w:rsidP="002610B9">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8</w:t>
            </w:r>
          </w:p>
        </w:tc>
        <w:tc>
          <w:tcPr>
            <w:tcW w:w="2180" w:type="dxa"/>
            <w:noWrap/>
            <w:hideMark/>
          </w:tcPr>
          <w:p w14:paraId="49575036"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7</w:t>
            </w:r>
          </w:p>
        </w:tc>
      </w:tr>
      <w:tr w:rsidR="002610B9" w:rsidRPr="002610B9" w14:paraId="05ABE7B8"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499671BE"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lang w:val="en-GB"/>
                <w14:ligatures w14:val="none"/>
              </w:rPr>
              <w:t>MOD</w:t>
            </w:r>
          </w:p>
        </w:tc>
        <w:tc>
          <w:tcPr>
            <w:tcW w:w="1845" w:type="dxa"/>
            <w:hideMark/>
          </w:tcPr>
          <w:p w14:paraId="2B967226"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1</w:t>
            </w:r>
          </w:p>
        </w:tc>
        <w:tc>
          <w:tcPr>
            <w:tcW w:w="2180" w:type="dxa"/>
            <w:noWrap/>
            <w:hideMark/>
          </w:tcPr>
          <w:p w14:paraId="45A5D367" w14:textId="77777777" w:rsidR="002610B9" w:rsidRPr="002610B9" w:rsidRDefault="002610B9" w:rsidP="002610B9">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r>
      <w:tr w:rsidR="002610B9" w:rsidRPr="002610B9" w14:paraId="54FE1A84"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2EE53465" w14:textId="77777777"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14:ligatures w14:val="none"/>
              </w:rPr>
              <w:t>MRP</w:t>
            </w:r>
          </w:p>
        </w:tc>
        <w:tc>
          <w:tcPr>
            <w:tcW w:w="1845" w:type="dxa"/>
            <w:noWrap/>
            <w:hideMark/>
          </w:tcPr>
          <w:p w14:paraId="2A17C329" w14:textId="77777777" w:rsidR="002610B9" w:rsidRPr="002610B9" w:rsidRDefault="002610B9" w:rsidP="002610B9">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c>
          <w:tcPr>
            <w:tcW w:w="2180" w:type="dxa"/>
            <w:noWrap/>
            <w:hideMark/>
          </w:tcPr>
          <w:p w14:paraId="6CA6C5C5"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1</w:t>
            </w:r>
          </w:p>
        </w:tc>
      </w:tr>
      <w:tr w:rsidR="002610B9" w:rsidRPr="002610B9" w14:paraId="40C4892F" w14:textId="77777777" w:rsidTr="002610B9">
        <w:trPr>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334C0ED9" w14:textId="535EB88D"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14:ligatures w14:val="none"/>
              </w:rPr>
              <w:t>STAFF WELFARE</w:t>
            </w:r>
          </w:p>
        </w:tc>
        <w:tc>
          <w:tcPr>
            <w:tcW w:w="1845" w:type="dxa"/>
            <w:noWrap/>
            <w:hideMark/>
          </w:tcPr>
          <w:p w14:paraId="07E26CF5" w14:textId="77777777" w:rsidR="002610B9" w:rsidRPr="002610B9" w:rsidRDefault="002610B9" w:rsidP="002610B9">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c>
          <w:tcPr>
            <w:tcW w:w="2180" w:type="dxa"/>
            <w:noWrap/>
            <w:hideMark/>
          </w:tcPr>
          <w:p w14:paraId="147AA97B" w14:textId="77777777" w:rsidR="002610B9" w:rsidRPr="002610B9" w:rsidRDefault="002610B9" w:rsidP="002610B9">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1</w:t>
            </w:r>
          </w:p>
        </w:tc>
      </w:tr>
      <w:tr w:rsidR="002610B9" w:rsidRPr="002610B9" w14:paraId="17BEDD23" w14:textId="77777777" w:rsidTr="002610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hideMark/>
          </w:tcPr>
          <w:p w14:paraId="4ECF9E13" w14:textId="10FB4588" w:rsidR="002610B9" w:rsidRPr="002610B9" w:rsidRDefault="002610B9" w:rsidP="002610B9">
            <w:pPr>
              <w:jc w:val="center"/>
              <w:rPr>
                <w:rFonts w:ascii="Baskerville Old Face" w:eastAsia="Times New Roman" w:hAnsi="Baskerville Old Face" w:cs="Times New Roman"/>
                <w:b w:val="0"/>
                <w:bCs w:val="0"/>
                <w:color w:val="002060"/>
                <w:kern w:val="0"/>
                <w:sz w:val="20"/>
                <w:szCs w:val="20"/>
                <w14:ligatures w14:val="none"/>
              </w:rPr>
            </w:pPr>
            <w:r w:rsidRPr="002610B9">
              <w:rPr>
                <w:rFonts w:ascii="Baskerville Old Face" w:eastAsia="Times New Roman" w:hAnsi="Baskerville Old Face" w:cs="Times New Roman"/>
                <w:b w:val="0"/>
                <w:bCs w:val="0"/>
                <w:color w:val="002060"/>
                <w:kern w:val="0"/>
                <w:sz w:val="20"/>
                <w:szCs w:val="20"/>
                <w14:ligatures w14:val="none"/>
              </w:rPr>
              <w:t>BOARD</w:t>
            </w:r>
          </w:p>
        </w:tc>
        <w:tc>
          <w:tcPr>
            <w:tcW w:w="1845" w:type="dxa"/>
            <w:noWrap/>
            <w:hideMark/>
          </w:tcPr>
          <w:p w14:paraId="0DF01C1E" w14:textId="77777777" w:rsidR="002610B9" w:rsidRPr="002610B9" w:rsidRDefault="002610B9" w:rsidP="002610B9">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 </w:t>
            </w:r>
          </w:p>
        </w:tc>
        <w:tc>
          <w:tcPr>
            <w:tcW w:w="2180" w:type="dxa"/>
            <w:noWrap/>
            <w:hideMark/>
          </w:tcPr>
          <w:p w14:paraId="4F735CE0" w14:textId="77777777" w:rsidR="002610B9" w:rsidRPr="002610B9" w:rsidRDefault="002610B9" w:rsidP="002610B9">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2610B9">
              <w:rPr>
                <w:rFonts w:ascii="Baskerville Old Face" w:eastAsia="Times New Roman" w:hAnsi="Baskerville Old Face" w:cs="Times New Roman"/>
                <w:color w:val="000000"/>
                <w:kern w:val="0"/>
                <w14:ligatures w14:val="none"/>
              </w:rPr>
              <w:t>1</w:t>
            </w:r>
          </w:p>
        </w:tc>
      </w:tr>
      <w:tr w:rsidR="002610B9" w:rsidRPr="002610B9" w14:paraId="01BB99C1" w14:textId="77777777" w:rsidTr="002610B9">
        <w:trPr>
          <w:trHeight w:val="372"/>
        </w:trPr>
        <w:tc>
          <w:tcPr>
            <w:cnfStyle w:val="001000000000" w:firstRow="0" w:lastRow="0" w:firstColumn="1" w:lastColumn="0" w:oddVBand="0" w:evenVBand="0" w:oddHBand="0" w:evenHBand="0" w:firstRowFirstColumn="0" w:firstRowLastColumn="0" w:lastRowFirstColumn="0" w:lastRowLastColumn="0"/>
            <w:tcW w:w="2515" w:type="dxa"/>
            <w:hideMark/>
          </w:tcPr>
          <w:p w14:paraId="10364070" w14:textId="77777777" w:rsidR="002610B9" w:rsidRPr="002610B9" w:rsidRDefault="002610B9" w:rsidP="002610B9">
            <w:pPr>
              <w:jc w:val="center"/>
              <w:rPr>
                <w:rFonts w:ascii="Baskerville Old Face" w:eastAsia="Times New Roman" w:hAnsi="Baskerville Old Face" w:cs="Times New Roman"/>
                <w:color w:val="002060"/>
                <w:kern w:val="0"/>
                <w:sz w:val="20"/>
                <w:szCs w:val="20"/>
                <w14:ligatures w14:val="none"/>
              </w:rPr>
            </w:pPr>
            <w:r w:rsidRPr="002610B9">
              <w:rPr>
                <w:rFonts w:ascii="Baskerville Old Face" w:eastAsia="Times New Roman" w:hAnsi="Baskerville Old Face" w:cs="Times New Roman"/>
                <w:color w:val="002060"/>
                <w:kern w:val="0"/>
                <w:sz w:val="20"/>
                <w:szCs w:val="20"/>
                <w:lang w:val="en-GB"/>
                <w14:ligatures w14:val="none"/>
              </w:rPr>
              <w:t>TOTAL</w:t>
            </w:r>
          </w:p>
        </w:tc>
        <w:tc>
          <w:tcPr>
            <w:tcW w:w="1845" w:type="dxa"/>
            <w:hideMark/>
          </w:tcPr>
          <w:p w14:paraId="0C52CF6C" w14:textId="77777777" w:rsidR="002610B9" w:rsidRPr="002610B9" w:rsidRDefault="002610B9" w:rsidP="002610B9">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2060"/>
                <w:kern w:val="0"/>
                <w:sz w:val="20"/>
                <w:szCs w:val="20"/>
                <w14:ligatures w14:val="none"/>
              </w:rPr>
            </w:pPr>
            <w:r w:rsidRPr="002610B9">
              <w:rPr>
                <w:rFonts w:ascii="Baskerville Old Face" w:eastAsia="Times New Roman" w:hAnsi="Baskerville Old Face" w:cs="Times New Roman"/>
                <w:b/>
                <w:bCs/>
                <w:color w:val="002060"/>
                <w:kern w:val="0"/>
                <w:sz w:val="20"/>
                <w:szCs w:val="20"/>
                <w:lang w:val="en-GB"/>
                <w14:ligatures w14:val="none"/>
              </w:rPr>
              <w:t>45</w:t>
            </w:r>
          </w:p>
        </w:tc>
        <w:tc>
          <w:tcPr>
            <w:tcW w:w="2180" w:type="dxa"/>
            <w:noWrap/>
            <w:hideMark/>
          </w:tcPr>
          <w:p w14:paraId="5FEC27B1" w14:textId="77777777" w:rsidR="002610B9" w:rsidRPr="002610B9" w:rsidRDefault="002610B9" w:rsidP="002610B9">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2610B9">
              <w:rPr>
                <w:rFonts w:ascii="Baskerville Old Face" w:eastAsia="Times New Roman" w:hAnsi="Baskerville Old Face" w:cs="Times New Roman"/>
                <w:b/>
                <w:bCs/>
                <w:color w:val="000000"/>
                <w:kern w:val="0"/>
                <w14:ligatures w14:val="none"/>
              </w:rPr>
              <w:t>32</w:t>
            </w:r>
          </w:p>
        </w:tc>
      </w:tr>
    </w:tbl>
    <w:p w14:paraId="78F8F1DF" w14:textId="77777777" w:rsidR="00D62D79" w:rsidRPr="00BC7192" w:rsidRDefault="00D62D79" w:rsidP="00D62D79">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2CDB757E" w14:textId="684328B4" w:rsidR="001347EB" w:rsidRPr="00B811D8" w:rsidRDefault="001347EB" w:rsidP="001347EB">
      <w:pPr>
        <w:spacing w:before="100" w:beforeAutospacing="1" w:after="100" w:afterAutospacing="1" w:line="276" w:lineRule="auto"/>
        <w:jc w:val="both"/>
        <w:rPr>
          <w:rFonts w:ascii="Baskerville Old Face" w:eastAsia="Times New Roman" w:hAnsi="Baskerville Old Face" w:cs="Times New Roman"/>
          <w:sz w:val="24"/>
          <w:szCs w:val="24"/>
        </w:rPr>
      </w:pPr>
      <w:r w:rsidRPr="00B811D8">
        <w:rPr>
          <w:rFonts w:ascii="Baskerville Old Face" w:eastAsia="Times New Roman" w:hAnsi="Baskerville Old Face" w:cs="Times New Roman"/>
          <w:sz w:val="24"/>
          <w:szCs w:val="24"/>
        </w:rPr>
        <w:t xml:space="preserve">An analysis of Figure </w:t>
      </w:r>
      <w:r w:rsidR="00766021">
        <w:rPr>
          <w:rFonts w:ascii="Baskerville Old Face" w:eastAsia="Times New Roman" w:hAnsi="Baskerville Old Face" w:cs="Times New Roman"/>
          <w:sz w:val="24"/>
          <w:szCs w:val="24"/>
        </w:rPr>
        <w:t>6</w:t>
      </w:r>
      <w:r w:rsidRPr="00B811D8">
        <w:rPr>
          <w:rFonts w:ascii="Baskerville Old Face" w:eastAsia="Times New Roman" w:hAnsi="Baskerville Old Face" w:cs="Times New Roman"/>
          <w:sz w:val="24"/>
          <w:szCs w:val="24"/>
        </w:rPr>
        <w:t xml:space="preserve"> highlights that the leading causes of staff separation in 2024 were resignation (17 cases), retirement</w:t>
      </w:r>
      <w:r w:rsidR="002A52E9">
        <w:rPr>
          <w:rFonts w:ascii="Baskerville Old Face" w:eastAsia="Times New Roman" w:hAnsi="Baskerville Old Face" w:cs="Times New Roman"/>
          <w:sz w:val="24"/>
          <w:szCs w:val="24"/>
        </w:rPr>
        <w:t xml:space="preserve">, and termination </w:t>
      </w:r>
      <w:r w:rsidRPr="00B811D8">
        <w:rPr>
          <w:rFonts w:ascii="Baskerville Old Face" w:eastAsia="Times New Roman" w:hAnsi="Baskerville Old Face" w:cs="Times New Roman"/>
          <w:sz w:val="24"/>
          <w:szCs w:val="24"/>
        </w:rPr>
        <w:t>(9 cases</w:t>
      </w:r>
      <w:r w:rsidR="002A52E9">
        <w:rPr>
          <w:rFonts w:ascii="Baskerville Old Face" w:eastAsia="Times New Roman" w:hAnsi="Baskerville Old Face" w:cs="Times New Roman"/>
          <w:sz w:val="24"/>
          <w:szCs w:val="24"/>
        </w:rPr>
        <w:t xml:space="preserve"> each</w:t>
      </w:r>
      <w:r w:rsidRPr="00B811D8">
        <w:rPr>
          <w:rFonts w:ascii="Baskerville Old Face" w:eastAsia="Times New Roman" w:hAnsi="Baskerville Old Face" w:cs="Times New Roman"/>
          <w:sz w:val="24"/>
          <w:szCs w:val="24"/>
        </w:rPr>
        <w:t>), and death (8 cases). These trends are consistent with those observed in 2023, where retirement and resignation each accounted for 11 staff separations</w:t>
      </w:r>
      <w:r w:rsidR="002A52E9">
        <w:rPr>
          <w:rFonts w:ascii="Baskerville Old Face" w:eastAsia="Times New Roman" w:hAnsi="Baskerville Old Face" w:cs="Times New Roman"/>
          <w:sz w:val="24"/>
          <w:szCs w:val="24"/>
        </w:rPr>
        <w:t xml:space="preserve">. </w:t>
      </w:r>
    </w:p>
    <w:p w14:paraId="46038965" w14:textId="2D4B8F36" w:rsidR="00766021" w:rsidRPr="0068040E" w:rsidRDefault="0068040E" w:rsidP="0068040E">
      <w:pPr>
        <w:pStyle w:val="Caption"/>
        <w:rPr>
          <w:rFonts w:ascii="Baskerville Old Face" w:hAnsi="Baskerville Old Face" w:cs="Times New Roman"/>
          <w:b/>
          <w:bCs/>
          <w:i w:val="0"/>
          <w:iCs w:val="0"/>
          <w:sz w:val="36"/>
          <w:szCs w:val="36"/>
        </w:rPr>
      </w:pPr>
      <w:bookmarkStart w:id="47" w:name="_Toc198044052"/>
      <w:r w:rsidRPr="0068040E">
        <w:rPr>
          <w:rFonts w:ascii="Baskerville Old Face" w:hAnsi="Baskerville Old Face"/>
          <w:b/>
          <w:bCs/>
          <w:sz w:val="24"/>
          <w:szCs w:val="24"/>
        </w:rPr>
        <w:t xml:space="preserve">Figure </w:t>
      </w:r>
      <w:r w:rsidRPr="0068040E">
        <w:rPr>
          <w:rFonts w:ascii="Baskerville Old Face" w:hAnsi="Baskerville Old Face"/>
          <w:b/>
          <w:bCs/>
          <w:sz w:val="24"/>
          <w:szCs w:val="24"/>
        </w:rPr>
        <w:fldChar w:fldCharType="begin"/>
      </w:r>
      <w:r w:rsidRPr="0068040E">
        <w:rPr>
          <w:rFonts w:ascii="Baskerville Old Face" w:hAnsi="Baskerville Old Face"/>
          <w:b/>
          <w:bCs/>
          <w:sz w:val="24"/>
          <w:szCs w:val="24"/>
        </w:rPr>
        <w:instrText xml:space="preserve"> SEQ Figure \* ARABIC </w:instrText>
      </w:r>
      <w:r w:rsidRPr="0068040E">
        <w:rPr>
          <w:rFonts w:ascii="Baskerville Old Face" w:hAnsi="Baskerville Old Face"/>
          <w:b/>
          <w:bCs/>
          <w:sz w:val="24"/>
          <w:szCs w:val="24"/>
        </w:rPr>
        <w:fldChar w:fldCharType="separate"/>
      </w:r>
      <w:r w:rsidRPr="0068040E">
        <w:rPr>
          <w:rFonts w:ascii="Baskerville Old Face" w:hAnsi="Baskerville Old Face"/>
          <w:b/>
          <w:bCs/>
          <w:noProof/>
          <w:sz w:val="24"/>
          <w:szCs w:val="24"/>
        </w:rPr>
        <w:t>6</w:t>
      </w:r>
      <w:r w:rsidRPr="0068040E">
        <w:rPr>
          <w:rFonts w:ascii="Baskerville Old Face" w:hAnsi="Baskerville Old Face"/>
          <w:b/>
          <w:bCs/>
          <w:sz w:val="24"/>
          <w:szCs w:val="24"/>
        </w:rPr>
        <w:fldChar w:fldCharType="end"/>
      </w:r>
      <w:r w:rsidRPr="0068040E">
        <w:rPr>
          <w:rFonts w:ascii="Baskerville Old Face" w:hAnsi="Baskerville Old Face"/>
          <w:b/>
          <w:bCs/>
          <w:sz w:val="24"/>
          <w:szCs w:val="24"/>
        </w:rPr>
        <w:t>: Staff Separations by Category, 2024 and 2023</w:t>
      </w:r>
      <w:bookmarkEnd w:id="47"/>
    </w:p>
    <w:p w14:paraId="29CCC0B6" w14:textId="4149D763" w:rsidR="00D62D79" w:rsidRPr="009C048F" w:rsidRDefault="002610B9" w:rsidP="00D62D79">
      <w:pPr>
        <w:spacing w:line="360" w:lineRule="auto"/>
        <w:jc w:val="both"/>
        <w:rPr>
          <w:rFonts w:ascii="Baskerville Old Face" w:hAnsi="Baskerville Old Face" w:cs="Times New Roman"/>
          <w:i/>
          <w:iCs/>
          <w:sz w:val="18"/>
          <w:szCs w:val="18"/>
        </w:rPr>
      </w:pPr>
      <w:r w:rsidRPr="001347EB">
        <w:rPr>
          <w:rFonts w:ascii="Baskerville Old Face" w:hAnsi="Baskerville Old Face"/>
          <w:noProof/>
        </w:rPr>
        <w:drawing>
          <wp:inline distT="0" distB="0" distL="0" distR="0" wp14:anchorId="159EC461" wp14:editId="5CC494DB">
            <wp:extent cx="6400800" cy="2926080"/>
            <wp:effectExtent l="0" t="0" r="0" b="7620"/>
            <wp:docPr id="529194500" name="Chart 1">
              <a:extLst xmlns:a="http://schemas.openxmlformats.org/drawingml/2006/main">
                <a:ext uri="{FF2B5EF4-FFF2-40B4-BE49-F238E27FC236}">
                  <a16:creationId xmlns:a16="http://schemas.microsoft.com/office/drawing/2014/main" id="{422491A4-38F1-874F-B5E8-E9B64D387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62D79" w:rsidRPr="00BC7192">
        <w:rPr>
          <w:rFonts w:ascii="Baskerville Old Face" w:hAnsi="Baskerville Old Face" w:cs="Times New Roman"/>
          <w:i/>
          <w:iCs/>
          <w:sz w:val="18"/>
          <w:szCs w:val="18"/>
        </w:rPr>
        <w:t>Source: HRD</w:t>
      </w:r>
    </w:p>
    <w:p w14:paraId="3A065D4D" w14:textId="3617AFDB" w:rsidR="003C08F9" w:rsidRPr="00520DD2" w:rsidRDefault="00395E0D" w:rsidP="00C03BAC">
      <w:pPr>
        <w:pStyle w:val="Heading3"/>
        <w:rPr>
          <w:rFonts w:ascii="Baskerville Old Face" w:hAnsi="Baskerville Old Face"/>
          <w:b/>
          <w:bCs/>
        </w:rPr>
      </w:pPr>
      <w:bookmarkStart w:id="48" w:name="_Toc198043927"/>
      <w:r w:rsidRPr="00520DD2">
        <w:rPr>
          <w:rFonts w:ascii="Baskerville Old Face" w:hAnsi="Baskerville Old Face"/>
          <w:b/>
          <w:bCs/>
        </w:rPr>
        <w:lastRenderedPageBreak/>
        <w:t xml:space="preserve">3.1.3 </w:t>
      </w:r>
      <w:r w:rsidR="00B22342" w:rsidRPr="00520DD2">
        <w:rPr>
          <w:rFonts w:ascii="Baskerville Old Face" w:hAnsi="Baskerville Old Face"/>
          <w:b/>
          <w:bCs/>
        </w:rPr>
        <w:t xml:space="preserve">Staff </w:t>
      </w:r>
      <w:r w:rsidR="00D7283B" w:rsidRPr="00520DD2">
        <w:rPr>
          <w:rFonts w:ascii="Baskerville Old Face" w:hAnsi="Baskerville Old Face"/>
          <w:b/>
          <w:bCs/>
        </w:rPr>
        <w:t>Recruitment, Confirmation</w:t>
      </w:r>
      <w:r w:rsidR="001E5A8B" w:rsidRPr="00520DD2">
        <w:rPr>
          <w:rFonts w:ascii="Baskerville Old Face" w:hAnsi="Baskerville Old Face"/>
          <w:b/>
          <w:bCs/>
        </w:rPr>
        <w:t xml:space="preserve">, </w:t>
      </w:r>
      <w:r w:rsidR="00D7283B" w:rsidRPr="00520DD2">
        <w:rPr>
          <w:rFonts w:ascii="Baskerville Old Face" w:hAnsi="Baskerville Old Face"/>
          <w:b/>
          <w:bCs/>
        </w:rPr>
        <w:t xml:space="preserve">Promotion </w:t>
      </w:r>
      <w:r w:rsidR="00377F8D" w:rsidRPr="00520DD2">
        <w:rPr>
          <w:rFonts w:ascii="Baskerville Old Face" w:hAnsi="Baskerville Old Face"/>
          <w:b/>
          <w:bCs/>
        </w:rPr>
        <w:t>and Engagement</w:t>
      </w:r>
      <w:bookmarkEnd w:id="48"/>
    </w:p>
    <w:p w14:paraId="7DCCA483" w14:textId="20A5B672" w:rsidR="00673974" w:rsidRPr="00B811D8" w:rsidRDefault="00673974" w:rsidP="003C08F9">
      <w:pPr>
        <w:spacing w:line="276" w:lineRule="auto"/>
        <w:jc w:val="both"/>
        <w:rPr>
          <w:rFonts w:ascii="Baskerville Old Face" w:hAnsi="Baskerville Old Face" w:cs="Times New Roman"/>
          <w:sz w:val="24"/>
          <w:szCs w:val="24"/>
        </w:rPr>
      </w:pPr>
      <w:r w:rsidRPr="00B811D8">
        <w:rPr>
          <w:rFonts w:ascii="Baskerville Old Face" w:eastAsia="Times New Roman" w:hAnsi="Baskerville Old Face" w:cs="Times New Roman"/>
          <w:sz w:val="24"/>
          <w:szCs w:val="24"/>
        </w:rPr>
        <w:t xml:space="preserve">In 2024, the National Revenue Authority continued its commitment to strengthening institutional capacity through targeted recruitment and staff development initiatives. A total of 17 new staff members were recruited during the year, with the Admin Department accounting for the highest number of hires (6 staff), followed by the HRD and </w:t>
      </w:r>
      <w:r w:rsidR="008429B4">
        <w:rPr>
          <w:rFonts w:ascii="Baskerville Old Face" w:eastAsia="Times New Roman" w:hAnsi="Baskerville Old Face" w:cs="Times New Roman"/>
          <w:sz w:val="24"/>
          <w:szCs w:val="24"/>
        </w:rPr>
        <w:t>Finance and Budget (</w:t>
      </w:r>
      <w:r w:rsidRPr="00B811D8">
        <w:rPr>
          <w:rFonts w:ascii="Baskerville Old Face" w:eastAsia="Times New Roman" w:hAnsi="Baskerville Old Face" w:cs="Times New Roman"/>
          <w:sz w:val="24"/>
          <w:szCs w:val="24"/>
        </w:rPr>
        <w:t>F&amp;B</w:t>
      </w:r>
      <w:r w:rsidR="008429B4">
        <w:rPr>
          <w:rFonts w:ascii="Baskerville Old Face" w:eastAsia="Times New Roman" w:hAnsi="Baskerville Old Face" w:cs="Times New Roman"/>
          <w:sz w:val="24"/>
          <w:szCs w:val="24"/>
        </w:rPr>
        <w:t>)</w:t>
      </w:r>
      <w:r w:rsidRPr="00B811D8">
        <w:rPr>
          <w:rFonts w:ascii="Baskerville Old Face" w:eastAsia="Times New Roman" w:hAnsi="Baskerville Old Face" w:cs="Times New Roman"/>
          <w:sz w:val="24"/>
          <w:szCs w:val="24"/>
        </w:rPr>
        <w:t xml:space="preserve"> departments, which each welcomed 3 recruits.</w:t>
      </w:r>
    </w:p>
    <w:p w14:paraId="1F496F35" w14:textId="76D95EB2" w:rsidR="00673974" w:rsidRPr="00B811D8" w:rsidRDefault="00673974" w:rsidP="00673974">
      <w:pPr>
        <w:spacing w:before="100" w:beforeAutospacing="1" w:after="100" w:afterAutospacing="1" w:line="276" w:lineRule="auto"/>
        <w:jc w:val="both"/>
        <w:rPr>
          <w:rFonts w:ascii="Baskerville Old Face" w:eastAsia="Times New Roman" w:hAnsi="Baskerville Old Face" w:cs="Times New Roman"/>
          <w:sz w:val="24"/>
          <w:szCs w:val="24"/>
        </w:rPr>
      </w:pPr>
      <w:r w:rsidRPr="00B811D8">
        <w:rPr>
          <w:rFonts w:ascii="Baskerville Old Face" w:eastAsia="Times New Roman" w:hAnsi="Baskerville Old Face" w:cs="Times New Roman"/>
          <w:sz w:val="24"/>
          <w:szCs w:val="24"/>
        </w:rPr>
        <w:t>In recognition of exceptional performance and commitment, the Authority promoted 8 staff members across various departments to higher positions during the reporting period.</w:t>
      </w:r>
      <w:r w:rsidR="00D338BD">
        <w:rPr>
          <w:rFonts w:ascii="Baskerville Old Face" w:eastAsia="Times New Roman" w:hAnsi="Baskerville Old Face" w:cs="Times New Roman"/>
          <w:sz w:val="24"/>
          <w:szCs w:val="24"/>
        </w:rPr>
        <w:t xml:space="preserve"> </w:t>
      </w:r>
      <w:r w:rsidRPr="00B811D8">
        <w:rPr>
          <w:rFonts w:ascii="Baskerville Old Face" w:eastAsia="Times New Roman" w:hAnsi="Baskerville Old Face" w:cs="Times New Roman"/>
          <w:sz w:val="24"/>
          <w:szCs w:val="24"/>
        </w:rPr>
        <w:t>Further, 84 staff members were confirmed in their respective roles following the successful completion of their probationary periods. The Admin Department again recorded the highest number of confirmations (28 staff), followed by DTD with 17, and the CSD with 13 confirmations.</w:t>
      </w:r>
    </w:p>
    <w:p w14:paraId="2B633C20" w14:textId="77777777" w:rsidR="002465E3" w:rsidRDefault="00673974" w:rsidP="0068040E">
      <w:pPr>
        <w:spacing w:before="100" w:beforeAutospacing="1" w:after="100" w:afterAutospacing="1" w:line="276" w:lineRule="auto"/>
        <w:jc w:val="both"/>
        <w:rPr>
          <w:rFonts w:ascii="Baskerville Old Face" w:eastAsia="Times New Roman" w:hAnsi="Baskerville Old Face" w:cs="Times New Roman"/>
          <w:sz w:val="24"/>
          <w:szCs w:val="24"/>
        </w:rPr>
      </w:pPr>
      <w:r w:rsidRPr="00B811D8">
        <w:rPr>
          <w:rFonts w:ascii="Baskerville Old Face" w:eastAsia="Times New Roman" w:hAnsi="Baskerville Old Face" w:cs="Times New Roman"/>
          <w:sz w:val="24"/>
          <w:szCs w:val="24"/>
        </w:rPr>
        <w:t>To support its operations and create opportunities for professional development, the Authority also engaged a total of 64 individuals, including 38 contracted staff, 21 interns, and 5 National Youth Service Corps members deployed by the National Youth Commission.</w:t>
      </w:r>
    </w:p>
    <w:p w14:paraId="4BDCB895" w14:textId="340ED620" w:rsidR="0071721B" w:rsidRPr="002465E3" w:rsidRDefault="0071721B" w:rsidP="0071721B">
      <w:pPr>
        <w:pStyle w:val="Caption"/>
        <w:keepNext/>
        <w:rPr>
          <w:rFonts w:ascii="Baskerville Old Face" w:hAnsi="Baskerville Old Face"/>
          <w:b/>
          <w:bCs/>
          <w:sz w:val="24"/>
          <w:szCs w:val="24"/>
        </w:rPr>
      </w:pPr>
      <w:bookmarkStart w:id="49" w:name="_Toc198044027"/>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9</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Staff Recruitment, Confirmation and Promotion, 2024</w:t>
      </w:r>
      <w:bookmarkEnd w:id="49"/>
    </w:p>
    <w:tbl>
      <w:tblPr>
        <w:tblStyle w:val="GridTable4-Accent6"/>
        <w:tblW w:w="7465" w:type="dxa"/>
        <w:tblLook w:val="04A0" w:firstRow="1" w:lastRow="0" w:firstColumn="1" w:lastColumn="0" w:noHBand="0" w:noVBand="1"/>
      </w:tblPr>
      <w:tblGrid>
        <w:gridCol w:w="2300"/>
        <w:gridCol w:w="1655"/>
        <w:gridCol w:w="1710"/>
        <w:gridCol w:w="1800"/>
      </w:tblGrid>
      <w:tr w:rsidR="00D12EE7" w:rsidRPr="00D12EE7" w14:paraId="7986A99B" w14:textId="77777777" w:rsidTr="0067397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1F67012A" w14:textId="77777777" w:rsidR="00D12EE7" w:rsidRPr="00D12EE7" w:rsidRDefault="00D12EE7" w:rsidP="00D12EE7">
            <w:pPr>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lang w:val="en-GB"/>
                <w14:ligatures w14:val="none"/>
              </w:rPr>
              <w:t>Department</w:t>
            </w:r>
          </w:p>
        </w:tc>
        <w:tc>
          <w:tcPr>
            <w:tcW w:w="1655" w:type="dxa"/>
            <w:noWrap/>
            <w:hideMark/>
          </w:tcPr>
          <w:p w14:paraId="4DA47A87" w14:textId="77777777" w:rsidR="00D12EE7" w:rsidRPr="00D12EE7" w:rsidRDefault="00D12EE7" w:rsidP="00D12EE7">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Recruitment</w:t>
            </w:r>
          </w:p>
        </w:tc>
        <w:tc>
          <w:tcPr>
            <w:tcW w:w="1710" w:type="dxa"/>
            <w:noWrap/>
            <w:hideMark/>
          </w:tcPr>
          <w:p w14:paraId="39FD77D1" w14:textId="77777777" w:rsidR="00D12EE7" w:rsidRPr="00D12EE7" w:rsidRDefault="00D12EE7" w:rsidP="00D12EE7">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xml:space="preserve">Promotion </w:t>
            </w:r>
          </w:p>
        </w:tc>
        <w:tc>
          <w:tcPr>
            <w:tcW w:w="1800" w:type="dxa"/>
            <w:noWrap/>
            <w:hideMark/>
          </w:tcPr>
          <w:p w14:paraId="4BEA608C" w14:textId="77777777" w:rsidR="00D12EE7" w:rsidRPr="00D12EE7" w:rsidRDefault="00D12EE7" w:rsidP="00D12EE7">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xml:space="preserve">Confirmation </w:t>
            </w:r>
          </w:p>
        </w:tc>
      </w:tr>
      <w:tr w:rsidR="00D12EE7" w:rsidRPr="00D12EE7" w14:paraId="3BE8A4F9"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E259BD7"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CG’s OFFICE</w:t>
            </w:r>
          </w:p>
        </w:tc>
        <w:tc>
          <w:tcPr>
            <w:tcW w:w="1655" w:type="dxa"/>
            <w:noWrap/>
            <w:hideMark/>
          </w:tcPr>
          <w:p w14:paraId="43D85CC0"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710" w:type="dxa"/>
            <w:noWrap/>
            <w:hideMark/>
          </w:tcPr>
          <w:p w14:paraId="5E6AFCD4"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49722B01"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7</w:t>
            </w:r>
          </w:p>
        </w:tc>
      </w:tr>
      <w:tr w:rsidR="00D12EE7" w:rsidRPr="00D12EE7" w14:paraId="58BBA7F1"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670DB59A"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RIID</w:t>
            </w:r>
          </w:p>
        </w:tc>
        <w:tc>
          <w:tcPr>
            <w:tcW w:w="1655" w:type="dxa"/>
            <w:noWrap/>
            <w:hideMark/>
          </w:tcPr>
          <w:p w14:paraId="13FCCA49"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63E9173A"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002CFB91"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r>
      <w:tr w:rsidR="00D12EE7" w:rsidRPr="00D12EE7" w14:paraId="34B8DF92"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226A038"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HRD</w:t>
            </w:r>
          </w:p>
        </w:tc>
        <w:tc>
          <w:tcPr>
            <w:tcW w:w="1655" w:type="dxa"/>
            <w:noWrap/>
            <w:hideMark/>
          </w:tcPr>
          <w:p w14:paraId="0EDD5A24"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3</w:t>
            </w:r>
          </w:p>
        </w:tc>
        <w:tc>
          <w:tcPr>
            <w:tcW w:w="1710" w:type="dxa"/>
            <w:noWrap/>
            <w:hideMark/>
          </w:tcPr>
          <w:p w14:paraId="5CD7C9BA"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5D62DCAE"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5</w:t>
            </w:r>
          </w:p>
        </w:tc>
      </w:tr>
      <w:tr w:rsidR="00D12EE7" w:rsidRPr="00D12EE7" w14:paraId="5A792EE6"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365AE25"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STAFF WELFARE</w:t>
            </w:r>
          </w:p>
        </w:tc>
        <w:tc>
          <w:tcPr>
            <w:tcW w:w="1655" w:type="dxa"/>
            <w:noWrap/>
            <w:hideMark/>
          </w:tcPr>
          <w:p w14:paraId="5ED68D91"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6801E27E"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2B5AEE6A"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r>
      <w:tr w:rsidR="00D12EE7" w:rsidRPr="00D12EE7" w14:paraId="5DED5198"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60917F3"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ADMIN</w:t>
            </w:r>
          </w:p>
        </w:tc>
        <w:tc>
          <w:tcPr>
            <w:tcW w:w="1655" w:type="dxa"/>
            <w:noWrap/>
            <w:hideMark/>
          </w:tcPr>
          <w:p w14:paraId="55E8C2C8"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6</w:t>
            </w:r>
          </w:p>
        </w:tc>
        <w:tc>
          <w:tcPr>
            <w:tcW w:w="1710" w:type="dxa"/>
            <w:noWrap/>
            <w:hideMark/>
          </w:tcPr>
          <w:p w14:paraId="5D855616"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800" w:type="dxa"/>
            <w:noWrap/>
            <w:hideMark/>
          </w:tcPr>
          <w:p w14:paraId="5F446541"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28</w:t>
            </w:r>
          </w:p>
        </w:tc>
      </w:tr>
      <w:tr w:rsidR="00D12EE7" w:rsidRPr="00D12EE7" w14:paraId="351784DF"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4600C08"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CSD</w:t>
            </w:r>
          </w:p>
        </w:tc>
        <w:tc>
          <w:tcPr>
            <w:tcW w:w="1655" w:type="dxa"/>
            <w:noWrap/>
            <w:hideMark/>
          </w:tcPr>
          <w:p w14:paraId="23BA8A9D"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2</w:t>
            </w:r>
          </w:p>
        </w:tc>
        <w:tc>
          <w:tcPr>
            <w:tcW w:w="1710" w:type="dxa"/>
            <w:noWrap/>
            <w:hideMark/>
          </w:tcPr>
          <w:p w14:paraId="46647EAE"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800" w:type="dxa"/>
            <w:noWrap/>
            <w:hideMark/>
          </w:tcPr>
          <w:p w14:paraId="185CA44B"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13</w:t>
            </w:r>
          </w:p>
        </w:tc>
      </w:tr>
      <w:tr w:rsidR="00D12EE7" w:rsidRPr="00D12EE7" w14:paraId="09243617"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62513E9E"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NTR</w:t>
            </w:r>
          </w:p>
        </w:tc>
        <w:tc>
          <w:tcPr>
            <w:tcW w:w="1655" w:type="dxa"/>
            <w:noWrap/>
            <w:hideMark/>
          </w:tcPr>
          <w:p w14:paraId="61DC2AE8"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5666FB9E"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47CFC779"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2</w:t>
            </w:r>
          </w:p>
        </w:tc>
      </w:tr>
      <w:tr w:rsidR="00D12EE7" w:rsidRPr="00D12EE7" w14:paraId="518307BA"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D3BCE9F"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F &amp; B</w:t>
            </w:r>
          </w:p>
        </w:tc>
        <w:tc>
          <w:tcPr>
            <w:tcW w:w="1655" w:type="dxa"/>
            <w:noWrap/>
            <w:hideMark/>
          </w:tcPr>
          <w:p w14:paraId="0A72816E"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3</w:t>
            </w:r>
          </w:p>
        </w:tc>
        <w:tc>
          <w:tcPr>
            <w:tcW w:w="1710" w:type="dxa"/>
            <w:noWrap/>
            <w:hideMark/>
          </w:tcPr>
          <w:p w14:paraId="65DC205E"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48D293F5"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8</w:t>
            </w:r>
          </w:p>
        </w:tc>
      </w:tr>
      <w:tr w:rsidR="00D12EE7" w:rsidRPr="00D12EE7" w14:paraId="431D7024"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2ACC4FBA"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MRP</w:t>
            </w:r>
          </w:p>
        </w:tc>
        <w:tc>
          <w:tcPr>
            <w:tcW w:w="1655" w:type="dxa"/>
            <w:noWrap/>
            <w:hideMark/>
          </w:tcPr>
          <w:p w14:paraId="7B1B4E49"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61973DCE"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022AE846"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r>
      <w:tr w:rsidR="00D12EE7" w:rsidRPr="00D12EE7" w14:paraId="17E6DDFC"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B63DD16"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ICT</w:t>
            </w:r>
          </w:p>
        </w:tc>
        <w:tc>
          <w:tcPr>
            <w:tcW w:w="1655" w:type="dxa"/>
            <w:noWrap/>
            <w:hideMark/>
          </w:tcPr>
          <w:p w14:paraId="212574D4"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34FFA8B5"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4EF7EA5D"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2</w:t>
            </w:r>
          </w:p>
        </w:tc>
      </w:tr>
      <w:tr w:rsidR="00D12EE7" w:rsidRPr="00D12EE7" w14:paraId="4C2E0035"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0EDECB1E"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ICA</w:t>
            </w:r>
          </w:p>
        </w:tc>
        <w:tc>
          <w:tcPr>
            <w:tcW w:w="1655" w:type="dxa"/>
            <w:noWrap/>
            <w:hideMark/>
          </w:tcPr>
          <w:p w14:paraId="1422E4B7"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710" w:type="dxa"/>
            <w:noWrap/>
            <w:hideMark/>
          </w:tcPr>
          <w:p w14:paraId="19ACF768"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lang w:val="en-GB"/>
                <w14:ligatures w14:val="none"/>
              </w:rPr>
              <w:t>5</w:t>
            </w:r>
          </w:p>
        </w:tc>
        <w:tc>
          <w:tcPr>
            <w:tcW w:w="1800" w:type="dxa"/>
            <w:noWrap/>
            <w:hideMark/>
          </w:tcPr>
          <w:p w14:paraId="1B9C09BB"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r>
      <w:tr w:rsidR="00D12EE7" w:rsidRPr="00D12EE7" w14:paraId="08B9DDF8"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1BCAD0B7"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L&amp;CA</w:t>
            </w:r>
          </w:p>
        </w:tc>
        <w:tc>
          <w:tcPr>
            <w:tcW w:w="1655" w:type="dxa"/>
            <w:noWrap/>
            <w:hideMark/>
          </w:tcPr>
          <w:p w14:paraId="4EB5BFB1"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2D87C085"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4BF17247"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r>
      <w:tr w:rsidR="00D12EE7" w:rsidRPr="00D12EE7" w14:paraId="0E26A70E"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5D853434"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BOARD SECRETARIAT</w:t>
            </w:r>
          </w:p>
        </w:tc>
        <w:tc>
          <w:tcPr>
            <w:tcW w:w="1655" w:type="dxa"/>
            <w:noWrap/>
            <w:hideMark/>
          </w:tcPr>
          <w:p w14:paraId="5A30A92C"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17D6E79C" w14:textId="77777777" w:rsidR="00D12EE7" w:rsidRPr="00D12EE7" w:rsidRDefault="00D12EE7" w:rsidP="00D12EE7">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2A80115B"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r>
      <w:tr w:rsidR="00D12EE7" w:rsidRPr="00D12EE7" w14:paraId="6B58A261" w14:textId="77777777" w:rsidTr="00673974">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BE37323"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MODERNIZATION</w:t>
            </w:r>
          </w:p>
        </w:tc>
        <w:tc>
          <w:tcPr>
            <w:tcW w:w="1655" w:type="dxa"/>
            <w:noWrap/>
            <w:hideMark/>
          </w:tcPr>
          <w:p w14:paraId="5FC5089D"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710" w:type="dxa"/>
            <w:noWrap/>
            <w:hideMark/>
          </w:tcPr>
          <w:p w14:paraId="24E85577"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c>
          <w:tcPr>
            <w:tcW w:w="1800" w:type="dxa"/>
            <w:noWrap/>
            <w:hideMark/>
          </w:tcPr>
          <w:p w14:paraId="00237553" w14:textId="77777777" w:rsidR="00D12EE7" w:rsidRPr="00D12EE7" w:rsidRDefault="00D12EE7" w:rsidP="00D12EE7">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 </w:t>
            </w:r>
          </w:p>
        </w:tc>
      </w:tr>
      <w:tr w:rsidR="00D12EE7" w:rsidRPr="00D12EE7" w14:paraId="1B00E9CC" w14:textId="77777777" w:rsidTr="006739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25A4A0B" w14:textId="77777777" w:rsidR="00D12EE7" w:rsidRPr="00D12EE7" w:rsidRDefault="00D12EE7" w:rsidP="00D12EE7">
            <w:pPr>
              <w:rPr>
                <w:rFonts w:ascii="Baskerville Old Face" w:eastAsia="Times New Roman" w:hAnsi="Baskerville Old Face" w:cs="Times New Roman"/>
                <w:b w:val="0"/>
                <w:bCs w:val="0"/>
                <w:color w:val="000000"/>
                <w:kern w:val="0"/>
                <w14:ligatures w14:val="none"/>
              </w:rPr>
            </w:pPr>
            <w:r w:rsidRPr="00D12EE7">
              <w:rPr>
                <w:rFonts w:ascii="Baskerville Old Face" w:eastAsia="Times New Roman" w:hAnsi="Baskerville Old Face" w:cs="Times New Roman"/>
                <w:b w:val="0"/>
                <w:bCs w:val="0"/>
                <w:color w:val="000000"/>
                <w:kern w:val="0"/>
                <w:lang w:val="en-GB"/>
                <w14:ligatures w14:val="none"/>
              </w:rPr>
              <w:t>DTD</w:t>
            </w:r>
          </w:p>
        </w:tc>
        <w:tc>
          <w:tcPr>
            <w:tcW w:w="1655" w:type="dxa"/>
            <w:noWrap/>
            <w:hideMark/>
          </w:tcPr>
          <w:p w14:paraId="1CD751F4"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710" w:type="dxa"/>
            <w:noWrap/>
            <w:hideMark/>
          </w:tcPr>
          <w:p w14:paraId="0B6FBBD6"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w:t>
            </w:r>
          </w:p>
        </w:tc>
        <w:tc>
          <w:tcPr>
            <w:tcW w:w="1800" w:type="dxa"/>
            <w:noWrap/>
            <w:hideMark/>
          </w:tcPr>
          <w:p w14:paraId="5885AB13" w14:textId="77777777" w:rsidR="00D12EE7" w:rsidRPr="00D12EE7" w:rsidRDefault="00D12EE7" w:rsidP="00D12EE7">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14:ligatures w14:val="none"/>
              </w:rPr>
              <w:t>17</w:t>
            </w:r>
          </w:p>
        </w:tc>
      </w:tr>
      <w:tr w:rsidR="00D12EE7" w:rsidRPr="00D12EE7" w14:paraId="0C838EE0" w14:textId="77777777" w:rsidTr="00673974">
        <w:trPr>
          <w:trHeight w:val="300"/>
        </w:trPr>
        <w:tc>
          <w:tcPr>
            <w:cnfStyle w:val="001000000000" w:firstRow="0" w:lastRow="0" w:firstColumn="1" w:lastColumn="0" w:oddVBand="0" w:evenVBand="0" w:oddHBand="0" w:evenHBand="0" w:firstRowFirstColumn="0" w:firstRowLastColumn="0" w:lastRowFirstColumn="0" w:lastRowLastColumn="0"/>
            <w:tcW w:w="2300" w:type="dxa"/>
            <w:noWrap/>
            <w:hideMark/>
          </w:tcPr>
          <w:p w14:paraId="0D15EE2F" w14:textId="77777777" w:rsidR="00D12EE7" w:rsidRPr="00D12EE7" w:rsidRDefault="00D12EE7" w:rsidP="00D12EE7">
            <w:pPr>
              <w:rPr>
                <w:rFonts w:ascii="Baskerville Old Face" w:eastAsia="Times New Roman" w:hAnsi="Baskerville Old Face" w:cs="Times New Roman"/>
                <w:color w:val="000000"/>
                <w:kern w:val="0"/>
                <w14:ligatures w14:val="none"/>
              </w:rPr>
            </w:pPr>
            <w:r w:rsidRPr="00D12EE7">
              <w:rPr>
                <w:rFonts w:ascii="Baskerville Old Face" w:eastAsia="Times New Roman" w:hAnsi="Baskerville Old Face" w:cs="Times New Roman"/>
                <w:color w:val="000000"/>
                <w:kern w:val="0"/>
                <w:lang w:val="en-GB"/>
                <w14:ligatures w14:val="none"/>
              </w:rPr>
              <w:t>TOTAL</w:t>
            </w:r>
          </w:p>
        </w:tc>
        <w:tc>
          <w:tcPr>
            <w:tcW w:w="1655" w:type="dxa"/>
            <w:noWrap/>
            <w:hideMark/>
          </w:tcPr>
          <w:p w14:paraId="1D5F47F5"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D12EE7">
              <w:rPr>
                <w:rFonts w:ascii="Baskerville Old Face" w:eastAsia="Times New Roman" w:hAnsi="Baskerville Old Face" w:cs="Times New Roman"/>
                <w:b/>
                <w:bCs/>
                <w:color w:val="000000"/>
                <w:kern w:val="0"/>
                <w14:ligatures w14:val="none"/>
              </w:rPr>
              <w:t>17</w:t>
            </w:r>
          </w:p>
        </w:tc>
        <w:tc>
          <w:tcPr>
            <w:tcW w:w="1710" w:type="dxa"/>
            <w:noWrap/>
            <w:hideMark/>
          </w:tcPr>
          <w:p w14:paraId="6B585566"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D12EE7">
              <w:rPr>
                <w:rFonts w:ascii="Baskerville Old Face" w:eastAsia="Times New Roman" w:hAnsi="Baskerville Old Face" w:cs="Times New Roman"/>
                <w:b/>
                <w:bCs/>
                <w:color w:val="000000"/>
                <w:kern w:val="0"/>
                <w14:ligatures w14:val="none"/>
              </w:rPr>
              <w:t>8</w:t>
            </w:r>
          </w:p>
        </w:tc>
        <w:tc>
          <w:tcPr>
            <w:tcW w:w="1800" w:type="dxa"/>
            <w:noWrap/>
            <w:hideMark/>
          </w:tcPr>
          <w:p w14:paraId="36D10A43" w14:textId="77777777" w:rsidR="00D12EE7" w:rsidRPr="00D12EE7" w:rsidRDefault="00D12EE7" w:rsidP="00D12EE7">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D12EE7">
              <w:rPr>
                <w:rFonts w:ascii="Baskerville Old Face" w:eastAsia="Times New Roman" w:hAnsi="Baskerville Old Face" w:cs="Times New Roman"/>
                <w:b/>
                <w:bCs/>
                <w:color w:val="000000"/>
                <w:kern w:val="0"/>
                <w14:ligatures w14:val="none"/>
              </w:rPr>
              <w:t>84</w:t>
            </w:r>
          </w:p>
        </w:tc>
      </w:tr>
    </w:tbl>
    <w:p w14:paraId="4F33618C" w14:textId="5764C7C2" w:rsidR="00D7283B" w:rsidRPr="00D7283B" w:rsidRDefault="00446C14" w:rsidP="00D7283B">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666F3DFB" w14:textId="4719F698" w:rsidR="001D0A65" w:rsidRPr="00520DD2" w:rsidRDefault="00395E0D" w:rsidP="00C03BAC">
      <w:pPr>
        <w:pStyle w:val="Heading3"/>
        <w:rPr>
          <w:rFonts w:ascii="Baskerville Old Face" w:hAnsi="Baskerville Old Face"/>
          <w:b/>
          <w:bCs/>
        </w:rPr>
      </w:pPr>
      <w:bookmarkStart w:id="50" w:name="_Toc198043928"/>
      <w:r w:rsidRPr="00520DD2">
        <w:rPr>
          <w:rFonts w:ascii="Baskerville Old Face" w:hAnsi="Baskerville Old Face"/>
          <w:b/>
          <w:bCs/>
        </w:rPr>
        <w:t xml:space="preserve">3.1.4 </w:t>
      </w:r>
      <w:r w:rsidR="001D0A65" w:rsidRPr="00520DD2">
        <w:rPr>
          <w:rFonts w:ascii="Baskerville Old Face" w:hAnsi="Baskerville Old Face"/>
          <w:b/>
          <w:bCs/>
        </w:rPr>
        <w:t>Capacity Building and Staff Development</w:t>
      </w:r>
      <w:bookmarkEnd w:id="50"/>
    </w:p>
    <w:p w14:paraId="60FE3E0F" w14:textId="77777777" w:rsidR="001D0A65" w:rsidRPr="00B811D8" w:rsidRDefault="001D0A65" w:rsidP="001D0A6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 xml:space="preserve">The National Revenue Authority remains committed to advancing the professional development of its workforce by attracting, nurturing, and retaining highly skilled personnel. As part of this ongoing effort, the Human Resources Department facilitated 17 internal and 21 external training </w:t>
      </w:r>
      <w:r w:rsidRPr="00B811D8">
        <w:rPr>
          <w:rFonts w:ascii="Baskerville Old Face" w:eastAsia="Times New Roman" w:hAnsi="Baskerville Old Face" w:cs="Times New Roman"/>
          <w:kern w:val="0"/>
          <w:sz w:val="24"/>
          <w:szCs w:val="24"/>
          <w14:ligatures w14:val="none"/>
        </w:rPr>
        <w:lastRenderedPageBreak/>
        <w:t xml:space="preserve">programmes in 2024, reaching a total of </w:t>
      </w:r>
      <w:r w:rsidRPr="009F304D">
        <w:rPr>
          <w:rFonts w:ascii="Baskerville Old Face" w:eastAsia="Times New Roman" w:hAnsi="Baskerville Old Face" w:cs="Times New Roman"/>
          <w:kern w:val="0"/>
          <w:sz w:val="24"/>
          <w:szCs w:val="24"/>
          <w14:ligatures w14:val="none"/>
        </w:rPr>
        <w:t>704</w:t>
      </w:r>
      <w:r w:rsidRPr="00B811D8">
        <w:rPr>
          <w:rFonts w:ascii="Baskerville Old Face" w:eastAsia="Times New Roman" w:hAnsi="Baskerville Old Face" w:cs="Times New Roman"/>
          <w:kern w:val="0"/>
          <w:sz w:val="24"/>
          <w:szCs w:val="24"/>
          <w14:ligatures w14:val="none"/>
        </w:rPr>
        <w:t xml:space="preserve"> participants. It is important to note that this figure includes individuals who participated in multiple training sessions throughout the year.</w:t>
      </w:r>
    </w:p>
    <w:p w14:paraId="149FC1C2" w14:textId="514B84A6" w:rsidR="001D0A65" w:rsidRPr="00B811D8" w:rsidRDefault="001D0A65" w:rsidP="001D0A6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 xml:space="preserve">Of the </w:t>
      </w:r>
      <w:r w:rsidRPr="009F304D">
        <w:rPr>
          <w:rFonts w:ascii="Baskerville Old Face" w:eastAsia="Times New Roman" w:hAnsi="Baskerville Old Face" w:cs="Times New Roman"/>
          <w:kern w:val="0"/>
          <w:sz w:val="24"/>
          <w:szCs w:val="24"/>
          <w14:ligatures w14:val="none"/>
        </w:rPr>
        <w:t>704</w:t>
      </w:r>
      <w:r w:rsidRPr="00B811D8">
        <w:rPr>
          <w:rFonts w:ascii="Baskerville Old Face" w:eastAsia="Times New Roman" w:hAnsi="Baskerville Old Face" w:cs="Times New Roman"/>
          <w:kern w:val="0"/>
          <w:sz w:val="24"/>
          <w:szCs w:val="24"/>
          <w14:ligatures w14:val="none"/>
        </w:rPr>
        <w:t xml:space="preserve"> training beneficiaries, 489 (69.5%) were male and 215 (30.5%) were female, reflecting the Authority’s inclusive approach to capacity building across gender lines. In terms of training modality, 636 staff members </w:t>
      </w:r>
      <w:r w:rsidR="004F656B">
        <w:rPr>
          <w:rFonts w:ascii="Baskerville Old Face" w:eastAsia="Times New Roman" w:hAnsi="Baskerville Old Face" w:cs="Times New Roman"/>
          <w:kern w:val="0"/>
          <w:sz w:val="24"/>
          <w:szCs w:val="24"/>
          <w14:ligatures w14:val="none"/>
        </w:rPr>
        <w:t>benefited</w:t>
      </w:r>
      <w:r w:rsidRPr="00B811D8">
        <w:rPr>
          <w:rFonts w:ascii="Baskerville Old Face" w:eastAsia="Times New Roman" w:hAnsi="Baskerville Old Face" w:cs="Times New Roman"/>
          <w:kern w:val="0"/>
          <w:sz w:val="24"/>
          <w:szCs w:val="24"/>
          <w14:ligatures w14:val="none"/>
        </w:rPr>
        <w:t xml:space="preserve"> from internal or locally delivered training, while 68 participated in external programmes, highlighting a balanced emphasis on both in-house development and exposure to broader learning environments.</w:t>
      </w:r>
    </w:p>
    <w:p w14:paraId="323AE11D" w14:textId="42841836" w:rsidR="00F573A1" w:rsidRPr="00B811D8" w:rsidRDefault="001D0A65" w:rsidP="001D0A6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811D8">
        <w:rPr>
          <w:rFonts w:ascii="Baskerville Old Face" w:eastAsia="Times New Roman" w:hAnsi="Baskerville Old Face" w:cs="Times New Roman"/>
          <w:kern w:val="0"/>
          <w:sz w:val="24"/>
          <w:szCs w:val="24"/>
          <w14:ligatures w14:val="none"/>
        </w:rPr>
        <w:t xml:space="preserve">As shown in Table 10, </w:t>
      </w:r>
      <w:r w:rsidR="00705580" w:rsidRPr="00B811D8">
        <w:rPr>
          <w:rFonts w:ascii="Baskerville Old Face" w:eastAsia="Times New Roman" w:hAnsi="Baskerville Old Face" w:cs="Times New Roman"/>
          <w:kern w:val="0"/>
          <w:sz w:val="24"/>
          <w:szCs w:val="24"/>
          <w14:ligatures w14:val="none"/>
        </w:rPr>
        <w:t>CSD</w:t>
      </w:r>
      <w:r w:rsidRPr="00B811D8">
        <w:rPr>
          <w:rFonts w:ascii="Baskerville Old Face" w:eastAsia="Times New Roman" w:hAnsi="Baskerville Old Face" w:cs="Times New Roman"/>
          <w:kern w:val="0"/>
          <w:sz w:val="24"/>
          <w:szCs w:val="24"/>
          <w14:ligatures w14:val="none"/>
        </w:rPr>
        <w:t xml:space="preserve"> recorded the highest number of training participants (1</w:t>
      </w:r>
      <w:r w:rsidR="009F304D">
        <w:rPr>
          <w:rFonts w:ascii="Baskerville Old Face" w:eastAsia="Times New Roman" w:hAnsi="Baskerville Old Face" w:cs="Times New Roman"/>
          <w:kern w:val="0"/>
          <w:sz w:val="24"/>
          <w:szCs w:val="24"/>
          <w14:ligatures w14:val="none"/>
        </w:rPr>
        <w:t>69</w:t>
      </w:r>
      <w:r w:rsidRPr="00B811D8">
        <w:rPr>
          <w:rFonts w:ascii="Baskerville Old Face" w:eastAsia="Times New Roman" w:hAnsi="Baskerville Old Face" w:cs="Times New Roman"/>
          <w:kern w:val="0"/>
          <w:sz w:val="24"/>
          <w:szCs w:val="24"/>
          <w14:ligatures w14:val="none"/>
        </w:rPr>
        <w:t xml:space="preserve"> staff), followed by DTD with 1</w:t>
      </w:r>
      <w:r w:rsidR="009F304D">
        <w:rPr>
          <w:rFonts w:ascii="Baskerville Old Face" w:eastAsia="Times New Roman" w:hAnsi="Baskerville Old Face" w:cs="Times New Roman"/>
          <w:kern w:val="0"/>
          <w:sz w:val="24"/>
          <w:szCs w:val="24"/>
          <w14:ligatures w14:val="none"/>
        </w:rPr>
        <w:t>49</w:t>
      </w:r>
      <w:r w:rsidRPr="00B811D8">
        <w:rPr>
          <w:rFonts w:ascii="Baskerville Old Face" w:eastAsia="Times New Roman" w:hAnsi="Baskerville Old Face" w:cs="Times New Roman"/>
          <w:kern w:val="0"/>
          <w:sz w:val="24"/>
          <w:szCs w:val="24"/>
          <w14:ligatures w14:val="none"/>
        </w:rPr>
        <w:t xml:space="preserve"> staff, and </w:t>
      </w:r>
      <w:r w:rsidR="00705580" w:rsidRPr="00B811D8">
        <w:rPr>
          <w:rFonts w:ascii="Baskerville Old Face" w:eastAsia="Times New Roman" w:hAnsi="Baskerville Old Face" w:cs="Times New Roman"/>
          <w:kern w:val="0"/>
          <w:sz w:val="24"/>
          <w:szCs w:val="24"/>
          <w14:ligatures w14:val="none"/>
        </w:rPr>
        <w:t>NTR</w:t>
      </w:r>
      <w:r w:rsidRPr="00B811D8">
        <w:rPr>
          <w:rFonts w:ascii="Baskerville Old Face" w:eastAsia="Times New Roman" w:hAnsi="Baskerville Old Face" w:cs="Times New Roman"/>
          <w:kern w:val="0"/>
          <w:sz w:val="24"/>
          <w:szCs w:val="24"/>
          <w14:ligatures w14:val="none"/>
        </w:rPr>
        <w:t xml:space="preserve"> with 75 staff. These figures are broadly consistent with the relative size and operational demands of the respective departments.</w:t>
      </w:r>
    </w:p>
    <w:p w14:paraId="40D5E322" w14:textId="310F2283" w:rsidR="0071721B" w:rsidRPr="002465E3" w:rsidRDefault="0071721B" w:rsidP="0071721B">
      <w:pPr>
        <w:pStyle w:val="Caption"/>
        <w:keepNext/>
        <w:rPr>
          <w:rFonts w:ascii="Baskerville Old Face" w:hAnsi="Baskerville Old Face"/>
          <w:b/>
          <w:bCs/>
          <w:sz w:val="24"/>
          <w:szCs w:val="24"/>
        </w:rPr>
      </w:pPr>
      <w:bookmarkStart w:id="51" w:name="_Toc198044028"/>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10</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Number of Training Participants by Department 2024</w:t>
      </w:r>
      <w:bookmarkEnd w:id="51"/>
    </w:p>
    <w:tbl>
      <w:tblPr>
        <w:tblStyle w:val="GridTable6Colourful"/>
        <w:tblW w:w="7735" w:type="dxa"/>
        <w:tblLook w:val="04A0" w:firstRow="1" w:lastRow="0" w:firstColumn="1" w:lastColumn="0" w:noHBand="0" w:noVBand="1"/>
      </w:tblPr>
      <w:tblGrid>
        <w:gridCol w:w="3775"/>
        <w:gridCol w:w="3960"/>
      </w:tblGrid>
      <w:tr w:rsidR="006D706C" w:rsidRPr="006D706C" w14:paraId="2D4E6231" w14:textId="77777777" w:rsidTr="006D70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304A772" w14:textId="77777777" w:rsidR="006D706C" w:rsidRPr="006D706C" w:rsidRDefault="006D706C" w:rsidP="006D706C">
            <w:pPr>
              <w:jc w:val="center"/>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DEPARTMENT</w:t>
            </w:r>
          </w:p>
        </w:tc>
        <w:tc>
          <w:tcPr>
            <w:tcW w:w="3960" w:type="dxa"/>
            <w:noWrap/>
            <w:hideMark/>
          </w:tcPr>
          <w:p w14:paraId="449899BB" w14:textId="5EC40269" w:rsidR="006D706C" w:rsidRPr="006D706C" w:rsidRDefault="006D706C" w:rsidP="006D706C">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 xml:space="preserve">NO. OF </w:t>
            </w:r>
            <w:r>
              <w:rPr>
                <w:rFonts w:ascii="Baskerville Old Face" w:eastAsia="Times New Roman" w:hAnsi="Baskerville Old Face" w:cs="Times New Roman"/>
                <w:color w:val="000000"/>
                <w:kern w:val="0"/>
                <w:lang w:val="en-GB"/>
                <w14:ligatures w14:val="none"/>
              </w:rPr>
              <w:t>PARTICIPANTS</w:t>
            </w:r>
          </w:p>
        </w:tc>
      </w:tr>
      <w:tr w:rsidR="006D706C" w:rsidRPr="006D706C" w14:paraId="5934812E"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319C1AD"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CG’s OFFICE</w:t>
            </w:r>
          </w:p>
        </w:tc>
        <w:tc>
          <w:tcPr>
            <w:tcW w:w="3960" w:type="dxa"/>
            <w:noWrap/>
            <w:hideMark/>
          </w:tcPr>
          <w:p w14:paraId="7E27D572"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34</w:t>
            </w:r>
          </w:p>
        </w:tc>
      </w:tr>
      <w:tr w:rsidR="006D706C" w:rsidRPr="006D706C" w14:paraId="0E212948"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4E4CAAD6"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RIID</w:t>
            </w:r>
          </w:p>
        </w:tc>
        <w:tc>
          <w:tcPr>
            <w:tcW w:w="3960" w:type="dxa"/>
            <w:noWrap/>
            <w:hideMark/>
          </w:tcPr>
          <w:p w14:paraId="6E42A782" w14:textId="77777777"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23</w:t>
            </w:r>
          </w:p>
        </w:tc>
      </w:tr>
      <w:tr w:rsidR="006D706C" w:rsidRPr="006D706C" w14:paraId="431D3D58"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93956CC"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HUMAN RESOURCE</w:t>
            </w:r>
          </w:p>
        </w:tc>
        <w:tc>
          <w:tcPr>
            <w:tcW w:w="3960" w:type="dxa"/>
            <w:noWrap/>
            <w:hideMark/>
          </w:tcPr>
          <w:p w14:paraId="17C386F6"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37</w:t>
            </w:r>
          </w:p>
        </w:tc>
      </w:tr>
      <w:tr w:rsidR="006D706C" w:rsidRPr="006D706C" w14:paraId="28E9F1C4"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53C738BA"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STAFF WELFARE</w:t>
            </w:r>
          </w:p>
        </w:tc>
        <w:tc>
          <w:tcPr>
            <w:tcW w:w="3960" w:type="dxa"/>
            <w:noWrap/>
            <w:hideMark/>
          </w:tcPr>
          <w:p w14:paraId="1CD816A8" w14:textId="77777777"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3</w:t>
            </w:r>
          </w:p>
        </w:tc>
      </w:tr>
      <w:tr w:rsidR="006D706C" w:rsidRPr="006D706C" w14:paraId="2556A841"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1ECB1AA"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ADMIN</w:t>
            </w:r>
          </w:p>
        </w:tc>
        <w:tc>
          <w:tcPr>
            <w:tcW w:w="3960" w:type="dxa"/>
            <w:noWrap/>
            <w:hideMark/>
          </w:tcPr>
          <w:p w14:paraId="606888D8"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49</w:t>
            </w:r>
          </w:p>
        </w:tc>
      </w:tr>
      <w:tr w:rsidR="006D706C" w:rsidRPr="006D706C" w14:paraId="70D24AA2"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8817AAB" w14:textId="2EE45E36"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Pr>
                <w:rFonts w:ascii="Baskerville Old Face" w:eastAsia="Times New Roman" w:hAnsi="Baskerville Old Face" w:cs="Times New Roman"/>
                <w:b w:val="0"/>
                <w:bCs w:val="0"/>
                <w:color w:val="000000"/>
                <w:kern w:val="0"/>
                <w:lang w:val="en-GB"/>
                <w14:ligatures w14:val="none"/>
              </w:rPr>
              <w:t>CSD</w:t>
            </w:r>
          </w:p>
        </w:tc>
        <w:tc>
          <w:tcPr>
            <w:tcW w:w="3960" w:type="dxa"/>
            <w:noWrap/>
            <w:hideMark/>
          </w:tcPr>
          <w:p w14:paraId="6A4B964F" w14:textId="152D8300"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1</w:t>
            </w:r>
            <w:r w:rsidR="009F304D">
              <w:rPr>
                <w:rFonts w:ascii="Baskerville Old Face" w:eastAsia="Times New Roman" w:hAnsi="Baskerville Old Face" w:cs="Times New Roman"/>
                <w:color w:val="000000"/>
                <w:kern w:val="0"/>
                <w:lang w:val="en-GB"/>
                <w14:ligatures w14:val="none"/>
              </w:rPr>
              <w:t>69</w:t>
            </w:r>
          </w:p>
        </w:tc>
      </w:tr>
      <w:tr w:rsidR="006D706C" w:rsidRPr="006D706C" w14:paraId="672E5034"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4E86254F"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NTR</w:t>
            </w:r>
          </w:p>
        </w:tc>
        <w:tc>
          <w:tcPr>
            <w:tcW w:w="3960" w:type="dxa"/>
            <w:noWrap/>
            <w:hideMark/>
          </w:tcPr>
          <w:p w14:paraId="0B52164D"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75</w:t>
            </w:r>
          </w:p>
        </w:tc>
      </w:tr>
      <w:tr w:rsidR="006D706C" w:rsidRPr="006D706C" w14:paraId="6DE20529"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6C7B89F"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F &amp; B</w:t>
            </w:r>
          </w:p>
        </w:tc>
        <w:tc>
          <w:tcPr>
            <w:tcW w:w="3960" w:type="dxa"/>
            <w:noWrap/>
            <w:hideMark/>
          </w:tcPr>
          <w:p w14:paraId="6702B4E1" w14:textId="77777777"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19</w:t>
            </w:r>
          </w:p>
        </w:tc>
      </w:tr>
      <w:tr w:rsidR="006D706C" w:rsidRPr="006D706C" w14:paraId="0A759169"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2ECE58A"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MRP</w:t>
            </w:r>
          </w:p>
        </w:tc>
        <w:tc>
          <w:tcPr>
            <w:tcW w:w="3960" w:type="dxa"/>
            <w:noWrap/>
            <w:hideMark/>
          </w:tcPr>
          <w:p w14:paraId="252EAB7D"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30</w:t>
            </w:r>
          </w:p>
        </w:tc>
      </w:tr>
      <w:tr w:rsidR="006D706C" w:rsidRPr="006D706C" w14:paraId="126E1291"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5B58290F"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ICT</w:t>
            </w:r>
          </w:p>
        </w:tc>
        <w:tc>
          <w:tcPr>
            <w:tcW w:w="3960" w:type="dxa"/>
            <w:noWrap/>
            <w:hideMark/>
          </w:tcPr>
          <w:p w14:paraId="602BFBF7" w14:textId="77777777"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48</w:t>
            </w:r>
          </w:p>
        </w:tc>
      </w:tr>
      <w:tr w:rsidR="006D706C" w:rsidRPr="006D706C" w14:paraId="68549AAC"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3CB045E"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ICA</w:t>
            </w:r>
          </w:p>
        </w:tc>
        <w:tc>
          <w:tcPr>
            <w:tcW w:w="3960" w:type="dxa"/>
            <w:noWrap/>
            <w:hideMark/>
          </w:tcPr>
          <w:p w14:paraId="3E734CC3"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24</w:t>
            </w:r>
          </w:p>
        </w:tc>
      </w:tr>
      <w:tr w:rsidR="006D706C" w:rsidRPr="006D706C" w14:paraId="391EEEDC"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0BE9D6A"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L&amp;CS</w:t>
            </w:r>
          </w:p>
        </w:tc>
        <w:tc>
          <w:tcPr>
            <w:tcW w:w="3960" w:type="dxa"/>
            <w:noWrap/>
            <w:hideMark/>
          </w:tcPr>
          <w:p w14:paraId="7BA9B8AE" w14:textId="77777777"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23</w:t>
            </w:r>
          </w:p>
        </w:tc>
      </w:tr>
      <w:tr w:rsidR="006D706C" w:rsidRPr="006D706C" w14:paraId="220D77E4"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2BE4D4E"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MODERNIZATION</w:t>
            </w:r>
          </w:p>
        </w:tc>
        <w:tc>
          <w:tcPr>
            <w:tcW w:w="3960" w:type="dxa"/>
            <w:noWrap/>
            <w:hideMark/>
          </w:tcPr>
          <w:p w14:paraId="09A88BF2"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19</w:t>
            </w:r>
          </w:p>
        </w:tc>
      </w:tr>
      <w:tr w:rsidR="006D706C" w:rsidRPr="006D706C" w14:paraId="0B50EFB0" w14:textId="77777777" w:rsidTr="006D706C">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9BD2969"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DTD</w:t>
            </w:r>
          </w:p>
        </w:tc>
        <w:tc>
          <w:tcPr>
            <w:tcW w:w="3960" w:type="dxa"/>
            <w:noWrap/>
            <w:hideMark/>
          </w:tcPr>
          <w:p w14:paraId="68EA9B33" w14:textId="22514955"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1</w:t>
            </w:r>
            <w:r w:rsidR="009F304D">
              <w:rPr>
                <w:rFonts w:ascii="Baskerville Old Face" w:eastAsia="Times New Roman" w:hAnsi="Baskerville Old Face" w:cs="Times New Roman"/>
                <w:color w:val="000000"/>
                <w:kern w:val="0"/>
                <w:lang w:val="en-GB"/>
                <w14:ligatures w14:val="none"/>
              </w:rPr>
              <w:t>49</w:t>
            </w:r>
          </w:p>
        </w:tc>
      </w:tr>
      <w:tr w:rsidR="006D706C" w:rsidRPr="006D706C" w14:paraId="42342B4E" w14:textId="77777777" w:rsidTr="006D70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B07E597" w14:textId="77777777" w:rsidR="006D706C" w:rsidRPr="006D706C" w:rsidRDefault="006D706C" w:rsidP="006D706C">
            <w:pPr>
              <w:jc w:val="center"/>
              <w:rPr>
                <w:rFonts w:ascii="Baskerville Old Face" w:eastAsia="Times New Roman" w:hAnsi="Baskerville Old Face" w:cs="Times New Roman"/>
                <w:b w:val="0"/>
                <w:bCs w:val="0"/>
                <w:color w:val="000000"/>
                <w:kern w:val="0"/>
                <w14:ligatures w14:val="none"/>
              </w:rPr>
            </w:pPr>
            <w:r w:rsidRPr="006D706C">
              <w:rPr>
                <w:rFonts w:ascii="Baskerville Old Face" w:eastAsia="Times New Roman" w:hAnsi="Baskerville Old Face" w:cs="Times New Roman"/>
                <w:b w:val="0"/>
                <w:bCs w:val="0"/>
                <w:color w:val="000000"/>
                <w:kern w:val="0"/>
                <w:lang w:val="en-GB"/>
                <w14:ligatures w14:val="none"/>
              </w:rPr>
              <w:t>BOARD</w:t>
            </w:r>
          </w:p>
        </w:tc>
        <w:tc>
          <w:tcPr>
            <w:tcW w:w="3960" w:type="dxa"/>
            <w:noWrap/>
            <w:hideMark/>
          </w:tcPr>
          <w:p w14:paraId="38FFA39A" w14:textId="77777777" w:rsidR="006D706C" w:rsidRPr="006D706C" w:rsidRDefault="006D706C" w:rsidP="006D706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2</w:t>
            </w:r>
          </w:p>
        </w:tc>
      </w:tr>
      <w:tr w:rsidR="006D706C" w:rsidRPr="006D706C" w14:paraId="3A893D2B" w14:textId="77777777" w:rsidTr="006D706C">
        <w:trPr>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66E1970" w14:textId="77777777" w:rsidR="006D706C" w:rsidRPr="006D706C" w:rsidRDefault="006D706C" w:rsidP="006D706C">
            <w:pPr>
              <w:jc w:val="center"/>
              <w:rPr>
                <w:rFonts w:ascii="Baskerville Old Face" w:eastAsia="Times New Roman" w:hAnsi="Baskerville Old Face" w:cs="Times New Roman"/>
                <w:color w:val="000000"/>
                <w:kern w:val="0"/>
                <w14:ligatures w14:val="none"/>
              </w:rPr>
            </w:pPr>
            <w:r w:rsidRPr="006D706C">
              <w:rPr>
                <w:rFonts w:ascii="Baskerville Old Face" w:eastAsia="Times New Roman" w:hAnsi="Baskerville Old Face" w:cs="Times New Roman"/>
                <w:color w:val="000000"/>
                <w:kern w:val="0"/>
                <w:lang w:val="en-GB"/>
                <w14:ligatures w14:val="none"/>
              </w:rPr>
              <w:t>TOTAL</w:t>
            </w:r>
          </w:p>
        </w:tc>
        <w:tc>
          <w:tcPr>
            <w:tcW w:w="3960" w:type="dxa"/>
            <w:noWrap/>
            <w:hideMark/>
          </w:tcPr>
          <w:p w14:paraId="28D2D02E" w14:textId="6DECA3E0" w:rsidR="006D706C" w:rsidRPr="006D706C" w:rsidRDefault="006D706C" w:rsidP="006D706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9F304D">
              <w:rPr>
                <w:rFonts w:ascii="Baskerville Old Face" w:eastAsia="Times New Roman" w:hAnsi="Baskerville Old Face" w:cs="Times New Roman"/>
                <w:b/>
                <w:bCs/>
                <w:color w:val="000000"/>
                <w:kern w:val="0"/>
                <w:lang w:val="en-GB"/>
                <w14:ligatures w14:val="none"/>
              </w:rPr>
              <w:t>70</w:t>
            </w:r>
            <w:r w:rsidR="009F304D" w:rsidRPr="009F304D">
              <w:rPr>
                <w:rFonts w:ascii="Baskerville Old Face" w:eastAsia="Times New Roman" w:hAnsi="Baskerville Old Face" w:cs="Times New Roman"/>
                <w:b/>
                <w:bCs/>
                <w:color w:val="000000"/>
                <w:kern w:val="0"/>
                <w:lang w:val="en-GB"/>
                <w14:ligatures w14:val="none"/>
              </w:rPr>
              <w:t>4</w:t>
            </w:r>
          </w:p>
        </w:tc>
      </w:tr>
    </w:tbl>
    <w:p w14:paraId="0E2C2FBB" w14:textId="77777777" w:rsidR="00845B8C" w:rsidRPr="00D7283B" w:rsidRDefault="00845B8C" w:rsidP="00845B8C">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749549DE" w14:textId="7A177080" w:rsidR="00845B8C" w:rsidRPr="00520DD2" w:rsidRDefault="00395E0D" w:rsidP="00C03BAC">
      <w:pPr>
        <w:pStyle w:val="Heading3"/>
        <w:rPr>
          <w:rFonts w:ascii="Baskerville Old Face" w:hAnsi="Baskerville Old Face"/>
          <w:b/>
          <w:bCs/>
        </w:rPr>
      </w:pPr>
      <w:bookmarkStart w:id="52" w:name="_Toc198043929"/>
      <w:r w:rsidRPr="00520DD2">
        <w:rPr>
          <w:rFonts w:ascii="Baskerville Old Face" w:hAnsi="Baskerville Old Face"/>
          <w:b/>
          <w:bCs/>
        </w:rPr>
        <w:t xml:space="preserve">3.1.5 </w:t>
      </w:r>
      <w:r w:rsidR="00845B8C" w:rsidRPr="00520DD2">
        <w:rPr>
          <w:rFonts w:ascii="Baskerville Old Face" w:hAnsi="Baskerville Old Face"/>
          <w:b/>
          <w:bCs/>
        </w:rPr>
        <w:t>Biometric Attendance Management</w:t>
      </w:r>
      <w:bookmarkEnd w:id="52"/>
    </w:p>
    <w:p w14:paraId="10036BD9" w14:textId="77777777" w:rsidR="0040265F" w:rsidRPr="0040265F" w:rsidRDefault="0040265F" w:rsidP="0040265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40265F">
        <w:rPr>
          <w:rFonts w:ascii="Baskerville Old Face" w:eastAsia="Times New Roman" w:hAnsi="Baskerville Old Face" w:cs="Times New Roman"/>
          <w:kern w:val="0"/>
          <w:sz w:val="24"/>
          <w:szCs w:val="24"/>
          <w14:ligatures w14:val="none"/>
        </w:rPr>
        <w:t>As part of efforts to promote effective time management and improve workplace productivity, the Staff Welfare Department in 2024 continued to oversee the maintenance of biometric attendance devices installed across NRA offices in both the Western Area and provincial locations.</w:t>
      </w:r>
    </w:p>
    <w:p w14:paraId="6E4D0DDD" w14:textId="2358441C" w:rsidR="0040265F" w:rsidRPr="002E5B46" w:rsidRDefault="0040265F" w:rsidP="0040265F">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2E5B46">
        <w:rPr>
          <w:rFonts w:ascii="Baskerville Old Face" w:eastAsia="Times New Roman" w:hAnsi="Baskerville Old Face" w:cs="Times New Roman"/>
          <w:kern w:val="0"/>
          <w:sz w:val="24"/>
          <w:szCs w:val="24"/>
          <w14:ligatures w14:val="none"/>
        </w:rPr>
        <w:t xml:space="preserve">To further strengthen attendance monitoring, new biometric devices were deployed to several outstation offices during the year. However, installations were not completed in Kailahun, </w:t>
      </w:r>
      <w:proofErr w:type="spellStart"/>
      <w:r w:rsidRPr="002E5B46">
        <w:rPr>
          <w:rFonts w:ascii="Baskerville Old Face" w:eastAsia="Times New Roman" w:hAnsi="Baskerville Old Face" w:cs="Times New Roman"/>
          <w:kern w:val="0"/>
          <w:sz w:val="24"/>
          <w:szCs w:val="24"/>
          <w14:ligatures w14:val="none"/>
        </w:rPr>
        <w:t>Jendema</w:t>
      </w:r>
      <w:proofErr w:type="spellEnd"/>
      <w:r w:rsidRPr="002E5B46">
        <w:rPr>
          <w:rFonts w:ascii="Baskerville Old Face" w:eastAsia="Times New Roman" w:hAnsi="Baskerville Old Face" w:cs="Times New Roman"/>
          <w:kern w:val="0"/>
          <w:sz w:val="24"/>
          <w:szCs w:val="24"/>
          <w14:ligatures w14:val="none"/>
        </w:rPr>
        <w:t xml:space="preserve">, and Lungi due to specific operational challenges. In Kailahun and </w:t>
      </w:r>
      <w:proofErr w:type="spellStart"/>
      <w:r w:rsidRPr="002E5B46">
        <w:rPr>
          <w:rFonts w:ascii="Baskerville Old Face" w:eastAsia="Times New Roman" w:hAnsi="Baskerville Old Face" w:cs="Times New Roman"/>
          <w:kern w:val="0"/>
          <w:sz w:val="24"/>
          <w:szCs w:val="24"/>
          <w14:ligatures w14:val="none"/>
        </w:rPr>
        <w:t>Jendema</w:t>
      </w:r>
      <w:proofErr w:type="spellEnd"/>
      <w:r w:rsidRPr="002E5B46">
        <w:rPr>
          <w:rFonts w:ascii="Baskerville Old Face" w:eastAsia="Times New Roman" w:hAnsi="Baskerville Old Face" w:cs="Times New Roman"/>
          <w:kern w:val="0"/>
          <w:sz w:val="24"/>
          <w:szCs w:val="24"/>
          <w14:ligatures w14:val="none"/>
        </w:rPr>
        <w:t xml:space="preserve">, the absence of reliable </w:t>
      </w:r>
      <w:r w:rsidRPr="002E5B46">
        <w:rPr>
          <w:rFonts w:ascii="Baskerville Old Face" w:eastAsia="Times New Roman" w:hAnsi="Baskerville Old Face" w:cs="Times New Roman"/>
          <w:kern w:val="0"/>
          <w:sz w:val="24"/>
          <w:szCs w:val="24"/>
          <w14:ligatures w14:val="none"/>
        </w:rPr>
        <w:lastRenderedPageBreak/>
        <w:t>internet connectivity hindered installation efforts. Meanwhile, in Lungi, installation could not proceed due to space allocation constraints imposed by the Airport Management.</w:t>
      </w:r>
    </w:p>
    <w:p w14:paraId="777FB966" w14:textId="71A75872" w:rsidR="00845B8C" w:rsidRPr="00520DD2" w:rsidRDefault="00395E0D" w:rsidP="00C03BAC">
      <w:pPr>
        <w:pStyle w:val="Heading3"/>
        <w:rPr>
          <w:rFonts w:ascii="Baskerville Old Face" w:hAnsi="Baskerville Old Face"/>
          <w:b/>
          <w:bCs/>
        </w:rPr>
      </w:pPr>
      <w:bookmarkStart w:id="53" w:name="_Toc198043930"/>
      <w:r w:rsidRPr="00520DD2">
        <w:rPr>
          <w:rFonts w:ascii="Baskerville Old Face" w:hAnsi="Baskerville Old Face"/>
          <w:b/>
          <w:bCs/>
        </w:rPr>
        <w:t xml:space="preserve">3.1.6 </w:t>
      </w:r>
      <w:r w:rsidR="00845B8C" w:rsidRPr="00520DD2">
        <w:rPr>
          <w:rFonts w:ascii="Baskerville Old Face" w:hAnsi="Baskerville Old Face"/>
          <w:b/>
          <w:bCs/>
        </w:rPr>
        <w:t>Management of Sick Leave and Death Benefits</w:t>
      </w:r>
      <w:bookmarkEnd w:id="53"/>
    </w:p>
    <w:p w14:paraId="022A06AB" w14:textId="6B96DC9A" w:rsidR="00453CA5" w:rsidRPr="002E5B46" w:rsidRDefault="00453CA5" w:rsidP="00453CA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2E5B46">
        <w:rPr>
          <w:rFonts w:ascii="Baskerville Old Face" w:eastAsia="Times New Roman" w:hAnsi="Baskerville Old Face" w:cs="Times New Roman"/>
          <w:kern w:val="0"/>
          <w:sz w:val="24"/>
          <w:szCs w:val="24"/>
          <w14:ligatures w14:val="none"/>
        </w:rPr>
        <w:t>In its continued commitment to employee wellbeing, the Staff Welfare Department in 2024 processed a total of twenty-five (25) medical sick leave requests submitted by staff across various departments. These approvals were granted to allow affected employees to undergo necessary medical treatment within the period specified in their respective medical leave applications.</w:t>
      </w:r>
    </w:p>
    <w:p w14:paraId="214E8FE9" w14:textId="77777777" w:rsidR="00453CA5" w:rsidRPr="00D03CB1" w:rsidRDefault="00453CA5" w:rsidP="00453CA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2E5B46">
        <w:rPr>
          <w:rFonts w:ascii="Baskerville Old Face" w:eastAsia="Times New Roman" w:hAnsi="Baskerville Old Face" w:cs="Times New Roman"/>
          <w:kern w:val="0"/>
          <w:sz w:val="24"/>
          <w:szCs w:val="24"/>
          <w14:ligatures w14:val="none"/>
        </w:rPr>
        <w:t>Additionally, during the reporting year, the Department facilitated the disbursement of bereavement support purses to the families of eight (8) deceased staff members. These contributions, in line with the provisions of the Revised NRA Terms and Conditions of Service (TACOS), were intended</w:t>
      </w:r>
      <w:r w:rsidRPr="00D03CB1">
        <w:rPr>
          <w:rFonts w:ascii="Baskerville Old Face" w:eastAsia="Times New Roman" w:hAnsi="Baskerville Old Face" w:cs="Times New Roman"/>
          <w:kern w:val="0"/>
          <w:sz w:val="24"/>
          <w:szCs w:val="24"/>
          <w14:ligatures w14:val="none"/>
        </w:rPr>
        <w:t xml:space="preserve"> to support funeral-related expenses and provide some financial relief to bereaved families.</w:t>
      </w:r>
    </w:p>
    <w:p w14:paraId="3A6D4D8B" w14:textId="0CA793A3" w:rsidR="00BF54BF" w:rsidRPr="00520DD2" w:rsidRDefault="00395E0D" w:rsidP="00C03BAC">
      <w:pPr>
        <w:pStyle w:val="Heading2"/>
        <w:rPr>
          <w:rFonts w:ascii="Baskerville Old Face" w:hAnsi="Baskerville Old Face"/>
          <w:b/>
          <w:bCs/>
        </w:rPr>
      </w:pPr>
      <w:bookmarkStart w:id="54" w:name="_Toc198043931"/>
      <w:r w:rsidRPr="00520DD2">
        <w:rPr>
          <w:rFonts w:ascii="Baskerville Old Face" w:hAnsi="Baskerville Old Face"/>
          <w:b/>
          <w:bCs/>
        </w:rPr>
        <w:t xml:space="preserve">3.2 </w:t>
      </w:r>
      <w:r w:rsidR="009F7B1D" w:rsidRPr="00520DD2">
        <w:rPr>
          <w:rFonts w:ascii="Baskerville Old Face" w:hAnsi="Baskerville Old Face"/>
          <w:b/>
          <w:bCs/>
        </w:rPr>
        <w:t>UPDATE ON REVENUE INTELLIGENCE AND INVESTIGATIONS</w:t>
      </w:r>
      <w:bookmarkEnd w:id="54"/>
    </w:p>
    <w:p w14:paraId="18E8D2C2" w14:textId="2A0678D7" w:rsidR="00E20621" w:rsidRPr="00E20621" w:rsidRDefault="00E20621" w:rsidP="00D03230">
      <w:pPr>
        <w:spacing w:line="276"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 xml:space="preserve">The Revenue Intelligence and Investigations Department (RIID) remains dedicated to enhancing compliance to </w:t>
      </w:r>
      <w:proofErr w:type="spellStart"/>
      <w:r w:rsidRPr="00E20621">
        <w:rPr>
          <w:rFonts w:ascii="Baskerville Old Face" w:hAnsi="Baskerville Old Face" w:cs="Times New Roman"/>
          <w:sz w:val="24"/>
          <w:szCs w:val="24"/>
        </w:rPr>
        <w:t>optimi</w:t>
      </w:r>
      <w:r w:rsidR="00420036">
        <w:rPr>
          <w:rFonts w:ascii="Baskerville Old Face" w:hAnsi="Baskerville Old Face" w:cs="Times New Roman"/>
          <w:sz w:val="24"/>
          <w:szCs w:val="24"/>
        </w:rPr>
        <w:t>s</w:t>
      </w:r>
      <w:r w:rsidRPr="00E20621">
        <w:rPr>
          <w:rFonts w:ascii="Baskerville Old Face" w:hAnsi="Baskerville Old Face" w:cs="Times New Roman"/>
          <w:sz w:val="24"/>
          <w:szCs w:val="24"/>
        </w:rPr>
        <w:t>e</w:t>
      </w:r>
      <w:proofErr w:type="spellEnd"/>
      <w:r w:rsidRPr="00E20621">
        <w:rPr>
          <w:rFonts w:ascii="Baskerville Old Face" w:hAnsi="Baskerville Old Face" w:cs="Times New Roman"/>
          <w:sz w:val="24"/>
          <w:szCs w:val="24"/>
        </w:rPr>
        <w:t xml:space="preserve"> revenue collection. Central to its responsibilities are information gathering, intelligence processing, and investigations. The Department's reports and findings serve as pivotal resources for revenue recovery, identification of irregularities, disciplinary measures, and, when necessary, legal actions. Additionally, </w:t>
      </w:r>
      <w:r w:rsidR="006E34F0" w:rsidRPr="00E20621">
        <w:rPr>
          <w:rFonts w:ascii="Baskerville Old Face" w:hAnsi="Baskerville Old Face" w:cs="Times New Roman"/>
          <w:sz w:val="24"/>
          <w:szCs w:val="24"/>
        </w:rPr>
        <w:t>RIID</w:t>
      </w:r>
      <w:r w:rsidRPr="00E20621">
        <w:rPr>
          <w:rFonts w:ascii="Baskerville Old Face" w:hAnsi="Baskerville Old Face" w:cs="Times New Roman"/>
          <w:sz w:val="24"/>
          <w:szCs w:val="24"/>
        </w:rPr>
        <w:t xml:space="preserve"> plays a crucial role in integrity management and the detection of tax fraud, both internally and externally. Legislative responsibilities </w:t>
      </w:r>
      <w:r w:rsidR="006E34F0">
        <w:rPr>
          <w:rFonts w:ascii="Baskerville Old Face" w:hAnsi="Baskerville Old Face" w:cs="Times New Roman"/>
          <w:sz w:val="24"/>
          <w:szCs w:val="24"/>
        </w:rPr>
        <w:t>of</w:t>
      </w:r>
      <w:r w:rsidRPr="00E20621">
        <w:rPr>
          <w:rFonts w:ascii="Baskerville Old Face" w:hAnsi="Baskerville Old Face" w:cs="Times New Roman"/>
          <w:sz w:val="24"/>
          <w:szCs w:val="24"/>
        </w:rPr>
        <w:t xml:space="preserve"> licensing of Customs Clearing and Forwarding Agencies (C&amp;FAs) also fall within the purview of this Department, which works in tandem with operational departments to enforce tax regulations.</w:t>
      </w:r>
    </w:p>
    <w:p w14:paraId="4AF6C8BD" w14:textId="415EA243" w:rsidR="00E20621" w:rsidRDefault="00E20621" w:rsidP="00D03230">
      <w:pPr>
        <w:spacing w:line="276"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The RIID operates through two distinct units: the Investigations Unit and the Intelligence Gathering and Analysis Unit. Throughout 202</w:t>
      </w:r>
      <w:r w:rsidR="00742DD6">
        <w:rPr>
          <w:rFonts w:ascii="Baskerville Old Face" w:hAnsi="Baskerville Old Face" w:cs="Times New Roman"/>
          <w:sz w:val="24"/>
          <w:szCs w:val="24"/>
        </w:rPr>
        <w:t>4</w:t>
      </w:r>
      <w:r w:rsidRPr="00E20621">
        <w:rPr>
          <w:rFonts w:ascii="Baskerville Old Face" w:hAnsi="Baskerville Old Face" w:cs="Times New Roman"/>
          <w:sz w:val="24"/>
          <w:szCs w:val="24"/>
        </w:rPr>
        <w:t xml:space="preserve">, the Department engaged in numerous intelligence operations, risk assessments, and investigations, often collaborating with other Departments. Furthermore, enforcement activities were executed by a </w:t>
      </w:r>
      <w:proofErr w:type="spellStart"/>
      <w:r w:rsidRPr="00E20621">
        <w:rPr>
          <w:rFonts w:ascii="Baskerville Old Face" w:hAnsi="Baskerville Old Face" w:cs="Times New Roman"/>
          <w:sz w:val="24"/>
          <w:szCs w:val="24"/>
        </w:rPr>
        <w:t>speciali</w:t>
      </w:r>
      <w:r w:rsidR="00742DD6">
        <w:rPr>
          <w:rFonts w:ascii="Baskerville Old Face" w:hAnsi="Baskerville Old Face" w:cs="Times New Roman"/>
          <w:sz w:val="24"/>
          <w:szCs w:val="24"/>
        </w:rPr>
        <w:t>s</w:t>
      </w:r>
      <w:r w:rsidRPr="00E20621">
        <w:rPr>
          <w:rFonts w:ascii="Baskerville Old Face" w:hAnsi="Baskerville Old Face" w:cs="Times New Roman"/>
          <w:sz w:val="24"/>
          <w:szCs w:val="24"/>
        </w:rPr>
        <w:t>ed</w:t>
      </w:r>
      <w:proofErr w:type="spellEnd"/>
      <w:r w:rsidRPr="00E20621">
        <w:rPr>
          <w:rFonts w:ascii="Baskerville Old Face" w:hAnsi="Baskerville Old Face" w:cs="Times New Roman"/>
          <w:sz w:val="24"/>
          <w:szCs w:val="24"/>
        </w:rPr>
        <w:t xml:space="preserve"> task force within the Department known as the Enforcement Task Force.</w:t>
      </w:r>
    </w:p>
    <w:p w14:paraId="066C15FD" w14:textId="607E4A72" w:rsidR="00E20621" w:rsidRPr="00E20621" w:rsidRDefault="00E20621" w:rsidP="00D03230">
      <w:pPr>
        <w:spacing w:line="276"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 xml:space="preserve">Outlined below are the key initiatives undertaken by </w:t>
      </w:r>
      <w:r w:rsidR="004A14B3" w:rsidRPr="00E20621">
        <w:rPr>
          <w:rFonts w:ascii="Baskerville Old Face" w:hAnsi="Baskerville Old Face" w:cs="Times New Roman"/>
          <w:sz w:val="24"/>
          <w:szCs w:val="24"/>
        </w:rPr>
        <w:t>RIID</w:t>
      </w:r>
      <w:r w:rsidRPr="00E20621">
        <w:rPr>
          <w:rFonts w:ascii="Baskerville Old Face" w:hAnsi="Baskerville Old Face" w:cs="Times New Roman"/>
          <w:sz w:val="24"/>
          <w:szCs w:val="24"/>
        </w:rPr>
        <w:t xml:space="preserve"> in 202</w:t>
      </w:r>
      <w:r w:rsidR="00F2161A">
        <w:rPr>
          <w:rFonts w:ascii="Baskerville Old Face" w:hAnsi="Baskerville Old Face" w:cs="Times New Roman"/>
          <w:sz w:val="24"/>
          <w:szCs w:val="24"/>
        </w:rPr>
        <w:t>4</w:t>
      </w:r>
      <w:r w:rsidRPr="00E20621">
        <w:rPr>
          <w:rFonts w:ascii="Baskerville Old Face" w:hAnsi="Baskerville Old Face" w:cs="Times New Roman"/>
          <w:sz w:val="24"/>
          <w:szCs w:val="24"/>
        </w:rPr>
        <w:t>:</w:t>
      </w:r>
    </w:p>
    <w:p w14:paraId="52999F6A" w14:textId="1B3BD3AF" w:rsidR="00E40A2A" w:rsidRPr="00E40A2A" w:rsidRDefault="00B0513F" w:rsidP="00931C1A">
      <w:pPr>
        <w:pStyle w:val="ListParagraph"/>
        <w:numPr>
          <w:ilvl w:val="0"/>
          <w:numId w:val="3"/>
        </w:numPr>
        <w:spacing w:line="276" w:lineRule="auto"/>
        <w:jc w:val="both"/>
        <w:rPr>
          <w:rFonts w:ascii="Baskerville Old Face" w:hAnsi="Baskerville Old Face" w:cs="Times New Roman"/>
          <w:b/>
          <w:bCs/>
          <w:sz w:val="24"/>
          <w:szCs w:val="24"/>
        </w:rPr>
      </w:pPr>
      <w:r w:rsidRPr="00E40A2A">
        <w:rPr>
          <w:rFonts w:ascii="Baskerville Old Face" w:hAnsi="Baskerville Old Face" w:cs="Times New Roman"/>
          <w:b/>
          <w:bCs/>
          <w:sz w:val="24"/>
          <w:szCs w:val="24"/>
        </w:rPr>
        <w:t xml:space="preserve">Foreign </w:t>
      </w:r>
      <w:r w:rsidR="00E20621">
        <w:rPr>
          <w:rFonts w:ascii="Baskerville Old Face" w:hAnsi="Baskerville Old Face" w:cs="Times New Roman"/>
          <w:b/>
          <w:bCs/>
          <w:sz w:val="24"/>
          <w:szCs w:val="24"/>
        </w:rPr>
        <w:t>C</w:t>
      </w:r>
      <w:r w:rsidRPr="00E40A2A">
        <w:rPr>
          <w:rFonts w:ascii="Baskerville Old Face" w:hAnsi="Baskerville Old Face" w:cs="Times New Roman"/>
          <w:b/>
          <w:bCs/>
          <w:sz w:val="24"/>
          <w:szCs w:val="24"/>
        </w:rPr>
        <w:t xml:space="preserve">urrency </w:t>
      </w:r>
      <w:r w:rsidR="00E20621">
        <w:rPr>
          <w:rFonts w:ascii="Baskerville Old Face" w:hAnsi="Baskerville Old Face" w:cs="Times New Roman"/>
          <w:b/>
          <w:bCs/>
          <w:sz w:val="24"/>
          <w:szCs w:val="24"/>
        </w:rPr>
        <w:t>D</w:t>
      </w:r>
      <w:r w:rsidRPr="00E40A2A">
        <w:rPr>
          <w:rFonts w:ascii="Baskerville Old Face" w:hAnsi="Baskerville Old Face" w:cs="Times New Roman"/>
          <w:b/>
          <w:bCs/>
          <w:sz w:val="24"/>
          <w:szCs w:val="24"/>
        </w:rPr>
        <w:t xml:space="preserve">eclarations </w:t>
      </w:r>
    </w:p>
    <w:p w14:paraId="7BA31CC5" w14:textId="1CD2D56F" w:rsidR="00E20621" w:rsidRDefault="00E20621" w:rsidP="00D03230">
      <w:pPr>
        <w:spacing w:line="276"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Collaboration with NRA/</w:t>
      </w:r>
      <w:r w:rsidR="001964CD">
        <w:rPr>
          <w:rFonts w:ascii="Baskerville Old Face" w:hAnsi="Baskerville Old Face" w:cs="Times New Roman"/>
          <w:sz w:val="24"/>
          <w:szCs w:val="24"/>
        </w:rPr>
        <w:t>C</w:t>
      </w:r>
      <w:r w:rsidRPr="00E20621">
        <w:rPr>
          <w:rFonts w:ascii="Baskerville Old Face" w:hAnsi="Baskerville Old Face" w:cs="Times New Roman"/>
          <w:sz w:val="24"/>
          <w:szCs w:val="24"/>
        </w:rPr>
        <w:t xml:space="preserve">ustoms personnel at Lungi International Airport facilitated the collection and subsequent submission of foreign currency declaration data to the Financial Intelligence Unit (FIU) </w:t>
      </w:r>
      <w:r w:rsidR="004A14B3">
        <w:rPr>
          <w:rFonts w:ascii="Baskerville Old Face" w:hAnsi="Baskerville Old Face" w:cs="Times New Roman"/>
          <w:sz w:val="24"/>
          <w:szCs w:val="24"/>
        </w:rPr>
        <w:t>monthly</w:t>
      </w:r>
      <w:r w:rsidRPr="00E20621">
        <w:rPr>
          <w:rFonts w:ascii="Baskerville Old Face" w:hAnsi="Baskerville Old Face" w:cs="Times New Roman"/>
          <w:sz w:val="24"/>
          <w:szCs w:val="24"/>
        </w:rPr>
        <w:t>.</w:t>
      </w:r>
      <w:r>
        <w:rPr>
          <w:rFonts w:ascii="Baskerville Old Face" w:hAnsi="Baskerville Old Face" w:cs="Times New Roman"/>
          <w:sz w:val="24"/>
          <w:szCs w:val="24"/>
        </w:rPr>
        <w:t xml:space="preserve"> </w:t>
      </w:r>
    </w:p>
    <w:p w14:paraId="1E48A68B" w14:textId="208DBFD2" w:rsidR="00F2161A" w:rsidRPr="00F2161A" w:rsidRDefault="00F2161A" w:rsidP="00931C1A">
      <w:pPr>
        <w:pStyle w:val="ListParagraph"/>
        <w:numPr>
          <w:ilvl w:val="0"/>
          <w:numId w:val="3"/>
        </w:numPr>
        <w:spacing w:line="276" w:lineRule="auto"/>
        <w:jc w:val="both"/>
        <w:rPr>
          <w:rFonts w:ascii="Baskerville Old Face" w:hAnsi="Baskerville Old Face" w:cs="Times New Roman"/>
          <w:b/>
          <w:bCs/>
          <w:sz w:val="24"/>
          <w:szCs w:val="24"/>
        </w:rPr>
      </w:pPr>
      <w:r w:rsidRPr="00F2161A">
        <w:rPr>
          <w:rFonts w:ascii="Baskerville Old Face" w:hAnsi="Baskerville Old Face" w:cs="Times New Roman"/>
          <w:b/>
          <w:bCs/>
          <w:sz w:val="24"/>
          <w:szCs w:val="24"/>
        </w:rPr>
        <w:t>Issuance of Clearing and Forwarding Licenses</w:t>
      </w:r>
    </w:p>
    <w:p w14:paraId="196D14B9" w14:textId="3A3EC7E6" w:rsidR="00F2161A" w:rsidRDefault="00F2161A" w:rsidP="00D03230">
      <w:pPr>
        <w:spacing w:line="276" w:lineRule="auto"/>
        <w:jc w:val="both"/>
        <w:rPr>
          <w:rFonts w:ascii="Baskerville Old Face" w:hAnsi="Baskerville Old Face" w:cs="Times New Roman"/>
          <w:sz w:val="24"/>
          <w:szCs w:val="24"/>
        </w:rPr>
      </w:pPr>
      <w:r w:rsidRPr="00F2161A">
        <w:rPr>
          <w:rFonts w:ascii="Baskerville Old Face" w:hAnsi="Baskerville Old Face" w:cs="Times New Roman"/>
          <w:sz w:val="24"/>
          <w:szCs w:val="24"/>
        </w:rPr>
        <w:t>The Director of this Department serves as the Chair of the C&amp;F</w:t>
      </w:r>
      <w:r w:rsidR="00742DD6">
        <w:rPr>
          <w:rFonts w:ascii="Baskerville Old Face" w:hAnsi="Baskerville Old Face" w:cs="Times New Roman"/>
          <w:sz w:val="24"/>
          <w:szCs w:val="24"/>
        </w:rPr>
        <w:t>A</w:t>
      </w:r>
      <w:r w:rsidRPr="00F2161A">
        <w:rPr>
          <w:rFonts w:ascii="Baskerville Old Face" w:hAnsi="Baskerville Old Face" w:cs="Times New Roman"/>
          <w:sz w:val="24"/>
          <w:szCs w:val="24"/>
        </w:rPr>
        <w:t xml:space="preserve"> License Committee, and in 2024, </w:t>
      </w:r>
      <w:proofErr w:type="spellStart"/>
      <w:r w:rsidRPr="00F2161A">
        <w:rPr>
          <w:rFonts w:ascii="Baskerville Old Face" w:hAnsi="Baskerville Old Face" w:cs="Times New Roman"/>
          <w:sz w:val="24"/>
          <w:szCs w:val="24"/>
        </w:rPr>
        <w:t>licen</w:t>
      </w:r>
      <w:r w:rsidR="004A14B3">
        <w:rPr>
          <w:rFonts w:ascii="Baskerville Old Face" w:hAnsi="Baskerville Old Face" w:cs="Times New Roman"/>
          <w:sz w:val="24"/>
          <w:szCs w:val="24"/>
        </w:rPr>
        <w:t>c</w:t>
      </w:r>
      <w:r w:rsidRPr="00F2161A">
        <w:rPr>
          <w:rFonts w:ascii="Baskerville Old Face" w:hAnsi="Baskerville Old Face" w:cs="Times New Roman"/>
          <w:sz w:val="24"/>
          <w:szCs w:val="24"/>
        </w:rPr>
        <w:t>es</w:t>
      </w:r>
      <w:proofErr w:type="spellEnd"/>
      <w:r w:rsidRPr="00F2161A">
        <w:rPr>
          <w:rFonts w:ascii="Baskerville Old Face" w:hAnsi="Baskerville Old Face" w:cs="Times New Roman"/>
          <w:sz w:val="24"/>
          <w:szCs w:val="24"/>
        </w:rPr>
        <w:t xml:space="preserve"> were issued to a total of 155 C&amp;F agencies.</w:t>
      </w:r>
    </w:p>
    <w:p w14:paraId="5CE59493" w14:textId="77777777" w:rsidR="00BD78E0" w:rsidRPr="00BD78E0" w:rsidRDefault="00BD78E0" w:rsidP="00931C1A">
      <w:pPr>
        <w:pStyle w:val="ListParagraph"/>
        <w:numPr>
          <w:ilvl w:val="0"/>
          <w:numId w:val="3"/>
        </w:numPr>
        <w:spacing w:before="100" w:beforeAutospacing="1" w:after="100" w:afterAutospacing="1" w:line="276" w:lineRule="auto"/>
        <w:rPr>
          <w:rFonts w:ascii="Baskerville Old Face" w:hAnsi="Baskerville Old Face"/>
          <w:sz w:val="24"/>
          <w:szCs w:val="24"/>
        </w:rPr>
      </w:pPr>
      <w:r w:rsidRPr="00BD78E0">
        <w:rPr>
          <w:rStyle w:val="Strong"/>
          <w:rFonts w:ascii="Baskerville Old Face" w:hAnsi="Baskerville Old Face"/>
          <w:sz w:val="24"/>
          <w:szCs w:val="24"/>
        </w:rPr>
        <w:lastRenderedPageBreak/>
        <w:t>Completed Investigations</w:t>
      </w:r>
    </w:p>
    <w:p w14:paraId="7A940D7D" w14:textId="6E81A46A" w:rsidR="00BD78E0" w:rsidRPr="00BD78E0" w:rsidRDefault="00BD78E0" w:rsidP="00D03230">
      <w:pPr>
        <w:spacing w:before="100" w:beforeAutospacing="1" w:after="100" w:afterAutospacing="1" w:line="276" w:lineRule="auto"/>
        <w:jc w:val="both"/>
        <w:rPr>
          <w:rFonts w:ascii="Baskerville Old Face" w:hAnsi="Baskerville Old Face"/>
          <w:sz w:val="24"/>
          <w:szCs w:val="24"/>
        </w:rPr>
      </w:pPr>
      <w:r w:rsidRPr="00BD78E0">
        <w:rPr>
          <w:rFonts w:ascii="Baskerville Old Face" w:hAnsi="Baskerville Old Face"/>
          <w:sz w:val="24"/>
          <w:szCs w:val="24"/>
        </w:rPr>
        <w:t xml:space="preserve">On the revenue investigations front, a total of five (5) investigations were concluded in 2024, including a customs credit analysis. These efforts led to the recovery of </w:t>
      </w:r>
      <w:proofErr w:type="spellStart"/>
      <w:r w:rsidRPr="00BD78E0">
        <w:rPr>
          <w:rFonts w:ascii="Baskerville Old Face" w:hAnsi="Baskerville Old Face"/>
          <w:sz w:val="24"/>
          <w:szCs w:val="24"/>
        </w:rPr>
        <w:t>NLe</w:t>
      </w:r>
      <w:proofErr w:type="spellEnd"/>
      <w:r w:rsidRPr="00BD78E0">
        <w:rPr>
          <w:rFonts w:ascii="Baskerville Old Face" w:hAnsi="Baskerville Old Face"/>
          <w:sz w:val="24"/>
          <w:szCs w:val="24"/>
        </w:rPr>
        <w:t xml:space="preserve"> 19.07 million, of which </w:t>
      </w:r>
      <w:proofErr w:type="spellStart"/>
      <w:r w:rsidRPr="00BD78E0">
        <w:rPr>
          <w:rFonts w:ascii="Baskerville Old Face" w:hAnsi="Baskerville Old Face"/>
          <w:sz w:val="24"/>
          <w:szCs w:val="24"/>
        </w:rPr>
        <w:t>NLe</w:t>
      </w:r>
      <w:proofErr w:type="spellEnd"/>
      <w:r w:rsidRPr="00BD78E0">
        <w:rPr>
          <w:rFonts w:ascii="Baskerville Old Face" w:hAnsi="Baskerville Old Face"/>
          <w:sz w:val="24"/>
          <w:szCs w:val="24"/>
        </w:rPr>
        <w:t xml:space="preserve"> 17.3 million was attributed to the customs credit analysis.</w:t>
      </w:r>
    </w:p>
    <w:p w14:paraId="724922D9" w14:textId="77777777" w:rsidR="00D03230" w:rsidRPr="00F2161A" w:rsidRDefault="00D03230" w:rsidP="00931C1A">
      <w:pPr>
        <w:pStyle w:val="ListParagraph"/>
        <w:numPr>
          <w:ilvl w:val="0"/>
          <w:numId w:val="3"/>
        </w:numPr>
        <w:spacing w:line="276" w:lineRule="auto"/>
        <w:jc w:val="both"/>
        <w:rPr>
          <w:rFonts w:ascii="Baskerville Old Face" w:hAnsi="Baskerville Old Face" w:cs="Times New Roman"/>
          <w:b/>
          <w:bCs/>
          <w:sz w:val="24"/>
          <w:szCs w:val="24"/>
        </w:rPr>
      </w:pPr>
      <w:r w:rsidRPr="00F2161A">
        <w:rPr>
          <w:rFonts w:ascii="Baskerville Old Face" w:hAnsi="Baskerville Old Face" w:cs="Times New Roman"/>
          <w:b/>
          <w:bCs/>
          <w:sz w:val="24"/>
          <w:szCs w:val="24"/>
        </w:rPr>
        <w:t>Analysis and Recovery under Customs Suspended Regimes</w:t>
      </w:r>
    </w:p>
    <w:p w14:paraId="04AC688D" w14:textId="7140E0CA" w:rsidR="00D03230" w:rsidRPr="00F2161A" w:rsidRDefault="00D03230" w:rsidP="00D03230">
      <w:pPr>
        <w:spacing w:line="276" w:lineRule="auto"/>
        <w:jc w:val="both"/>
        <w:rPr>
          <w:rFonts w:ascii="Baskerville Old Face" w:hAnsi="Baskerville Old Face" w:cs="Times New Roman"/>
          <w:sz w:val="24"/>
          <w:szCs w:val="24"/>
        </w:rPr>
      </w:pPr>
      <w:r w:rsidRPr="00F2161A">
        <w:rPr>
          <w:rFonts w:ascii="Baskerville Old Face" w:hAnsi="Baskerville Old Face" w:cs="Times New Roman"/>
          <w:sz w:val="24"/>
          <w:szCs w:val="24"/>
        </w:rPr>
        <w:t xml:space="preserve">The department </w:t>
      </w:r>
      <w:r w:rsidR="004A14B3">
        <w:rPr>
          <w:rFonts w:ascii="Baskerville Old Face" w:hAnsi="Baskerville Old Face" w:cs="Times New Roman"/>
          <w:sz w:val="24"/>
          <w:szCs w:val="24"/>
        </w:rPr>
        <w:t>analysed</w:t>
      </w:r>
      <w:r w:rsidRPr="00F2161A">
        <w:rPr>
          <w:rFonts w:ascii="Baskerville Old Face" w:hAnsi="Baskerville Old Face" w:cs="Times New Roman"/>
          <w:sz w:val="24"/>
          <w:szCs w:val="24"/>
        </w:rPr>
        <w:t xml:space="preserve"> customs suspended regimes, focusing on both warehousing and customs credit arrangements. In collaboration with CSD, it participated in the recovery of arrears identified during these analyses. As a result of the customs credit analysis carried out, a total of Le17.3 million was recovered</w:t>
      </w:r>
      <w:r>
        <w:rPr>
          <w:rFonts w:ascii="Baskerville Old Face" w:hAnsi="Baskerville Old Face" w:cs="Times New Roman"/>
          <w:sz w:val="24"/>
          <w:szCs w:val="24"/>
        </w:rPr>
        <w:t xml:space="preserve">. </w:t>
      </w:r>
    </w:p>
    <w:p w14:paraId="2231B929" w14:textId="10C756ED" w:rsidR="00BD78E0" w:rsidRPr="00BD78E0" w:rsidRDefault="00BD78E0" w:rsidP="00931C1A">
      <w:pPr>
        <w:pStyle w:val="ListParagraph"/>
        <w:numPr>
          <w:ilvl w:val="0"/>
          <w:numId w:val="3"/>
        </w:numPr>
        <w:spacing w:line="276" w:lineRule="auto"/>
        <w:jc w:val="both"/>
        <w:rPr>
          <w:rFonts w:ascii="Baskerville Old Face" w:hAnsi="Baskerville Old Face" w:cs="Times New Roman"/>
          <w:sz w:val="24"/>
          <w:szCs w:val="24"/>
        </w:rPr>
      </w:pPr>
      <w:r w:rsidRPr="00BD78E0">
        <w:rPr>
          <w:rFonts w:ascii="Baskerville Old Face" w:hAnsi="Baskerville Old Face" w:cs="Times New Roman"/>
          <w:b/>
          <w:bCs/>
          <w:sz w:val="24"/>
          <w:szCs w:val="24"/>
        </w:rPr>
        <w:t>Intelligence Verification</w:t>
      </w:r>
    </w:p>
    <w:p w14:paraId="3034C976" w14:textId="77777777" w:rsidR="00BD78E0" w:rsidRPr="00BD78E0" w:rsidRDefault="00BD78E0" w:rsidP="00D03230">
      <w:pPr>
        <w:spacing w:before="100" w:beforeAutospacing="1" w:after="100" w:afterAutospacing="1" w:line="276" w:lineRule="auto"/>
        <w:jc w:val="both"/>
        <w:rPr>
          <w:rFonts w:ascii="Baskerville Old Face" w:hAnsi="Baskerville Old Face"/>
          <w:sz w:val="24"/>
          <w:szCs w:val="24"/>
        </w:rPr>
      </w:pPr>
      <w:r w:rsidRPr="00BD78E0">
        <w:rPr>
          <w:rFonts w:ascii="Baskerville Old Face" w:hAnsi="Baskerville Old Face"/>
          <w:sz w:val="24"/>
          <w:szCs w:val="24"/>
        </w:rPr>
        <w:t>The department carried out an intelligence verification exercise at various provincial wharves across the country. The primary objectives of this exercise were to:</w:t>
      </w:r>
    </w:p>
    <w:p w14:paraId="74218BFB" w14:textId="77777777" w:rsidR="00BD78E0" w:rsidRPr="00BD78E0" w:rsidRDefault="00BD78E0" w:rsidP="00931C1A">
      <w:pPr>
        <w:pStyle w:val="ListParagraph"/>
        <w:numPr>
          <w:ilvl w:val="0"/>
          <w:numId w:val="9"/>
        </w:numPr>
        <w:spacing w:before="100" w:beforeAutospacing="1" w:after="100" w:afterAutospacing="1" w:line="276" w:lineRule="auto"/>
        <w:jc w:val="both"/>
        <w:rPr>
          <w:rFonts w:ascii="Baskerville Old Face" w:hAnsi="Baskerville Old Face"/>
          <w:sz w:val="24"/>
          <w:szCs w:val="24"/>
        </w:rPr>
      </w:pPr>
      <w:r w:rsidRPr="00BD78E0">
        <w:rPr>
          <w:rFonts w:ascii="Baskerville Old Face" w:hAnsi="Baskerville Old Face"/>
          <w:sz w:val="24"/>
          <w:szCs w:val="24"/>
        </w:rPr>
        <w:t>Gather and document firsthand information on the activities typically conducted at the visited wharves.</w:t>
      </w:r>
    </w:p>
    <w:p w14:paraId="46040D66" w14:textId="77777777" w:rsidR="00BD78E0" w:rsidRPr="00BD78E0" w:rsidRDefault="00BD78E0" w:rsidP="00931C1A">
      <w:pPr>
        <w:pStyle w:val="ListParagraph"/>
        <w:numPr>
          <w:ilvl w:val="0"/>
          <w:numId w:val="9"/>
        </w:numPr>
        <w:spacing w:before="100" w:beforeAutospacing="1" w:after="100" w:afterAutospacing="1" w:line="276" w:lineRule="auto"/>
        <w:jc w:val="both"/>
        <w:rPr>
          <w:rFonts w:ascii="Baskerville Old Face" w:hAnsi="Baskerville Old Face"/>
          <w:sz w:val="24"/>
          <w:szCs w:val="24"/>
        </w:rPr>
      </w:pPr>
      <w:r w:rsidRPr="00BD78E0">
        <w:rPr>
          <w:rFonts w:ascii="Baskerville Old Face" w:hAnsi="Baskerville Old Face"/>
          <w:sz w:val="24"/>
          <w:szCs w:val="24"/>
        </w:rPr>
        <w:t>Conduct an overt verification of intelligence reports received from the Office of National Security (ONS).</w:t>
      </w:r>
    </w:p>
    <w:p w14:paraId="2482ED94" w14:textId="230F556C" w:rsidR="00BD78E0" w:rsidRPr="00BD78E0" w:rsidRDefault="00BD78E0" w:rsidP="00931C1A">
      <w:pPr>
        <w:pStyle w:val="ListParagraph"/>
        <w:numPr>
          <w:ilvl w:val="0"/>
          <w:numId w:val="9"/>
        </w:numPr>
        <w:spacing w:before="100" w:beforeAutospacing="1" w:after="100" w:afterAutospacing="1" w:line="276" w:lineRule="auto"/>
        <w:jc w:val="both"/>
        <w:rPr>
          <w:rFonts w:ascii="Baskerville Old Face" w:hAnsi="Baskerville Old Face"/>
          <w:sz w:val="24"/>
          <w:szCs w:val="24"/>
        </w:rPr>
      </w:pPr>
      <w:r w:rsidRPr="00BD78E0">
        <w:rPr>
          <w:rFonts w:ascii="Baskerville Old Face" w:hAnsi="Baskerville Old Face"/>
          <w:sz w:val="24"/>
          <w:szCs w:val="24"/>
        </w:rPr>
        <w:t>Determine whether key stakeholders, including the NRA, have any official representation at these locations.</w:t>
      </w:r>
    </w:p>
    <w:p w14:paraId="3D54A488" w14:textId="5C8C69CC" w:rsidR="00D03230" w:rsidRPr="00D03230" w:rsidRDefault="00BD78E0" w:rsidP="00931C1A">
      <w:pPr>
        <w:pStyle w:val="ListParagraph"/>
        <w:numPr>
          <w:ilvl w:val="0"/>
          <w:numId w:val="9"/>
        </w:numPr>
        <w:spacing w:before="100" w:beforeAutospacing="1" w:after="100" w:afterAutospacing="1" w:line="276" w:lineRule="auto"/>
        <w:jc w:val="both"/>
        <w:rPr>
          <w:rStyle w:val="Strong"/>
          <w:rFonts w:ascii="Baskerville Old Face" w:hAnsi="Baskerville Old Face"/>
          <w:b w:val="0"/>
          <w:bCs w:val="0"/>
          <w:sz w:val="24"/>
          <w:szCs w:val="24"/>
        </w:rPr>
      </w:pPr>
      <w:r w:rsidRPr="00BD78E0">
        <w:rPr>
          <w:rFonts w:ascii="Baskerville Old Face" w:hAnsi="Baskerville Old Face"/>
          <w:sz w:val="24"/>
          <w:szCs w:val="24"/>
        </w:rPr>
        <w:t>Provide policy recommendations to the Commissioner</w:t>
      </w:r>
      <w:r w:rsidR="00D8298E">
        <w:rPr>
          <w:rFonts w:ascii="Baskerville Old Face" w:hAnsi="Baskerville Old Face"/>
          <w:sz w:val="24"/>
          <w:szCs w:val="24"/>
        </w:rPr>
        <w:t>-</w:t>
      </w:r>
      <w:r w:rsidRPr="00BD78E0">
        <w:rPr>
          <w:rFonts w:ascii="Baskerville Old Face" w:hAnsi="Baskerville Old Face"/>
          <w:sz w:val="24"/>
          <w:szCs w:val="24"/>
        </w:rPr>
        <w:t>General’s Office for the effective monitoring and management of these wharves.</w:t>
      </w:r>
    </w:p>
    <w:p w14:paraId="6A465390" w14:textId="77777777" w:rsidR="00D03230" w:rsidRPr="00D03230" w:rsidRDefault="00D03230" w:rsidP="00D03230">
      <w:pPr>
        <w:pStyle w:val="ListParagraph"/>
        <w:spacing w:before="100" w:beforeAutospacing="1" w:after="100" w:afterAutospacing="1" w:line="276" w:lineRule="auto"/>
        <w:rPr>
          <w:rStyle w:val="Strong"/>
          <w:rFonts w:ascii="Baskerville Old Face" w:hAnsi="Baskerville Old Face"/>
          <w:b w:val="0"/>
          <w:bCs w:val="0"/>
          <w:sz w:val="24"/>
          <w:szCs w:val="24"/>
        </w:rPr>
      </w:pPr>
    </w:p>
    <w:p w14:paraId="3ACC25BA" w14:textId="33B2B7EA" w:rsidR="00D03230" w:rsidRPr="00D03230" w:rsidRDefault="00D03230" w:rsidP="00931C1A">
      <w:pPr>
        <w:pStyle w:val="ListParagraph"/>
        <w:numPr>
          <w:ilvl w:val="0"/>
          <w:numId w:val="3"/>
        </w:numPr>
        <w:spacing w:before="100" w:beforeAutospacing="1" w:after="100" w:afterAutospacing="1" w:line="276" w:lineRule="auto"/>
        <w:rPr>
          <w:rFonts w:ascii="Baskerville Old Face" w:hAnsi="Baskerville Old Face"/>
          <w:sz w:val="24"/>
          <w:szCs w:val="24"/>
        </w:rPr>
      </w:pPr>
      <w:r w:rsidRPr="00D03230">
        <w:rPr>
          <w:rStyle w:val="Strong"/>
          <w:rFonts w:ascii="Baskerville Old Face" w:hAnsi="Baskerville Old Face"/>
          <w:sz w:val="24"/>
          <w:szCs w:val="24"/>
        </w:rPr>
        <w:t>Carryover Activities</w:t>
      </w:r>
    </w:p>
    <w:p w14:paraId="6ADE3359" w14:textId="44D02B3C" w:rsidR="00D03230" w:rsidRPr="00D03230" w:rsidRDefault="00D03230" w:rsidP="00D03230">
      <w:p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The following activities were not completed in 2024 and have been rolled over into the Fiscal Year 2025 work plan:</w:t>
      </w:r>
    </w:p>
    <w:p w14:paraId="587A9D3B" w14:textId="77777777" w:rsidR="00D03230" w:rsidRPr="00D03230" w:rsidRDefault="00D03230" w:rsidP="00931C1A">
      <w:pPr>
        <w:numPr>
          <w:ilvl w:val="0"/>
          <w:numId w:val="10"/>
        </w:num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GST Returns and Payment Analysis</w:t>
      </w:r>
    </w:p>
    <w:p w14:paraId="72EEB7F2" w14:textId="77777777" w:rsidR="00D03230" w:rsidRPr="00D03230" w:rsidRDefault="00D03230" w:rsidP="00931C1A">
      <w:pPr>
        <w:numPr>
          <w:ilvl w:val="0"/>
          <w:numId w:val="10"/>
        </w:num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Monthly ECR Back-end Analysis</w:t>
      </w:r>
    </w:p>
    <w:p w14:paraId="4B13C51C" w14:textId="77777777" w:rsidR="00D03230" w:rsidRPr="00D03230" w:rsidRDefault="00D03230" w:rsidP="00931C1A">
      <w:pPr>
        <w:numPr>
          <w:ilvl w:val="0"/>
          <w:numId w:val="10"/>
        </w:num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Quarterly Outstation Revenue Investigation Drive</w:t>
      </w:r>
    </w:p>
    <w:p w14:paraId="507DA94C" w14:textId="77777777" w:rsidR="00D03230" w:rsidRPr="00D03230" w:rsidRDefault="00D03230" w:rsidP="00931C1A">
      <w:pPr>
        <w:numPr>
          <w:ilvl w:val="0"/>
          <w:numId w:val="10"/>
        </w:num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Monthly Customs Manifest Analysis</w:t>
      </w:r>
    </w:p>
    <w:p w14:paraId="7FD4B88C" w14:textId="77777777" w:rsidR="00D03230" w:rsidRDefault="00D03230" w:rsidP="00931C1A">
      <w:pPr>
        <w:numPr>
          <w:ilvl w:val="0"/>
          <w:numId w:val="10"/>
        </w:numPr>
        <w:spacing w:before="100" w:beforeAutospacing="1" w:after="100" w:afterAutospacing="1" w:line="276" w:lineRule="auto"/>
        <w:jc w:val="both"/>
        <w:rPr>
          <w:rFonts w:ascii="Baskerville Old Face" w:hAnsi="Baskerville Old Face"/>
          <w:sz w:val="24"/>
          <w:szCs w:val="24"/>
        </w:rPr>
      </w:pPr>
      <w:r w:rsidRPr="00D03230">
        <w:rPr>
          <w:rFonts w:ascii="Baskerville Old Face" w:hAnsi="Baskerville Old Face"/>
          <w:sz w:val="24"/>
          <w:szCs w:val="24"/>
        </w:rPr>
        <w:t>Implementation of Whistleblower Policies</w:t>
      </w:r>
    </w:p>
    <w:p w14:paraId="00EA65BA" w14:textId="2B1E80C0" w:rsidR="00E55D23" w:rsidRPr="00520DD2" w:rsidRDefault="00395E0D" w:rsidP="00C03BAC">
      <w:pPr>
        <w:pStyle w:val="Heading2"/>
        <w:rPr>
          <w:rFonts w:ascii="Baskerville Old Face" w:hAnsi="Baskerville Old Face"/>
          <w:b/>
          <w:bCs/>
        </w:rPr>
      </w:pPr>
      <w:bookmarkStart w:id="55" w:name="_Toc198043932"/>
      <w:r w:rsidRPr="00520DD2">
        <w:rPr>
          <w:rFonts w:ascii="Baskerville Old Face" w:hAnsi="Baskerville Old Face"/>
          <w:b/>
          <w:bCs/>
        </w:rPr>
        <w:t xml:space="preserve">3.3 </w:t>
      </w:r>
      <w:r w:rsidR="00E55D23" w:rsidRPr="00520DD2">
        <w:rPr>
          <w:rFonts w:ascii="Baskerville Old Face" w:hAnsi="Baskerville Old Face"/>
          <w:b/>
          <w:bCs/>
        </w:rPr>
        <w:t>STRENGTHENING NON-TAX REVENUE MOBILISATION</w:t>
      </w:r>
      <w:bookmarkEnd w:id="55"/>
      <w:r w:rsidR="00E55D23" w:rsidRPr="00520DD2">
        <w:rPr>
          <w:rFonts w:ascii="Baskerville Old Face" w:hAnsi="Baskerville Old Face"/>
          <w:b/>
          <w:bCs/>
        </w:rPr>
        <w:t xml:space="preserve"> </w:t>
      </w:r>
    </w:p>
    <w:p w14:paraId="3B4D4F96" w14:textId="1D44DBCB" w:rsidR="00E55D23" w:rsidRPr="002D7EF3" w:rsidRDefault="00E55D23" w:rsidP="00E55D23">
      <w:p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In 2024, the Non-Tax Revenue Department intensified efforts to enhance the mobili</w:t>
      </w:r>
      <w:r>
        <w:rPr>
          <w:rFonts w:ascii="Baskerville Old Face" w:eastAsia="Times New Roman" w:hAnsi="Baskerville Old Face"/>
          <w:sz w:val="24"/>
          <w:szCs w:val="24"/>
        </w:rPr>
        <w:t>s</w:t>
      </w:r>
      <w:r w:rsidRPr="002D7EF3">
        <w:rPr>
          <w:rFonts w:ascii="Baskerville Old Face" w:eastAsia="Times New Roman" w:hAnsi="Baskerville Old Face"/>
          <w:sz w:val="24"/>
          <w:szCs w:val="24"/>
        </w:rPr>
        <w:t xml:space="preserve">ation of non-tax revenues </w:t>
      </w:r>
      <w:r w:rsidRPr="00E55D23">
        <w:rPr>
          <w:rFonts w:ascii="Baskerville Old Face" w:eastAsia="Times New Roman" w:hAnsi="Baskerville Old Face"/>
          <w:sz w:val="24"/>
          <w:szCs w:val="24"/>
        </w:rPr>
        <w:t xml:space="preserve">by shifting the </w:t>
      </w:r>
      <w:r w:rsidRPr="002D7EF3">
        <w:rPr>
          <w:rFonts w:ascii="Baskerville Old Face" w:eastAsia="Times New Roman" w:hAnsi="Baskerville Old Face"/>
          <w:sz w:val="24"/>
          <w:szCs w:val="24"/>
        </w:rPr>
        <w:t xml:space="preserve">Department's focus from a traditional cashier-based model to a more </w:t>
      </w:r>
      <w:r w:rsidRPr="002D7EF3">
        <w:rPr>
          <w:rFonts w:ascii="Baskerville Old Face" w:eastAsia="Times New Roman" w:hAnsi="Baskerville Old Face"/>
          <w:sz w:val="24"/>
          <w:szCs w:val="24"/>
        </w:rPr>
        <w:lastRenderedPageBreak/>
        <w:t>comprehensive approach that incorporates monitoring of assessments, debt collection, and improved accountability in revenue reporting.</w:t>
      </w:r>
    </w:p>
    <w:p w14:paraId="1FF2FE1E" w14:textId="18FD7F17" w:rsidR="00E55D23" w:rsidRPr="002D7EF3" w:rsidRDefault="00E55D23" w:rsidP="00E55D23">
      <w:pPr>
        <w:spacing w:before="100" w:beforeAutospacing="1" w:after="100" w:afterAutospacing="1"/>
        <w:jc w:val="both"/>
        <w:rPr>
          <w:rFonts w:ascii="Baskerville Old Face" w:eastAsia="Times New Roman" w:hAnsi="Baskerville Old Face"/>
          <w:sz w:val="24"/>
          <w:szCs w:val="24"/>
        </w:rPr>
      </w:pPr>
      <w:r w:rsidRPr="002D7EF3">
        <w:rPr>
          <w:rFonts w:ascii="Baskerville Old Face" w:eastAsia="Times New Roman" w:hAnsi="Baskerville Old Face"/>
          <w:b/>
          <w:bCs/>
          <w:sz w:val="24"/>
          <w:szCs w:val="24"/>
        </w:rPr>
        <w:t>Monitoring of Assessments and Revenue Drives</w:t>
      </w:r>
    </w:p>
    <w:p w14:paraId="480B94EC" w14:textId="613E4855" w:rsidR="00E55D23" w:rsidRPr="002D7EF3" w:rsidRDefault="00E55D23" w:rsidP="00E55D23">
      <w:p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To ensure the accuracy and completeness of NTR assessments across MDAs, the NTR</w:t>
      </w:r>
      <w:r w:rsidR="00C04C43">
        <w:rPr>
          <w:rFonts w:ascii="Baskerville Old Face" w:eastAsia="Times New Roman" w:hAnsi="Baskerville Old Face"/>
          <w:sz w:val="24"/>
          <w:szCs w:val="24"/>
        </w:rPr>
        <w:t xml:space="preserve"> </w:t>
      </w:r>
      <w:r w:rsidRPr="002D7EF3">
        <w:rPr>
          <w:rFonts w:ascii="Baskerville Old Face" w:eastAsia="Times New Roman" w:hAnsi="Baskerville Old Face"/>
          <w:sz w:val="24"/>
          <w:szCs w:val="24"/>
        </w:rPr>
        <w:t>D</w:t>
      </w:r>
      <w:r w:rsidR="00C04C43">
        <w:rPr>
          <w:rFonts w:ascii="Baskerville Old Face" w:eastAsia="Times New Roman" w:hAnsi="Baskerville Old Face"/>
          <w:sz w:val="24"/>
          <w:szCs w:val="24"/>
        </w:rPr>
        <w:t>epartment</w:t>
      </w:r>
      <w:r w:rsidRPr="002D7EF3">
        <w:rPr>
          <w:rFonts w:ascii="Baskerville Old Face" w:eastAsia="Times New Roman" w:hAnsi="Baskerville Old Face"/>
          <w:sz w:val="24"/>
          <w:szCs w:val="24"/>
        </w:rPr>
        <w:t xml:space="preserve"> undertook targeted monitoring and verification exercises. Key initiatives included:</w:t>
      </w:r>
    </w:p>
    <w:p w14:paraId="7F5CFB45" w14:textId="699BAF14" w:rsidR="00E55D23" w:rsidRPr="002D7EF3" w:rsidRDefault="00E55D23" w:rsidP="00931C1A">
      <w:pPr>
        <w:numPr>
          <w:ilvl w:val="0"/>
          <w:numId w:val="17"/>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 xml:space="preserve">A field monitoring exercise in Port Loko District and the Western Area, focusing on quarry operations. This led to the identification and inclusion of additional quarries into </w:t>
      </w:r>
      <w:r w:rsidR="00C04C43">
        <w:rPr>
          <w:rFonts w:ascii="Baskerville Old Face" w:eastAsia="Times New Roman" w:hAnsi="Baskerville Old Face"/>
          <w:sz w:val="24"/>
          <w:szCs w:val="24"/>
        </w:rPr>
        <w:t xml:space="preserve">the </w:t>
      </w:r>
      <w:r w:rsidRPr="00E55D23">
        <w:rPr>
          <w:rFonts w:ascii="Baskerville Old Face" w:eastAsia="Times New Roman" w:hAnsi="Baskerville Old Face"/>
          <w:sz w:val="24"/>
          <w:szCs w:val="24"/>
        </w:rPr>
        <w:t>NTR</w:t>
      </w:r>
      <w:r w:rsidRPr="002D7EF3">
        <w:rPr>
          <w:rFonts w:ascii="Baskerville Old Face" w:eastAsia="Times New Roman" w:hAnsi="Baskerville Old Face"/>
          <w:sz w:val="24"/>
          <w:szCs w:val="24"/>
        </w:rPr>
        <w:t xml:space="preserve"> database, thereby boosting NTR collections for the Ministry of Works.</w:t>
      </w:r>
    </w:p>
    <w:p w14:paraId="2D208898" w14:textId="7D8AC0F6" w:rsidR="00E55D23" w:rsidRPr="002D7EF3" w:rsidRDefault="00E55D23" w:rsidP="00931C1A">
      <w:pPr>
        <w:numPr>
          <w:ilvl w:val="0"/>
          <w:numId w:val="17"/>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Joint revenue mobili</w:t>
      </w:r>
      <w:r w:rsidRPr="00E55D23">
        <w:rPr>
          <w:rFonts w:ascii="Baskerville Old Face" w:eastAsia="Times New Roman" w:hAnsi="Baskerville Old Face"/>
          <w:sz w:val="24"/>
          <w:szCs w:val="24"/>
        </w:rPr>
        <w:t>s</w:t>
      </w:r>
      <w:r w:rsidRPr="002D7EF3">
        <w:rPr>
          <w:rFonts w:ascii="Baskerville Old Face" w:eastAsia="Times New Roman" w:hAnsi="Baskerville Old Face"/>
          <w:sz w:val="24"/>
          <w:szCs w:val="24"/>
        </w:rPr>
        <w:t xml:space="preserve">ation and verification activities </w:t>
      </w:r>
      <w:r w:rsidR="004027BD">
        <w:rPr>
          <w:rFonts w:ascii="Baskerville Old Face" w:eastAsia="Times New Roman" w:hAnsi="Baskerville Old Face"/>
          <w:sz w:val="24"/>
          <w:szCs w:val="24"/>
        </w:rPr>
        <w:t xml:space="preserve">were </w:t>
      </w:r>
      <w:r w:rsidRPr="002D7EF3">
        <w:rPr>
          <w:rFonts w:ascii="Baskerville Old Face" w:eastAsia="Times New Roman" w:hAnsi="Baskerville Old Face"/>
          <w:sz w:val="24"/>
          <w:szCs w:val="24"/>
        </w:rPr>
        <w:t>conducted in collaboration with the Sierra Leone Standards Bureau across provincial and Western Area locations.</w:t>
      </w:r>
    </w:p>
    <w:p w14:paraId="5424F2E1" w14:textId="2B71FA37" w:rsidR="00E55D23" w:rsidRPr="002D7EF3" w:rsidRDefault="00E55D23" w:rsidP="00931C1A">
      <w:pPr>
        <w:numPr>
          <w:ilvl w:val="0"/>
          <w:numId w:val="17"/>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 xml:space="preserve">A coordinated monitoring </w:t>
      </w:r>
      <w:r w:rsidR="00C04C43">
        <w:rPr>
          <w:rFonts w:ascii="Baskerville Old Face" w:eastAsia="Times New Roman" w:hAnsi="Baskerville Old Face"/>
          <w:sz w:val="24"/>
          <w:szCs w:val="24"/>
        </w:rPr>
        <w:t>exercise</w:t>
      </w:r>
      <w:r w:rsidRPr="002D7EF3">
        <w:rPr>
          <w:rFonts w:ascii="Baskerville Old Face" w:eastAsia="Times New Roman" w:hAnsi="Baskerville Old Face"/>
          <w:sz w:val="24"/>
          <w:szCs w:val="24"/>
        </w:rPr>
        <w:t xml:space="preserve"> with the </w:t>
      </w:r>
      <w:r w:rsidR="00C04C43">
        <w:rPr>
          <w:rFonts w:ascii="Baskerville Old Face" w:eastAsia="Times New Roman" w:hAnsi="Baskerville Old Face"/>
          <w:sz w:val="24"/>
          <w:szCs w:val="24"/>
        </w:rPr>
        <w:t xml:space="preserve">ONS </w:t>
      </w:r>
      <w:r w:rsidRPr="002D7EF3">
        <w:rPr>
          <w:rFonts w:ascii="Baskerville Old Face" w:eastAsia="Times New Roman" w:hAnsi="Baskerville Old Face"/>
          <w:sz w:val="24"/>
          <w:szCs w:val="24"/>
        </w:rPr>
        <w:t>targeting private security companies, ensuring compliance with NTR obligations.</w:t>
      </w:r>
    </w:p>
    <w:p w14:paraId="28867C67" w14:textId="77777777" w:rsidR="00E55D23" w:rsidRPr="002D7EF3" w:rsidRDefault="00E55D23" w:rsidP="00E55D23">
      <w:pPr>
        <w:spacing w:before="100" w:beforeAutospacing="1" w:after="100" w:afterAutospacing="1"/>
        <w:jc w:val="both"/>
        <w:rPr>
          <w:rFonts w:ascii="Baskerville Old Face" w:eastAsia="Times New Roman" w:hAnsi="Baskerville Old Face"/>
          <w:sz w:val="24"/>
          <w:szCs w:val="24"/>
        </w:rPr>
      </w:pPr>
      <w:r w:rsidRPr="002D7EF3">
        <w:rPr>
          <w:rFonts w:ascii="Baskerville Old Face" w:eastAsia="Times New Roman" w:hAnsi="Baskerville Old Face"/>
          <w:b/>
          <w:bCs/>
          <w:sz w:val="24"/>
          <w:szCs w:val="24"/>
        </w:rPr>
        <w:t>Implementation of the Non-Tax Revenue Mobile Payment App</w:t>
      </w:r>
    </w:p>
    <w:p w14:paraId="4A5F4D04" w14:textId="203C28DF" w:rsidR="00E55D23" w:rsidRPr="002D7EF3" w:rsidRDefault="00E55D23" w:rsidP="00E55D23">
      <w:pPr>
        <w:spacing w:before="100" w:beforeAutospacing="1" w:after="100" w:afterAutospacing="1" w:line="276" w:lineRule="auto"/>
        <w:jc w:val="both"/>
        <w:rPr>
          <w:rFonts w:ascii="Baskerville Old Face" w:eastAsia="Times New Roman" w:hAnsi="Baskerville Old Face"/>
          <w:sz w:val="24"/>
          <w:szCs w:val="24"/>
        </w:rPr>
      </w:pPr>
      <w:r w:rsidRPr="00E55D23">
        <w:rPr>
          <w:rFonts w:ascii="Baskerville Old Face" w:eastAsia="Times New Roman" w:hAnsi="Baskerville Old Face"/>
          <w:sz w:val="24"/>
          <w:szCs w:val="24"/>
        </w:rPr>
        <w:t>T</w:t>
      </w:r>
      <w:r w:rsidRPr="002D7EF3">
        <w:rPr>
          <w:rFonts w:ascii="Baskerville Old Face" w:eastAsia="Times New Roman" w:hAnsi="Baskerville Old Face"/>
          <w:sz w:val="24"/>
          <w:szCs w:val="24"/>
        </w:rPr>
        <w:t>he Non-Tax Revenue Mobile Payment App</w:t>
      </w:r>
      <w:r w:rsidRPr="00E55D23">
        <w:rPr>
          <w:rFonts w:ascii="Baskerville Old Face" w:eastAsia="Times New Roman" w:hAnsi="Baskerville Old Face"/>
          <w:sz w:val="24"/>
          <w:szCs w:val="24"/>
        </w:rPr>
        <w:t xml:space="preserve"> is</w:t>
      </w:r>
      <w:r w:rsidRPr="002D7EF3">
        <w:rPr>
          <w:rFonts w:ascii="Baskerville Old Face" w:eastAsia="Times New Roman" w:hAnsi="Baskerville Old Face"/>
          <w:sz w:val="24"/>
          <w:szCs w:val="24"/>
        </w:rPr>
        <w:t xml:space="preserve"> designed to automate the collection of NTRs and enhance compliance. This digital platform links revenue-generating MDAs to a centrali</w:t>
      </w:r>
      <w:r w:rsidRPr="00E55D23">
        <w:rPr>
          <w:rFonts w:ascii="Baskerville Old Face" w:eastAsia="Times New Roman" w:hAnsi="Baskerville Old Face"/>
          <w:sz w:val="24"/>
          <w:szCs w:val="24"/>
        </w:rPr>
        <w:t>s</w:t>
      </w:r>
      <w:r w:rsidRPr="002D7EF3">
        <w:rPr>
          <w:rFonts w:ascii="Baskerville Old Face" w:eastAsia="Times New Roman" w:hAnsi="Baskerville Old Face"/>
          <w:sz w:val="24"/>
          <w:szCs w:val="24"/>
        </w:rPr>
        <w:t xml:space="preserve">ed </w:t>
      </w:r>
      <w:r w:rsidRPr="00E55D23">
        <w:rPr>
          <w:rFonts w:ascii="Baskerville Old Face" w:eastAsia="Times New Roman" w:hAnsi="Baskerville Old Face"/>
          <w:sz w:val="24"/>
          <w:szCs w:val="24"/>
        </w:rPr>
        <w:t>payment</w:t>
      </w:r>
      <w:r w:rsidRPr="002D7EF3">
        <w:rPr>
          <w:rFonts w:ascii="Baskerville Old Face" w:eastAsia="Times New Roman" w:hAnsi="Baskerville Old Face"/>
          <w:sz w:val="24"/>
          <w:szCs w:val="24"/>
        </w:rPr>
        <w:t xml:space="preserve"> module, significantly improving the efficiency, transparency, and auditability of NTR transactions.</w:t>
      </w:r>
      <w:r w:rsidRPr="00E55D23">
        <w:rPr>
          <w:rFonts w:ascii="Baskerville Old Face" w:eastAsia="Times New Roman" w:hAnsi="Baskerville Old Face"/>
          <w:sz w:val="24"/>
          <w:szCs w:val="24"/>
        </w:rPr>
        <w:t xml:space="preserve"> </w:t>
      </w:r>
      <w:r w:rsidRPr="002D7EF3">
        <w:rPr>
          <w:rFonts w:ascii="Baskerville Old Face" w:eastAsia="Times New Roman" w:hAnsi="Baskerville Old Face"/>
          <w:sz w:val="24"/>
          <w:szCs w:val="24"/>
        </w:rPr>
        <w:t xml:space="preserve">The App has been successfully deployed in </w:t>
      </w:r>
      <w:r w:rsidRPr="00E55D23">
        <w:rPr>
          <w:rFonts w:ascii="Baskerville Old Face" w:eastAsia="Times New Roman" w:hAnsi="Baskerville Old Face"/>
          <w:sz w:val="24"/>
          <w:szCs w:val="24"/>
        </w:rPr>
        <w:t>several</w:t>
      </w:r>
      <w:r w:rsidRPr="002D7EF3">
        <w:rPr>
          <w:rFonts w:ascii="Baskerville Old Face" w:eastAsia="Times New Roman" w:hAnsi="Baskerville Old Face"/>
          <w:sz w:val="24"/>
          <w:szCs w:val="24"/>
        </w:rPr>
        <w:t xml:space="preserve"> MDA</w:t>
      </w:r>
      <w:r w:rsidRPr="00E55D23">
        <w:rPr>
          <w:rFonts w:ascii="Baskerville Old Face" w:eastAsia="Times New Roman" w:hAnsi="Baskerville Old Face"/>
          <w:sz w:val="24"/>
          <w:szCs w:val="24"/>
        </w:rPr>
        <w:t>s. P</w:t>
      </w:r>
      <w:r w:rsidRPr="002D7EF3">
        <w:rPr>
          <w:rFonts w:ascii="Baskerville Old Face" w:eastAsia="Times New Roman" w:hAnsi="Baskerville Old Face"/>
          <w:sz w:val="24"/>
          <w:szCs w:val="24"/>
        </w:rPr>
        <w:t xml:space="preserve">reparations are at an advanced stage for rolling out the App </w:t>
      </w:r>
      <w:r w:rsidRPr="00E55D23">
        <w:rPr>
          <w:rFonts w:ascii="Baskerville Old Face" w:eastAsia="Times New Roman" w:hAnsi="Baskerville Old Face"/>
          <w:sz w:val="24"/>
          <w:szCs w:val="24"/>
        </w:rPr>
        <w:t>to</w:t>
      </w:r>
      <w:r w:rsidRPr="002D7EF3">
        <w:rPr>
          <w:rFonts w:ascii="Baskerville Old Face" w:eastAsia="Times New Roman" w:hAnsi="Baskerville Old Face"/>
          <w:sz w:val="24"/>
          <w:szCs w:val="24"/>
        </w:rPr>
        <w:t xml:space="preserve"> </w:t>
      </w:r>
      <w:r w:rsidR="004027BD">
        <w:rPr>
          <w:rFonts w:ascii="Baskerville Old Face" w:eastAsia="Times New Roman" w:hAnsi="Baskerville Old Face"/>
          <w:sz w:val="24"/>
          <w:szCs w:val="24"/>
        </w:rPr>
        <w:t xml:space="preserve">the </w:t>
      </w:r>
      <w:r w:rsidR="00C04C43">
        <w:rPr>
          <w:rFonts w:ascii="Baskerville Old Face" w:eastAsia="Times New Roman" w:hAnsi="Baskerville Old Face"/>
          <w:sz w:val="24"/>
          <w:szCs w:val="24"/>
        </w:rPr>
        <w:t>remaining MDAs</w:t>
      </w:r>
      <w:r w:rsidR="004027BD">
        <w:rPr>
          <w:rFonts w:ascii="Baskerville Old Face" w:eastAsia="Times New Roman" w:hAnsi="Baskerville Old Face"/>
          <w:sz w:val="24"/>
          <w:szCs w:val="24"/>
        </w:rPr>
        <w:t>,</w:t>
      </w:r>
      <w:r w:rsidR="00C04C43">
        <w:rPr>
          <w:rFonts w:ascii="Baskerville Old Face" w:eastAsia="Times New Roman" w:hAnsi="Baskerville Old Face"/>
          <w:sz w:val="24"/>
          <w:szCs w:val="24"/>
        </w:rPr>
        <w:t xml:space="preserve"> including</w:t>
      </w:r>
      <w:r w:rsidRPr="002D7EF3">
        <w:rPr>
          <w:rFonts w:ascii="Baskerville Old Face" w:eastAsia="Times New Roman" w:hAnsi="Baskerville Old Face"/>
          <w:sz w:val="24"/>
          <w:szCs w:val="24"/>
        </w:rPr>
        <w:t>:</w:t>
      </w:r>
    </w:p>
    <w:p w14:paraId="451A64E0" w14:textId="77777777" w:rsidR="00E55D23" w:rsidRPr="002D7EF3" w:rsidRDefault="00E55D23" w:rsidP="00931C1A">
      <w:pPr>
        <w:numPr>
          <w:ilvl w:val="0"/>
          <w:numId w:val="18"/>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Ministry of Fisheries and Marine Resources</w:t>
      </w:r>
    </w:p>
    <w:p w14:paraId="209CB7B9" w14:textId="77777777" w:rsidR="00E55D23" w:rsidRPr="002D7EF3" w:rsidRDefault="00E55D23" w:rsidP="00931C1A">
      <w:pPr>
        <w:numPr>
          <w:ilvl w:val="0"/>
          <w:numId w:val="18"/>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 xml:space="preserve">Ministry of </w:t>
      </w:r>
      <w:proofErr w:type="spellStart"/>
      <w:r w:rsidRPr="002D7EF3">
        <w:rPr>
          <w:rFonts w:ascii="Baskerville Old Face" w:eastAsia="Times New Roman" w:hAnsi="Baskerville Old Face"/>
          <w:sz w:val="24"/>
          <w:szCs w:val="24"/>
        </w:rPr>
        <w:t>Labour</w:t>
      </w:r>
      <w:proofErr w:type="spellEnd"/>
      <w:r w:rsidRPr="002D7EF3">
        <w:rPr>
          <w:rFonts w:ascii="Baskerville Old Face" w:eastAsia="Times New Roman" w:hAnsi="Baskerville Old Face"/>
          <w:sz w:val="24"/>
          <w:szCs w:val="24"/>
        </w:rPr>
        <w:t xml:space="preserve"> and Social Security</w:t>
      </w:r>
    </w:p>
    <w:p w14:paraId="3740FF96" w14:textId="77777777" w:rsidR="00E55D23" w:rsidRPr="002D7EF3" w:rsidRDefault="00E55D23" w:rsidP="00931C1A">
      <w:pPr>
        <w:numPr>
          <w:ilvl w:val="0"/>
          <w:numId w:val="18"/>
        </w:numPr>
        <w:spacing w:before="100" w:beforeAutospacing="1" w:after="100" w:afterAutospacing="1" w:line="276" w:lineRule="auto"/>
        <w:jc w:val="both"/>
        <w:rPr>
          <w:rFonts w:ascii="Baskerville Old Face" w:eastAsia="Times New Roman" w:hAnsi="Baskerville Old Face"/>
          <w:sz w:val="24"/>
          <w:szCs w:val="24"/>
        </w:rPr>
      </w:pPr>
      <w:r w:rsidRPr="002D7EF3">
        <w:rPr>
          <w:rFonts w:ascii="Baskerville Old Face" w:eastAsia="Times New Roman" w:hAnsi="Baskerville Old Face"/>
          <w:sz w:val="24"/>
          <w:szCs w:val="24"/>
        </w:rPr>
        <w:t>Ministry of Works and Public Assets</w:t>
      </w:r>
    </w:p>
    <w:p w14:paraId="5FEB6E76" w14:textId="2DDFC3A2" w:rsidR="00F568B0" w:rsidRPr="00520DD2" w:rsidRDefault="00395E0D" w:rsidP="00C03BAC">
      <w:pPr>
        <w:pStyle w:val="Heading2"/>
        <w:rPr>
          <w:rFonts w:ascii="Baskerville Old Face" w:hAnsi="Baskerville Old Face"/>
          <w:b/>
          <w:bCs/>
        </w:rPr>
      </w:pPr>
      <w:bookmarkStart w:id="56" w:name="_Toc198043933"/>
      <w:r w:rsidRPr="00520DD2">
        <w:rPr>
          <w:rFonts w:ascii="Baskerville Old Face" w:hAnsi="Baskerville Old Face"/>
          <w:b/>
          <w:bCs/>
        </w:rPr>
        <w:t xml:space="preserve">3.4 </w:t>
      </w:r>
      <w:r w:rsidR="00F568B0" w:rsidRPr="00520DD2">
        <w:rPr>
          <w:rFonts w:ascii="Baskerville Old Face" w:hAnsi="Baskerville Old Face"/>
          <w:b/>
          <w:bCs/>
        </w:rPr>
        <w:t>ICT ACTIVITIES UPDATE</w:t>
      </w:r>
      <w:bookmarkEnd w:id="56"/>
    </w:p>
    <w:p w14:paraId="65F9890B" w14:textId="7132C898" w:rsidR="00F568B0" w:rsidRPr="00626C03" w:rsidRDefault="00F568B0" w:rsidP="004B5DA7">
      <w:pPr>
        <w:spacing w:line="276" w:lineRule="auto"/>
        <w:jc w:val="both"/>
        <w:rPr>
          <w:rFonts w:ascii="Baskerville Old Face" w:hAnsi="Baskerville Old Face"/>
          <w:sz w:val="24"/>
          <w:szCs w:val="24"/>
        </w:rPr>
      </w:pPr>
      <w:r w:rsidRPr="00626C03">
        <w:rPr>
          <w:rFonts w:ascii="Baskerville Old Face" w:hAnsi="Baskerville Old Face"/>
          <w:sz w:val="24"/>
          <w:szCs w:val="24"/>
        </w:rPr>
        <w:t xml:space="preserve">The ICT Department, as a vital support Department of the Authority, is entrusted with the crucial task of delivering responsive, effective, and efficient ICT services to the NRA and its stakeholders in </w:t>
      </w:r>
      <w:r w:rsidR="004027BD">
        <w:rPr>
          <w:rFonts w:ascii="Baskerville Old Face" w:hAnsi="Baskerville Old Face"/>
          <w:sz w:val="24"/>
          <w:szCs w:val="24"/>
        </w:rPr>
        <w:t>fulfillment</w:t>
      </w:r>
      <w:r w:rsidRPr="00626C03">
        <w:rPr>
          <w:rFonts w:ascii="Baskerville Old Face" w:hAnsi="Baskerville Old Face"/>
          <w:sz w:val="24"/>
          <w:szCs w:val="24"/>
        </w:rPr>
        <w:t xml:space="preserve"> of the NRA’s core mandate of domestic revenue mobilisation and collection. The following are the key achievements of the department during the fiscal year 202</w:t>
      </w:r>
      <w:r w:rsidR="00826367">
        <w:rPr>
          <w:rFonts w:ascii="Baskerville Old Face" w:hAnsi="Baskerville Old Face"/>
          <w:sz w:val="24"/>
          <w:szCs w:val="24"/>
        </w:rPr>
        <w:t>4</w:t>
      </w:r>
      <w:r w:rsidRPr="00626C03">
        <w:rPr>
          <w:rFonts w:ascii="Baskerville Old Face" w:hAnsi="Baskerville Old Face"/>
          <w:sz w:val="24"/>
          <w:szCs w:val="24"/>
        </w:rPr>
        <w:t>:</w:t>
      </w:r>
    </w:p>
    <w:p w14:paraId="58CA71C0"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Successfully implemented the HS Tariff 2022 within the ASYCUDA World system, with technical assistance from ECOWAS.</w:t>
      </w:r>
    </w:p>
    <w:p w14:paraId="697AC158"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Configured key business systems—ITAS, ASYCUDA, ECR, and NTRS—in alignment with the provisions of the 2023 and 2024 Finance Acts.</w:t>
      </w:r>
    </w:p>
    <w:p w14:paraId="25582AB5"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Provided technical support for the roll-out of the Non-Tax Revenue Mobile Payment Application to the Sierra Leone Road Safety Authority (SLRSA), the Small Arms Commission, and the Pharmacy Board.</w:t>
      </w:r>
    </w:p>
    <w:p w14:paraId="426B1E25"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lastRenderedPageBreak/>
        <w:t>Integrated the Non-Tax Revenue Mobile Payment Application into the NRA Data Warehouse to enhance data management and reporting capabilities.</w:t>
      </w:r>
    </w:p>
    <w:p w14:paraId="22705AB8"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Completed a comprehensive review and assessment of the ITAS-Bank interface across all fourteen (14) commercial banks.</w:t>
      </w:r>
    </w:p>
    <w:p w14:paraId="4B550030" w14:textId="16EB02E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proofErr w:type="spellStart"/>
      <w:r w:rsidRPr="004B5DA7">
        <w:rPr>
          <w:rFonts w:ascii="Baskerville Old Face" w:hAnsi="Baskerville Old Face"/>
          <w:sz w:val="24"/>
          <w:szCs w:val="24"/>
        </w:rPr>
        <w:t>Finali</w:t>
      </w:r>
      <w:r w:rsidR="00014002">
        <w:rPr>
          <w:rFonts w:ascii="Baskerville Old Face" w:hAnsi="Baskerville Old Face"/>
          <w:sz w:val="24"/>
          <w:szCs w:val="24"/>
        </w:rPr>
        <w:t>s</w:t>
      </w:r>
      <w:r w:rsidRPr="004B5DA7">
        <w:rPr>
          <w:rFonts w:ascii="Baskerville Old Face" w:hAnsi="Baskerville Old Face"/>
          <w:sz w:val="24"/>
          <w:szCs w:val="24"/>
        </w:rPr>
        <w:t>ed</w:t>
      </w:r>
      <w:proofErr w:type="spellEnd"/>
      <w:r w:rsidRPr="004B5DA7">
        <w:rPr>
          <w:rFonts w:ascii="Baskerville Old Face" w:hAnsi="Baskerville Old Face"/>
          <w:sz w:val="24"/>
          <w:szCs w:val="24"/>
        </w:rPr>
        <w:t xml:space="preserve"> the development of the new NRA website and configured the Virtual Private Server (VPS) for its hosting.</w:t>
      </w:r>
    </w:p>
    <w:p w14:paraId="16F505E2" w14:textId="0233869F"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proofErr w:type="spellStart"/>
      <w:r w:rsidRPr="004B5DA7">
        <w:rPr>
          <w:rFonts w:ascii="Baskerville Old Face" w:hAnsi="Baskerville Old Face"/>
          <w:sz w:val="24"/>
          <w:szCs w:val="24"/>
        </w:rPr>
        <w:t>Synchroni</w:t>
      </w:r>
      <w:r w:rsidR="00014002">
        <w:rPr>
          <w:rFonts w:ascii="Baskerville Old Face" w:hAnsi="Baskerville Old Face"/>
          <w:sz w:val="24"/>
          <w:szCs w:val="24"/>
        </w:rPr>
        <w:t>s</w:t>
      </w:r>
      <w:r w:rsidRPr="004B5DA7">
        <w:rPr>
          <w:rFonts w:ascii="Baskerville Old Face" w:hAnsi="Baskerville Old Face"/>
          <w:sz w:val="24"/>
          <w:szCs w:val="24"/>
        </w:rPr>
        <w:t>ed</w:t>
      </w:r>
      <w:proofErr w:type="spellEnd"/>
      <w:r w:rsidRPr="004B5DA7">
        <w:rPr>
          <w:rFonts w:ascii="Baskerville Old Face" w:hAnsi="Baskerville Old Face"/>
          <w:sz w:val="24"/>
          <w:szCs w:val="24"/>
        </w:rPr>
        <w:t xml:space="preserve"> the internal Active Directory with Microsoft Azure through the Microsoft 365 platform to enable single sign-on functionality.</w:t>
      </w:r>
    </w:p>
    <w:p w14:paraId="50EF7DC7"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Established connectivity with the ECOWAS regional centre in Lomé, Togo, to facilitate operations of the SIGMAT Transit System.</w:t>
      </w:r>
    </w:p>
    <w:p w14:paraId="0EB90A7F"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Conducted both functional and technical training sessions for staff on the ECOWAS SIGMAT Transit System.</w:t>
      </w:r>
    </w:p>
    <w:p w14:paraId="6BD45D63" w14:textId="0F93C4CA"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 xml:space="preserve">Delivered introductory training in Talend Studio, SQL, and Power BI to the Data Analytics Team at </w:t>
      </w:r>
      <w:r w:rsidR="00783A3A">
        <w:rPr>
          <w:rFonts w:ascii="Baskerville Old Face" w:hAnsi="Baskerville Old Face"/>
          <w:sz w:val="24"/>
          <w:szCs w:val="24"/>
        </w:rPr>
        <w:t xml:space="preserve">the </w:t>
      </w:r>
      <w:r w:rsidRPr="004B5DA7">
        <w:rPr>
          <w:rFonts w:ascii="Baskerville Old Face" w:hAnsi="Baskerville Old Face"/>
          <w:sz w:val="24"/>
          <w:szCs w:val="24"/>
        </w:rPr>
        <w:t xml:space="preserve">MRP Department to strengthen capacity in data analysis and </w:t>
      </w:r>
      <w:proofErr w:type="spellStart"/>
      <w:r w:rsidRPr="004B5DA7">
        <w:rPr>
          <w:rFonts w:ascii="Baskerville Old Face" w:hAnsi="Baskerville Old Face"/>
          <w:sz w:val="24"/>
          <w:szCs w:val="24"/>
        </w:rPr>
        <w:t>visualisation</w:t>
      </w:r>
      <w:proofErr w:type="spellEnd"/>
      <w:r w:rsidRPr="004B5DA7">
        <w:rPr>
          <w:rFonts w:ascii="Baskerville Old Face" w:hAnsi="Baskerville Old Face"/>
          <w:sz w:val="24"/>
          <w:szCs w:val="24"/>
        </w:rPr>
        <w:t>.</w:t>
      </w:r>
    </w:p>
    <w:p w14:paraId="4D0F8218"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Completed the development of an internal Leave Application System for the Human Resources Department.</w:t>
      </w:r>
    </w:p>
    <w:p w14:paraId="66FEB88B"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proofErr w:type="spellStart"/>
      <w:r w:rsidRPr="004B5DA7">
        <w:rPr>
          <w:rFonts w:ascii="Baskerville Old Face" w:hAnsi="Baskerville Old Face"/>
          <w:sz w:val="24"/>
          <w:szCs w:val="24"/>
        </w:rPr>
        <w:t>Finalised</w:t>
      </w:r>
      <w:proofErr w:type="spellEnd"/>
      <w:r w:rsidRPr="004B5DA7">
        <w:rPr>
          <w:rFonts w:ascii="Baskerville Old Face" w:hAnsi="Baskerville Old Face"/>
          <w:sz w:val="24"/>
          <w:szCs w:val="24"/>
        </w:rPr>
        <w:t xml:space="preserve"> the development of a Reconciliation System for the Finance Department of the NRA.</w:t>
      </w:r>
    </w:p>
    <w:p w14:paraId="54FAA6EE"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 xml:space="preserve">Defined system requirements for the </w:t>
      </w:r>
      <w:proofErr w:type="spellStart"/>
      <w:r w:rsidRPr="004B5DA7">
        <w:rPr>
          <w:rFonts w:ascii="Baskerville Old Face" w:hAnsi="Baskerville Old Face"/>
          <w:sz w:val="24"/>
          <w:szCs w:val="24"/>
        </w:rPr>
        <w:t>standardisation</w:t>
      </w:r>
      <w:proofErr w:type="spellEnd"/>
      <w:r w:rsidRPr="004B5DA7">
        <w:rPr>
          <w:rFonts w:ascii="Baskerville Old Face" w:hAnsi="Baskerville Old Face"/>
          <w:sz w:val="24"/>
          <w:szCs w:val="24"/>
        </w:rPr>
        <w:t xml:space="preserve"> of the taxpayer registration interface within the ITAS platform.</w:t>
      </w:r>
    </w:p>
    <w:p w14:paraId="2EE2CAA9"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Undertook a review of the NRA’s IT infrastructure, including VPN and internet services, and provided recommendations to enhance efficiency and performance.</w:t>
      </w:r>
    </w:p>
    <w:p w14:paraId="4D8572D6"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Completed the installation and configuration of the Local Area Network (LAN) and VPN connectivity for the newly rented floors at Bathurst Street (former Maersk Line office).</w:t>
      </w:r>
    </w:p>
    <w:p w14:paraId="1393537C" w14:textId="77777777" w:rsidR="004B5DA7" w:rsidRPr="004B5DA7" w:rsidRDefault="004B5DA7" w:rsidP="00931C1A">
      <w:pPr>
        <w:numPr>
          <w:ilvl w:val="0"/>
          <w:numId w:val="11"/>
        </w:numPr>
        <w:spacing w:before="100" w:beforeAutospacing="1" w:after="100" w:afterAutospacing="1" w:line="276" w:lineRule="auto"/>
        <w:jc w:val="both"/>
        <w:rPr>
          <w:rFonts w:ascii="Baskerville Old Face" w:hAnsi="Baskerville Old Face"/>
          <w:sz w:val="24"/>
          <w:szCs w:val="24"/>
        </w:rPr>
      </w:pPr>
      <w:r w:rsidRPr="004B5DA7">
        <w:rPr>
          <w:rFonts w:ascii="Baskerville Old Face" w:hAnsi="Baskerville Old Face"/>
          <w:sz w:val="24"/>
          <w:szCs w:val="24"/>
        </w:rPr>
        <w:t>Carried out routine system administration and maintenance across all core IT business systems, including ITAS, ASYCUDA World, ECR, Microsoft Dynamics GP, Microsoft 365, the NTR Mobile Payment App, and broader ICT infrastructure.</w:t>
      </w:r>
    </w:p>
    <w:p w14:paraId="0A67D35D" w14:textId="77777777" w:rsidR="00453F41" w:rsidRDefault="00453F41" w:rsidP="004D5FD6">
      <w:pPr>
        <w:rPr>
          <w:rFonts w:ascii="Baskerville Old Face" w:hAnsi="Baskerville Old Face" w:cs="Times New Roman"/>
          <w:sz w:val="24"/>
          <w:szCs w:val="24"/>
        </w:rPr>
      </w:pPr>
    </w:p>
    <w:p w14:paraId="1EFA09E2" w14:textId="77777777" w:rsidR="00B214A7" w:rsidRDefault="00B214A7" w:rsidP="004D5FD6">
      <w:pPr>
        <w:rPr>
          <w:rFonts w:ascii="Baskerville Old Face" w:hAnsi="Baskerville Old Face" w:cs="Times New Roman"/>
          <w:sz w:val="24"/>
          <w:szCs w:val="24"/>
        </w:rPr>
      </w:pPr>
    </w:p>
    <w:p w14:paraId="4463A851" w14:textId="77777777" w:rsidR="00845B8C" w:rsidRDefault="00845B8C" w:rsidP="004D5FD6">
      <w:pPr>
        <w:rPr>
          <w:rFonts w:ascii="Baskerville Old Face" w:hAnsi="Baskerville Old Face" w:cs="Times New Roman"/>
          <w:sz w:val="24"/>
          <w:szCs w:val="24"/>
        </w:rPr>
      </w:pPr>
    </w:p>
    <w:p w14:paraId="0EAEBC09" w14:textId="77777777" w:rsidR="002465E3" w:rsidRDefault="002465E3" w:rsidP="004D5FD6">
      <w:pPr>
        <w:rPr>
          <w:rFonts w:ascii="Baskerville Old Face" w:hAnsi="Baskerville Old Face" w:cs="Times New Roman"/>
          <w:sz w:val="24"/>
          <w:szCs w:val="24"/>
        </w:rPr>
      </w:pPr>
    </w:p>
    <w:p w14:paraId="5493535B" w14:textId="77777777" w:rsidR="002465E3" w:rsidRDefault="002465E3" w:rsidP="004D5FD6">
      <w:pPr>
        <w:rPr>
          <w:rFonts w:ascii="Baskerville Old Face" w:hAnsi="Baskerville Old Face" w:cs="Times New Roman"/>
          <w:sz w:val="24"/>
          <w:szCs w:val="24"/>
        </w:rPr>
      </w:pPr>
    </w:p>
    <w:p w14:paraId="7A632926" w14:textId="77777777" w:rsidR="002465E3" w:rsidRDefault="002465E3" w:rsidP="004D5FD6">
      <w:pPr>
        <w:rPr>
          <w:rFonts w:ascii="Baskerville Old Face" w:hAnsi="Baskerville Old Face" w:cs="Times New Roman"/>
          <w:sz w:val="24"/>
          <w:szCs w:val="24"/>
        </w:rPr>
      </w:pPr>
    </w:p>
    <w:p w14:paraId="17F1811B" w14:textId="77777777" w:rsidR="002465E3" w:rsidRDefault="002465E3" w:rsidP="004D5FD6">
      <w:pPr>
        <w:rPr>
          <w:rFonts w:ascii="Baskerville Old Face" w:hAnsi="Baskerville Old Face" w:cs="Times New Roman"/>
          <w:sz w:val="24"/>
          <w:szCs w:val="24"/>
        </w:rPr>
      </w:pPr>
    </w:p>
    <w:p w14:paraId="44319064" w14:textId="77777777" w:rsidR="002465E3" w:rsidRDefault="002465E3" w:rsidP="004D5FD6">
      <w:pPr>
        <w:rPr>
          <w:rFonts w:ascii="Baskerville Old Face" w:hAnsi="Baskerville Old Face" w:cs="Times New Roman"/>
          <w:sz w:val="24"/>
          <w:szCs w:val="24"/>
        </w:rPr>
      </w:pPr>
    </w:p>
    <w:p w14:paraId="0363B54B" w14:textId="77777777" w:rsidR="00E55D23" w:rsidRPr="00285F16" w:rsidRDefault="00E55D23" w:rsidP="004D5FD6">
      <w:pPr>
        <w:rPr>
          <w:rFonts w:ascii="Baskerville Old Face" w:hAnsi="Baskerville Old Face" w:cs="Times New Roman"/>
          <w:sz w:val="24"/>
          <w:szCs w:val="24"/>
        </w:rPr>
      </w:pPr>
    </w:p>
    <w:p w14:paraId="2FE6FC39" w14:textId="4053BECD" w:rsidR="00B84E1E" w:rsidRPr="00520DD2" w:rsidRDefault="006A50FE" w:rsidP="00520DD2">
      <w:pPr>
        <w:pStyle w:val="Heading1"/>
        <w:jc w:val="center"/>
        <w:rPr>
          <w:rFonts w:ascii="Baskerville Old Face" w:hAnsi="Baskerville Old Face"/>
          <w:b/>
          <w:bCs/>
          <w:lang w:val="en-GB"/>
        </w:rPr>
      </w:pPr>
      <w:bookmarkStart w:id="57" w:name="_Toc198043934"/>
      <w:r w:rsidRPr="00520DD2">
        <w:rPr>
          <w:rFonts w:ascii="Baskerville Old Face" w:hAnsi="Baskerville Old Face"/>
          <w:b/>
          <w:bCs/>
          <w:lang w:val="en-GB"/>
        </w:rPr>
        <w:lastRenderedPageBreak/>
        <w:t>CHAPTER FOUR</w:t>
      </w:r>
      <w:bookmarkEnd w:id="57"/>
    </w:p>
    <w:p w14:paraId="4060A369" w14:textId="13051458" w:rsidR="00924695" w:rsidRPr="00520DD2" w:rsidRDefault="00395E0D" w:rsidP="00C03BAC">
      <w:pPr>
        <w:pStyle w:val="Heading1"/>
        <w:rPr>
          <w:rFonts w:ascii="Baskerville Old Face" w:hAnsi="Baskerville Old Face"/>
          <w:b/>
          <w:bCs/>
          <w:lang w:val="en-GB"/>
        </w:rPr>
      </w:pPr>
      <w:bookmarkStart w:id="58" w:name="_Toc198043935"/>
      <w:r w:rsidRPr="00520DD2">
        <w:rPr>
          <w:rFonts w:ascii="Baskerville Old Face" w:hAnsi="Baskerville Old Face"/>
          <w:b/>
          <w:bCs/>
          <w:lang w:val="en-GB"/>
        </w:rPr>
        <w:t xml:space="preserve">4.0 </w:t>
      </w:r>
      <w:r w:rsidR="006A50FE" w:rsidRPr="00520DD2">
        <w:rPr>
          <w:rFonts w:ascii="Baskerville Old Face" w:hAnsi="Baskerville Old Face"/>
          <w:b/>
          <w:bCs/>
          <w:lang w:val="en-GB"/>
        </w:rPr>
        <w:t>SPECIAL RELEVANCE STATISTICS</w:t>
      </w:r>
      <w:bookmarkEnd w:id="58"/>
    </w:p>
    <w:p w14:paraId="34AFBC6B" w14:textId="601C39F8" w:rsidR="00B4587E" w:rsidRDefault="00B4587E" w:rsidP="002F12A0">
      <w:pPr>
        <w:spacing w:line="276" w:lineRule="auto"/>
        <w:jc w:val="both"/>
        <w:rPr>
          <w:rFonts w:ascii="Baskerville Old Face" w:hAnsi="Baskerville Old Face" w:cs="Times New Roman"/>
          <w:kern w:val="0"/>
          <w:sz w:val="24"/>
          <w:szCs w:val="24"/>
          <w:lang w:val="en-GB"/>
          <w14:ligatures w14:val="none"/>
        </w:rPr>
      </w:pPr>
      <w:bookmarkStart w:id="59" w:name="_Hlk167094706"/>
      <w:r w:rsidRPr="00B4587E">
        <w:rPr>
          <w:rFonts w:ascii="Baskerville Old Face" w:hAnsi="Baskerville Old Face" w:cs="Times New Roman"/>
          <w:kern w:val="0"/>
          <w:sz w:val="24"/>
          <w:szCs w:val="24"/>
          <w:lang w:val="en-GB"/>
          <w14:ligatures w14:val="none"/>
        </w:rPr>
        <w:t xml:space="preserve">This chapter provides a comprehensive examination of </w:t>
      </w:r>
      <w:r w:rsidR="003055B2" w:rsidRPr="00B4587E">
        <w:rPr>
          <w:rFonts w:ascii="Baskerville Old Face" w:hAnsi="Baskerville Old Face" w:cs="Times New Roman"/>
          <w:kern w:val="0"/>
          <w:sz w:val="24"/>
          <w:szCs w:val="24"/>
          <w:lang w:val="en-GB"/>
          <w14:ligatures w14:val="none"/>
        </w:rPr>
        <w:t>relevant</w:t>
      </w:r>
      <w:r w:rsidRPr="00B4587E">
        <w:rPr>
          <w:rFonts w:ascii="Baskerville Old Face" w:hAnsi="Baskerville Old Face" w:cs="Times New Roman"/>
          <w:kern w:val="0"/>
          <w:sz w:val="24"/>
          <w:szCs w:val="24"/>
          <w:lang w:val="en-GB"/>
          <w14:ligatures w14:val="none"/>
        </w:rPr>
        <w:t xml:space="preserve"> statistics, offering </w:t>
      </w:r>
      <w:r w:rsidR="00267243" w:rsidRPr="00B4587E">
        <w:rPr>
          <w:rFonts w:ascii="Baskerville Old Face" w:hAnsi="Baskerville Old Face" w:cs="Times New Roman"/>
          <w:kern w:val="0"/>
          <w:sz w:val="24"/>
          <w:szCs w:val="24"/>
          <w:lang w:val="en-GB"/>
          <w14:ligatures w14:val="none"/>
        </w:rPr>
        <w:t>critical</w:t>
      </w:r>
      <w:r w:rsidRPr="00B4587E">
        <w:rPr>
          <w:rFonts w:ascii="Baskerville Old Face" w:hAnsi="Baskerville Old Face" w:cs="Times New Roman"/>
          <w:kern w:val="0"/>
          <w:sz w:val="24"/>
          <w:szCs w:val="24"/>
          <w:lang w:val="en-GB"/>
          <w14:ligatures w14:val="none"/>
        </w:rPr>
        <w:t xml:space="preserve"> insights into fundamental aspects of tax administration and revenue management. It commences with a focus on updates regarding taxpayer registration </w:t>
      </w:r>
      <w:r>
        <w:rPr>
          <w:rFonts w:ascii="Baskerville Old Face" w:hAnsi="Baskerville Old Face" w:cs="Times New Roman"/>
          <w:kern w:val="0"/>
          <w:sz w:val="24"/>
          <w:szCs w:val="24"/>
          <w:lang w:val="en-GB"/>
          <w14:ligatures w14:val="none"/>
        </w:rPr>
        <w:t xml:space="preserve">to </w:t>
      </w:r>
      <w:r w:rsidRPr="00B4587E">
        <w:rPr>
          <w:rFonts w:ascii="Baskerville Old Face" w:hAnsi="Baskerville Old Face" w:cs="Times New Roman"/>
          <w:kern w:val="0"/>
          <w:sz w:val="24"/>
          <w:szCs w:val="24"/>
          <w:lang w:val="en-GB"/>
          <w14:ligatures w14:val="none"/>
        </w:rPr>
        <w:t>demonstrat</w:t>
      </w:r>
      <w:r w:rsidR="00D80BE6">
        <w:rPr>
          <w:rFonts w:ascii="Baskerville Old Face" w:hAnsi="Baskerville Old Face" w:cs="Times New Roman"/>
          <w:kern w:val="0"/>
          <w:sz w:val="24"/>
          <w:szCs w:val="24"/>
          <w:lang w:val="en-GB"/>
          <w14:ligatures w14:val="none"/>
        </w:rPr>
        <w:t>e</w:t>
      </w:r>
      <w:r w:rsidRPr="00B4587E">
        <w:rPr>
          <w:rFonts w:ascii="Baskerville Old Face" w:hAnsi="Baskerville Old Face" w:cs="Times New Roman"/>
          <w:kern w:val="0"/>
          <w:sz w:val="24"/>
          <w:szCs w:val="24"/>
          <w:lang w:val="en-GB"/>
          <w14:ligatures w14:val="none"/>
        </w:rPr>
        <w:t xml:space="preserve"> efforts to broaden the taxpayer base. Additionally, another section is dedicated to an analysis of planned and completed tax and customs audits, as well as tax compliance and enforcement statistics</w:t>
      </w:r>
      <w:r w:rsidR="006E5916">
        <w:rPr>
          <w:rFonts w:ascii="Baskerville Old Face" w:hAnsi="Baskerville Old Face" w:cs="Times New Roman"/>
          <w:kern w:val="0"/>
          <w:sz w:val="24"/>
          <w:szCs w:val="24"/>
          <w:lang w:val="en-GB"/>
          <w14:ligatures w14:val="none"/>
        </w:rPr>
        <w:t>,</w:t>
      </w:r>
      <w:r w:rsidRPr="00B4587E">
        <w:rPr>
          <w:rFonts w:ascii="Baskerville Old Face" w:hAnsi="Baskerville Old Face" w:cs="Times New Roman"/>
          <w:kern w:val="0"/>
          <w:sz w:val="24"/>
          <w:szCs w:val="24"/>
          <w:lang w:val="en-GB"/>
          <w14:ligatures w14:val="none"/>
        </w:rPr>
        <w:t xml:space="preserve"> to provide valuable insights into compliance status. Updates on tax and revenue arrears shed light on outstanding liabilities. </w:t>
      </w:r>
      <w:r w:rsidR="00067FE5">
        <w:rPr>
          <w:rFonts w:ascii="Baskerville Old Face" w:hAnsi="Baskerville Old Face" w:cs="Times New Roman"/>
          <w:kern w:val="0"/>
          <w:sz w:val="24"/>
          <w:szCs w:val="24"/>
          <w:lang w:val="en-GB"/>
          <w14:ligatures w14:val="none"/>
        </w:rPr>
        <w:t>Furthermore, a</w:t>
      </w:r>
      <w:r w:rsidRPr="00B4587E">
        <w:rPr>
          <w:rFonts w:ascii="Baskerville Old Face" w:hAnsi="Baskerville Old Face" w:cs="Times New Roman"/>
          <w:kern w:val="0"/>
          <w:sz w:val="24"/>
          <w:szCs w:val="24"/>
          <w:lang w:val="en-GB"/>
          <w14:ligatures w14:val="none"/>
        </w:rPr>
        <w:t xml:space="preserve"> comparative analysis between 202</w:t>
      </w:r>
      <w:r w:rsidR="001F7170">
        <w:rPr>
          <w:rFonts w:ascii="Baskerville Old Face" w:hAnsi="Baskerville Old Face" w:cs="Times New Roman"/>
          <w:kern w:val="0"/>
          <w:sz w:val="24"/>
          <w:szCs w:val="24"/>
          <w:lang w:val="en-GB"/>
          <w14:ligatures w14:val="none"/>
        </w:rPr>
        <w:t>3</w:t>
      </w:r>
      <w:r w:rsidRPr="00B4587E">
        <w:rPr>
          <w:rFonts w:ascii="Baskerville Old Face" w:hAnsi="Baskerville Old Face" w:cs="Times New Roman"/>
          <w:kern w:val="0"/>
          <w:sz w:val="24"/>
          <w:szCs w:val="24"/>
          <w:lang w:val="en-GB"/>
          <w14:ligatures w14:val="none"/>
        </w:rPr>
        <w:t xml:space="preserve"> and 202</w:t>
      </w:r>
      <w:r w:rsidR="001F7170">
        <w:rPr>
          <w:rFonts w:ascii="Baskerville Old Face" w:hAnsi="Baskerville Old Face" w:cs="Times New Roman"/>
          <w:kern w:val="0"/>
          <w:sz w:val="24"/>
          <w:szCs w:val="24"/>
          <w:lang w:val="en-GB"/>
          <w14:ligatures w14:val="none"/>
        </w:rPr>
        <w:t>4</w:t>
      </w:r>
      <w:r w:rsidRPr="00B4587E">
        <w:rPr>
          <w:rFonts w:ascii="Baskerville Old Face" w:hAnsi="Baskerville Old Face" w:cs="Times New Roman"/>
          <w:kern w:val="0"/>
          <w:sz w:val="24"/>
          <w:szCs w:val="24"/>
          <w:lang w:val="en-GB"/>
          <w14:ligatures w14:val="none"/>
        </w:rPr>
        <w:t xml:space="preserve"> is then conducted to unveil trends in import dynamics, declaration statistics by lane, and container and vehicle statistics, facilitating a</w:t>
      </w:r>
      <w:r>
        <w:rPr>
          <w:rFonts w:ascii="Baskerville Old Face" w:hAnsi="Baskerville Old Face" w:cs="Times New Roman"/>
          <w:kern w:val="0"/>
          <w:sz w:val="24"/>
          <w:szCs w:val="24"/>
          <w:lang w:val="en-GB"/>
          <w14:ligatures w14:val="none"/>
        </w:rPr>
        <w:t>n</w:t>
      </w:r>
      <w:r w:rsidRPr="00B4587E">
        <w:rPr>
          <w:rFonts w:ascii="Baskerville Old Face" w:hAnsi="Baskerville Old Face" w:cs="Times New Roman"/>
          <w:kern w:val="0"/>
          <w:sz w:val="24"/>
          <w:szCs w:val="24"/>
          <w:lang w:val="en-GB"/>
          <w14:ligatures w14:val="none"/>
        </w:rPr>
        <w:t xml:space="preserve"> understanding of trade dynamics.</w:t>
      </w:r>
    </w:p>
    <w:p w14:paraId="719F15D8" w14:textId="22707A3B" w:rsidR="00576D48" w:rsidRPr="00520DD2" w:rsidRDefault="00395E0D" w:rsidP="00C03BAC">
      <w:pPr>
        <w:pStyle w:val="Heading2"/>
        <w:rPr>
          <w:rFonts w:ascii="Baskerville Old Face" w:hAnsi="Baskerville Old Face"/>
          <w:b/>
          <w:bCs/>
          <w:lang w:val="en-GB"/>
        </w:rPr>
      </w:pPr>
      <w:bookmarkStart w:id="60" w:name="_Toc198043936"/>
      <w:bookmarkEnd w:id="59"/>
      <w:r w:rsidRPr="00520DD2">
        <w:rPr>
          <w:rFonts w:ascii="Baskerville Old Face" w:hAnsi="Baskerville Old Face"/>
          <w:b/>
          <w:bCs/>
          <w:lang w:val="en-GB"/>
        </w:rPr>
        <w:t xml:space="preserve">4.1 </w:t>
      </w:r>
      <w:r w:rsidR="00EA47E4" w:rsidRPr="00520DD2">
        <w:rPr>
          <w:rFonts w:ascii="Baskerville Old Face" w:hAnsi="Baskerville Old Face"/>
          <w:b/>
          <w:bCs/>
          <w:lang w:val="en-GB"/>
        </w:rPr>
        <w:t>UPDATE ON TAXPAYER REGISTRATION</w:t>
      </w:r>
      <w:bookmarkEnd w:id="60"/>
    </w:p>
    <w:p w14:paraId="2FD313F5" w14:textId="5E27927F" w:rsidR="00F758AB" w:rsidRDefault="00492CEB" w:rsidP="002F12A0">
      <w:pPr>
        <w:spacing w:line="276" w:lineRule="auto"/>
        <w:jc w:val="both"/>
        <w:rPr>
          <w:rFonts w:ascii="Baskerville Old Face" w:hAnsi="Baskerville Old Face" w:cs="Times New Roman"/>
          <w:kern w:val="0"/>
          <w:sz w:val="24"/>
          <w:szCs w:val="24"/>
          <w:lang w:val="en-GB"/>
          <w14:ligatures w14:val="none"/>
        </w:rPr>
      </w:pPr>
      <w:r w:rsidRPr="00492CEB">
        <w:rPr>
          <w:rFonts w:ascii="Baskerville Old Face" w:hAnsi="Baskerville Old Face" w:cs="Times New Roman"/>
          <w:kern w:val="0"/>
          <w:sz w:val="24"/>
          <w:szCs w:val="24"/>
          <w:lang w:val="en-GB"/>
          <w14:ligatures w14:val="none"/>
        </w:rPr>
        <w:t>Taxpayers are required to register with the NRA for taxation purposes, receiving a unique identifier called a Taxpayer Identification Number (TIN). However, not all TINs are designated for business purposes. In the reviewed year, 1</w:t>
      </w:r>
      <w:r w:rsidR="00284161">
        <w:rPr>
          <w:rFonts w:ascii="Baskerville Old Face" w:hAnsi="Baskerville Old Face" w:cs="Times New Roman"/>
          <w:kern w:val="0"/>
          <w:sz w:val="24"/>
          <w:szCs w:val="24"/>
          <w:lang w:val="en-GB"/>
          <w14:ligatures w14:val="none"/>
        </w:rPr>
        <w:t>2</w:t>
      </w:r>
      <w:r w:rsidRPr="00492CEB">
        <w:rPr>
          <w:rFonts w:ascii="Baskerville Old Face" w:hAnsi="Baskerville Old Face" w:cs="Times New Roman"/>
          <w:kern w:val="0"/>
          <w:sz w:val="24"/>
          <w:szCs w:val="24"/>
          <w:lang w:val="en-GB"/>
          <w14:ligatures w14:val="none"/>
        </w:rPr>
        <w:t>,</w:t>
      </w:r>
      <w:r w:rsidR="00284161">
        <w:rPr>
          <w:rFonts w:ascii="Baskerville Old Face" w:hAnsi="Baskerville Old Face" w:cs="Times New Roman"/>
          <w:kern w:val="0"/>
          <w:sz w:val="24"/>
          <w:szCs w:val="24"/>
          <w:lang w:val="en-GB"/>
          <w14:ligatures w14:val="none"/>
        </w:rPr>
        <w:t>542</w:t>
      </w:r>
      <w:r w:rsidRPr="00492CEB">
        <w:rPr>
          <w:rFonts w:ascii="Baskerville Old Face" w:hAnsi="Baskerville Old Face" w:cs="Times New Roman"/>
          <w:kern w:val="0"/>
          <w:sz w:val="24"/>
          <w:szCs w:val="24"/>
          <w:lang w:val="en-GB"/>
          <w14:ligatures w14:val="none"/>
        </w:rPr>
        <w:t xml:space="preserve"> TINs were issued, a decrease from </w:t>
      </w:r>
      <w:r w:rsidR="00284161">
        <w:rPr>
          <w:rFonts w:ascii="Baskerville Old Face" w:hAnsi="Baskerville Old Face" w:cs="Times New Roman"/>
          <w:kern w:val="0"/>
          <w:sz w:val="24"/>
          <w:szCs w:val="24"/>
          <w:lang w:val="en-GB"/>
          <w14:ligatures w14:val="none"/>
        </w:rPr>
        <w:t>14</w:t>
      </w:r>
      <w:r w:rsidRPr="00492CEB">
        <w:rPr>
          <w:rFonts w:ascii="Baskerville Old Face" w:hAnsi="Baskerville Old Face" w:cs="Times New Roman"/>
          <w:kern w:val="0"/>
          <w:sz w:val="24"/>
          <w:szCs w:val="24"/>
          <w:lang w:val="en-GB"/>
          <w14:ligatures w14:val="none"/>
        </w:rPr>
        <w:t>,4</w:t>
      </w:r>
      <w:r w:rsidR="00284161">
        <w:rPr>
          <w:rFonts w:ascii="Baskerville Old Face" w:hAnsi="Baskerville Old Face" w:cs="Times New Roman"/>
          <w:kern w:val="0"/>
          <w:sz w:val="24"/>
          <w:szCs w:val="24"/>
          <w:lang w:val="en-GB"/>
          <w14:ligatures w14:val="none"/>
        </w:rPr>
        <w:t>99</w:t>
      </w:r>
      <w:r w:rsidRPr="00492CEB">
        <w:rPr>
          <w:rFonts w:ascii="Baskerville Old Face" w:hAnsi="Baskerville Old Face" w:cs="Times New Roman"/>
          <w:kern w:val="0"/>
          <w:sz w:val="24"/>
          <w:szCs w:val="24"/>
          <w:lang w:val="en-GB"/>
          <w14:ligatures w14:val="none"/>
        </w:rPr>
        <w:t xml:space="preserve"> in 202</w:t>
      </w:r>
      <w:r w:rsidR="00284161">
        <w:rPr>
          <w:rFonts w:ascii="Baskerville Old Face" w:hAnsi="Baskerville Old Face" w:cs="Times New Roman"/>
          <w:kern w:val="0"/>
          <w:sz w:val="24"/>
          <w:szCs w:val="24"/>
          <w:lang w:val="en-GB"/>
          <w14:ligatures w14:val="none"/>
        </w:rPr>
        <w:t>3</w:t>
      </w:r>
      <w:r w:rsidRPr="00492CEB">
        <w:rPr>
          <w:rFonts w:ascii="Baskerville Old Face" w:hAnsi="Baskerville Old Face" w:cs="Times New Roman"/>
          <w:kern w:val="0"/>
          <w:sz w:val="24"/>
          <w:szCs w:val="24"/>
          <w:lang w:val="en-GB"/>
          <w14:ligatures w14:val="none"/>
        </w:rPr>
        <w:t>.</w:t>
      </w:r>
      <w:r w:rsidR="00664C3E">
        <w:rPr>
          <w:rFonts w:ascii="Baskerville Old Face" w:hAnsi="Baskerville Old Face" w:cs="Times New Roman"/>
          <w:kern w:val="0"/>
          <w:sz w:val="24"/>
          <w:szCs w:val="24"/>
          <w:lang w:val="en-GB"/>
          <w14:ligatures w14:val="none"/>
        </w:rPr>
        <w:t xml:space="preserve"> </w:t>
      </w:r>
      <w:r w:rsidR="00DC190F" w:rsidRPr="00DC190F">
        <w:rPr>
          <w:rFonts w:ascii="Baskerville Old Face" w:hAnsi="Baskerville Old Face" w:cs="Times New Roman"/>
          <w:kern w:val="0"/>
          <w:sz w:val="24"/>
          <w:szCs w:val="24"/>
          <w:lang w:val="en-GB"/>
          <w14:ligatures w14:val="none"/>
        </w:rPr>
        <w:t>The distribution of TINs by tax office in 202</w:t>
      </w:r>
      <w:r w:rsidR="00284161">
        <w:rPr>
          <w:rFonts w:ascii="Baskerville Old Face" w:hAnsi="Baskerville Old Face" w:cs="Times New Roman"/>
          <w:kern w:val="0"/>
          <w:sz w:val="24"/>
          <w:szCs w:val="24"/>
          <w:lang w:val="en-GB"/>
          <w14:ligatures w14:val="none"/>
        </w:rPr>
        <w:t>4</w:t>
      </w:r>
      <w:r w:rsidR="00DC190F" w:rsidRPr="00DC190F">
        <w:rPr>
          <w:rFonts w:ascii="Baskerville Old Face" w:hAnsi="Baskerville Old Face" w:cs="Times New Roman"/>
          <w:kern w:val="0"/>
          <w:sz w:val="24"/>
          <w:szCs w:val="24"/>
          <w:lang w:val="en-GB"/>
          <w14:ligatures w14:val="none"/>
        </w:rPr>
        <w:t xml:space="preserve"> and 202</w:t>
      </w:r>
      <w:r w:rsidR="00284161">
        <w:rPr>
          <w:rFonts w:ascii="Baskerville Old Face" w:hAnsi="Baskerville Old Face" w:cs="Times New Roman"/>
          <w:kern w:val="0"/>
          <w:sz w:val="24"/>
          <w:szCs w:val="24"/>
          <w:lang w:val="en-GB"/>
          <w14:ligatures w14:val="none"/>
        </w:rPr>
        <w:t>3</w:t>
      </w:r>
      <w:r w:rsidR="00DC190F" w:rsidRPr="00DC190F">
        <w:rPr>
          <w:rFonts w:ascii="Baskerville Old Face" w:hAnsi="Baskerville Old Face" w:cs="Times New Roman"/>
          <w:kern w:val="0"/>
          <w:sz w:val="24"/>
          <w:szCs w:val="24"/>
          <w:lang w:val="en-GB"/>
          <w14:ligatures w14:val="none"/>
        </w:rPr>
        <w:t xml:space="preserve"> is detailed in </w:t>
      </w:r>
      <w:r w:rsidR="00DC190F" w:rsidRPr="002B4BD4">
        <w:rPr>
          <w:rFonts w:ascii="Baskerville Old Face" w:hAnsi="Baskerville Old Face" w:cs="Times New Roman"/>
          <w:kern w:val="0"/>
          <w:sz w:val="24"/>
          <w:szCs w:val="24"/>
          <w:lang w:val="en-GB"/>
          <w14:ligatures w14:val="none"/>
        </w:rPr>
        <w:t xml:space="preserve">Table </w:t>
      </w:r>
      <w:r w:rsidR="002B4BD4">
        <w:rPr>
          <w:rFonts w:ascii="Baskerville Old Face" w:hAnsi="Baskerville Old Face" w:cs="Times New Roman"/>
          <w:kern w:val="0"/>
          <w:sz w:val="24"/>
          <w:szCs w:val="24"/>
          <w:lang w:val="en-GB"/>
          <w14:ligatures w14:val="none"/>
        </w:rPr>
        <w:t>11</w:t>
      </w:r>
      <w:r w:rsidR="00DC190F" w:rsidRPr="00DC190F">
        <w:rPr>
          <w:rFonts w:ascii="Baskerville Old Face" w:hAnsi="Baskerville Old Face" w:cs="Times New Roman"/>
          <w:kern w:val="0"/>
          <w:sz w:val="24"/>
          <w:szCs w:val="24"/>
          <w:lang w:val="en-GB"/>
          <w14:ligatures w14:val="none"/>
        </w:rPr>
        <w:t xml:space="preserve">. </w:t>
      </w:r>
      <w:r w:rsidR="00F1098B">
        <w:rPr>
          <w:rFonts w:ascii="Baskerville Old Face" w:hAnsi="Baskerville Old Face" w:cs="Times New Roman"/>
          <w:kern w:val="0"/>
          <w:sz w:val="24"/>
          <w:szCs w:val="24"/>
          <w:lang w:val="en-GB"/>
          <w14:ligatures w14:val="none"/>
        </w:rPr>
        <w:t xml:space="preserve">Freetown Central </w:t>
      </w:r>
      <w:r w:rsidR="0039714C">
        <w:rPr>
          <w:rFonts w:ascii="Baskerville Old Face" w:hAnsi="Baskerville Old Face" w:cs="Times New Roman"/>
          <w:kern w:val="0"/>
          <w:sz w:val="24"/>
          <w:szCs w:val="24"/>
          <w:lang w:val="en-GB"/>
          <w14:ligatures w14:val="none"/>
        </w:rPr>
        <w:t>tax o</w:t>
      </w:r>
      <w:r w:rsidR="00F1098B">
        <w:rPr>
          <w:rFonts w:ascii="Baskerville Old Face" w:hAnsi="Baskerville Old Face" w:cs="Times New Roman"/>
          <w:kern w:val="0"/>
          <w:sz w:val="24"/>
          <w:szCs w:val="24"/>
          <w:lang w:val="en-GB"/>
          <w14:ligatures w14:val="none"/>
        </w:rPr>
        <w:t xml:space="preserve">ffice issued the highest number of TINs in 2024, followed by the </w:t>
      </w:r>
      <w:r w:rsidR="00F1098B" w:rsidRPr="00DC190F">
        <w:rPr>
          <w:rFonts w:ascii="Baskerville Old Face" w:hAnsi="Baskerville Old Face" w:cs="Times New Roman"/>
          <w:kern w:val="0"/>
          <w:sz w:val="24"/>
          <w:szCs w:val="24"/>
          <w:lang w:val="en-GB"/>
          <w14:ligatures w14:val="none"/>
        </w:rPr>
        <w:t>WAMA</w:t>
      </w:r>
      <w:r w:rsidR="00F1098B">
        <w:rPr>
          <w:rFonts w:ascii="Baskerville Old Face" w:hAnsi="Baskerville Old Face" w:cs="Times New Roman"/>
          <w:kern w:val="0"/>
          <w:sz w:val="24"/>
          <w:szCs w:val="24"/>
          <w:lang w:val="en-GB"/>
          <w14:ligatures w14:val="none"/>
        </w:rPr>
        <w:t xml:space="preserve"> building</w:t>
      </w:r>
      <w:r w:rsidR="00F1098B" w:rsidRPr="00DC190F">
        <w:rPr>
          <w:rFonts w:ascii="Baskerville Old Face" w:hAnsi="Baskerville Old Face" w:cs="Times New Roman"/>
          <w:kern w:val="0"/>
          <w:sz w:val="24"/>
          <w:szCs w:val="24"/>
          <w:lang w:val="en-GB"/>
          <w14:ligatures w14:val="none"/>
        </w:rPr>
        <w:t xml:space="preserve"> </w:t>
      </w:r>
      <w:r w:rsidR="00F1098B">
        <w:rPr>
          <w:rFonts w:ascii="Baskerville Old Face" w:hAnsi="Baskerville Old Face" w:cs="Times New Roman"/>
          <w:kern w:val="0"/>
          <w:sz w:val="24"/>
          <w:szCs w:val="24"/>
          <w:lang w:val="en-GB"/>
          <w14:ligatures w14:val="none"/>
        </w:rPr>
        <w:t xml:space="preserve">tax office and </w:t>
      </w:r>
      <w:r w:rsidR="0039714C">
        <w:rPr>
          <w:rFonts w:ascii="Baskerville Old Face" w:hAnsi="Baskerville Old Face" w:cs="Times New Roman"/>
          <w:kern w:val="0"/>
          <w:sz w:val="24"/>
          <w:szCs w:val="24"/>
          <w:lang w:val="en-GB"/>
          <w14:ligatures w14:val="none"/>
        </w:rPr>
        <w:t xml:space="preserve">then </w:t>
      </w:r>
      <w:r w:rsidR="00F1098B">
        <w:rPr>
          <w:rFonts w:ascii="Baskerville Old Face" w:hAnsi="Baskerville Old Face" w:cs="Times New Roman"/>
          <w:kern w:val="0"/>
          <w:sz w:val="24"/>
          <w:szCs w:val="24"/>
          <w:lang w:val="en-GB"/>
          <w14:ligatures w14:val="none"/>
        </w:rPr>
        <w:t xml:space="preserve">the Freetown </w:t>
      </w:r>
      <w:r w:rsidR="0039714C">
        <w:rPr>
          <w:rFonts w:ascii="Baskerville Old Face" w:hAnsi="Baskerville Old Face" w:cs="Times New Roman"/>
          <w:kern w:val="0"/>
          <w:sz w:val="24"/>
          <w:szCs w:val="24"/>
          <w:lang w:val="en-GB"/>
          <w14:ligatures w14:val="none"/>
        </w:rPr>
        <w:t>West</w:t>
      </w:r>
      <w:r w:rsidR="00F1098B">
        <w:rPr>
          <w:rFonts w:ascii="Baskerville Old Face" w:hAnsi="Baskerville Old Face" w:cs="Times New Roman"/>
          <w:kern w:val="0"/>
          <w:sz w:val="24"/>
          <w:szCs w:val="24"/>
          <w:lang w:val="en-GB"/>
          <w14:ligatures w14:val="none"/>
        </w:rPr>
        <w:t xml:space="preserve"> tax office, while in the previous year</w:t>
      </w:r>
      <w:r w:rsidR="0039714C">
        <w:rPr>
          <w:rFonts w:ascii="Baskerville Old Face" w:hAnsi="Baskerville Old Face" w:cs="Times New Roman"/>
          <w:kern w:val="0"/>
          <w:sz w:val="24"/>
          <w:szCs w:val="24"/>
          <w:lang w:val="en-GB"/>
          <w14:ligatures w14:val="none"/>
        </w:rPr>
        <w:t>,</w:t>
      </w:r>
      <w:r w:rsidR="00F1098B">
        <w:rPr>
          <w:rFonts w:ascii="Baskerville Old Face" w:hAnsi="Baskerville Old Face" w:cs="Times New Roman"/>
          <w:kern w:val="0"/>
          <w:sz w:val="24"/>
          <w:szCs w:val="24"/>
          <w:lang w:val="en-GB"/>
          <w14:ligatures w14:val="none"/>
        </w:rPr>
        <w:t xml:space="preserve"> t</w:t>
      </w:r>
      <w:r w:rsidR="00DC190F" w:rsidRPr="00DC190F">
        <w:rPr>
          <w:rFonts w:ascii="Baskerville Old Face" w:hAnsi="Baskerville Old Face" w:cs="Times New Roman"/>
          <w:kern w:val="0"/>
          <w:sz w:val="24"/>
          <w:szCs w:val="24"/>
          <w:lang w:val="en-GB"/>
          <w14:ligatures w14:val="none"/>
        </w:rPr>
        <w:t xml:space="preserve">he Medium Taxpayers Office (MTO) issued the highest number of TINs, followed by the </w:t>
      </w:r>
      <w:r w:rsidR="00F1098B">
        <w:rPr>
          <w:rFonts w:ascii="Baskerville Old Face" w:hAnsi="Baskerville Old Face" w:cs="Times New Roman"/>
          <w:kern w:val="0"/>
          <w:sz w:val="24"/>
          <w:szCs w:val="24"/>
          <w:lang w:val="en-GB"/>
          <w14:ligatures w14:val="none"/>
        </w:rPr>
        <w:t>WAMA building tax</w:t>
      </w:r>
      <w:r w:rsidR="00DC190F" w:rsidRPr="00DC190F">
        <w:rPr>
          <w:rFonts w:ascii="Baskerville Old Face" w:hAnsi="Baskerville Old Face" w:cs="Times New Roman"/>
          <w:kern w:val="0"/>
          <w:sz w:val="24"/>
          <w:szCs w:val="24"/>
          <w:lang w:val="en-GB"/>
          <w14:ligatures w14:val="none"/>
        </w:rPr>
        <w:t xml:space="preserve"> office, and the Freetown Central Office. TINs </w:t>
      </w:r>
      <w:r w:rsidR="00ED7498">
        <w:rPr>
          <w:rFonts w:ascii="Baskerville Old Face" w:hAnsi="Baskerville Old Face" w:cs="Times New Roman"/>
          <w:kern w:val="0"/>
          <w:sz w:val="24"/>
          <w:szCs w:val="24"/>
          <w:lang w:val="en-GB"/>
          <w14:ligatures w14:val="none"/>
        </w:rPr>
        <w:t xml:space="preserve">issued from </w:t>
      </w:r>
      <w:r w:rsidR="00DC190F" w:rsidRPr="00DC190F">
        <w:rPr>
          <w:rFonts w:ascii="Baskerville Old Face" w:hAnsi="Baskerville Old Face" w:cs="Times New Roman"/>
          <w:kern w:val="0"/>
          <w:sz w:val="24"/>
          <w:szCs w:val="24"/>
          <w:lang w:val="en-GB"/>
          <w14:ligatures w14:val="none"/>
        </w:rPr>
        <w:t xml:space="preserve">the CSD office </w:t>
      </w:r>
      <w:r w:rsidR="00ED7498">
        <w:rPr>
          <w:rFonts w:ascii="Baskerville Old Face" w:hAnsi="Baskerville Old Face" w:cs="Times New Roman"/>
          <w:kern w:val="0"/>
          <w:sz w:val="24"/>
          <w:szCs w:val="24"/>
          <w:lang w:val="en-GB"/>
          <w14:ligatures w14:val="none"/>
        </w:rPr>
        <w:t xml:space="preserve">are </w:t>
      </w:r>
      <w:r w:rsidR="00DC190F" w:rsidRPr="00DC190F">
        <w:rPr>
          <w:rFonts w:ascii="Baskerville Old Face" w:hAnsi="Baskerville Old Face" w:cs="Times New Roman"/>
          <w:kern w:val="0"/>
          <w:sz w:val="24"/>
          <w:szCs w:val="24"/>
          <w:lang w:val="en-GB"/>
          <w14:ligatures w14:val="none"/>
        </w:rPr>
        <w:t xml:space="preserve">primarily </w:t>
      </w:r>
      <w:r w:rsidR="00ED7498">
        <w:rPr>
          <w:rFonts w:ascii="Baskerville Old Face" w:hAnsi="Baskerville Old Face" w:cs="Times New Roman"/>
          <w:kern w:val="0"/>
          <w:sz w:val="24"/>
          <w:szCs w:val="24"/>
          <w:lang w:val="en-GB"/>
          <w14:ligatures w14:val="none"/>
        </w:rPr>
        <w:t>for</w:t>
      </w:r>
      <w:r w:rsidR="00DC190F" w:rsidRPr="00DC190F">
        <w:rPr>
          <w:rFonts w:ascii="Baskerville Old Face" w:hAnsi="Baskerville Old Face" w:cs="Times New Roman"/>
          <w:kern w:val="0"/>
          <w:sz w:val="24"/>
          <w:szCs w:val="24"/>
          <w:lang w:val="en-GB"/>
          <w14:ligatures w14:val="none"/>
        </w:rPr>
        <w:t xml:space="preserve"> </w:t>
      </w:r>
      <w:r w:rsidR="006E5916">
        <w:rPr>
          <w:rFonts w:ascii="Baskerville Old Face" w:hAnsi="Baskerville Old Face" w:cs="Times New Roman"/>
          <w:kern w:val="0"/>
          <w:sz w:val="24"/>
          <w:szCs w:val="24"/>
          <w:lang w:val="en-GB"/>
          <w14:ligatures w14:val="none"/>
        </w:rPr>
        <w:t>import</w:t>
      </w:r>
      <w:r w:rsidR="00DC190F" w:rsidRPr="00DC190F">
        <w:rPr>
          <w:rFonts w:ascii="Baskerville Old Face" w:hAnsi="Baskerville Old Face" w:cs="Times New Roman"/>
          <w:kern w:val="0"/>
          <w:sz w:val="24"/>
          <w:szCs w:val="24"/>
          <w:lang w:val="en-GB"/>
          <w14:ligatures w14:val="none"/>
        </w:rPr>
        <w:t xml:space="preserve"> and </w:t>
      </w:r>
      <w:r w:rsidR="006E5916">
        <w:rPr>
          <w:rFonts w:ascii="Baskerville Old Face" w:hAnsi="Baskerville Old Face" w:cs="Times New Roman"/>
          <w:kern w:val="0"/>
          <w:sz w:val="24"/>
          <w:szCs w:val="24"/>
          <w:lang w:val="en-GB"/>
          <w14:ligatures w14:val="none"/>
        </w:rPr>
        <w:t>export</w:t>
      </w:r>
      <w:r w:rsidR="00DC190F" w:rsidRPr="00DC190F">
        <w:rPr>
          <w:rFonts w:ascii="Baskerville Old Face" w:hAnsi="Baskerville Old Face" w:cs="Times New Roman"/>
          <w:kern w:val="0"/>
          <w:sz w:val="24"/>
          <w:szCs w:val="24"/>
          <w:lang w:val="en-GB"/>
          <w14:ligatures w14:val="none"/>
        </w:rPr>
        <w:t xml:space="preserve"> </w:t>
      </w:r>
      <w:r w:rsidR="00ED7498">
        <w:rPr>
          <w:rFonts w:ascii="Baskerville Old Face" w:hAnsi="Baskerville Old Face" w:cs="Times New Roman"/>
          <w:kern w:val="0"/>
          <w:sz w:val="24"/>
          <w:szCs w:val="24"/>
          <w:lang w:val="en-GB"/>
          <w14:ligatures w14:val="none"/>
        </w:rPr>
        <w:t>purposes</w:t>
      </w:r>
      <w:r w:rsidR="00DC190F" w:rsidRPr="00DC190F">
        <w:rPr>
          <w:rFonts w:ascii="Baskerville Old Face" w:hAnsi="Baskerville Old Face" w:cs="Times New Roman"/>
          <w:kern w:val="0"/>
          <w:sz w:val="24"/>
          <w:szCs w:val="24"/>
          <w:lang w:val="en-GB"/>
          <w14:ligatures w14:val="none"/>
        </w:rPr>
        <w:t>.</w:t>
      </w:r>
      <w:r w:rsidR="00F1098B">
        <w:rPr>
          <w:rFonts w:ascii="Baskerville Old Face" w:hAnsi="Baskerville Old Face" w:cs="Times New Roman"/>
          <w:kern w:val="0"/>
          <w:sz w:val="24"/>
          <w:szCs w:val="24"/>
          <w:lang w:val="en-GB"/>
          <w14:ligatures w14:val="none"/>
        </w:rPr>
        <w:t xml:space="preserve"> </w:t>
      </w:r>
    </w:p>
    <w:p w14:paraId="366A7704" w14:textId="1BF15105" w:rsidR="0071721B" w:rsidRPr="002465E3" w:rsidRDefault="0071721B" w:rsidP="0071721B">
      <w:pPr>
        <w:pStyle w:val="Caption"/>
        <w:keepNext/>
        <w:rPr>
          <w:rFonts w:ascii="Baskerville Old Face" w:hAnsi="Baskerville Old Face"/>
          <w:b/>
          <w:bCs/>
          <w:sz w:val="24"/>
          <w:szCs w:val="24"/>
        </w:rPr>
      </w:pPr>
      <w:bookmarkStart w:id="61" w:name="_Toc198044029"/>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11</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Number of TIN Issued by Tax Office in 2024 and 2023</w:t>
      </w:r>
      <w:bookmarkEnd w:id="61"/>
    </w:p>
    <w:tbl>
      <w:tblPr>
        <w:tblStyle w:val="GridTable2-Accent5"/>
        <w:tblW w:w="0" w:type="auto"/>
        <w:tblInd w:w="5" w:type="dxa"/>
        <w:tblLook w:val="04A0" w:firstRow="1" w:lastRow="0" w:firstColumn="1" w:lastColumn="0" w:noHBand="0" w:noVBand="1"/>
      </w:tblPr>
      <w:tblGrid>
        <w:gridCol w:w="3775"/>
        <w:gridCol w:w="2790"/>
        <w:gridCol w:w="1980"/>
      </w:tblGrid>
      <w:tr w:rsidR="00276BD7" w:rsidRPr="00664C3E" w14:paraId="26120F36" w14:textId="77777777" w:rsidTr="00276B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F4939DC" w14:textId="77777777" w:rsidR="00276BD7" w:rsidRPr="00664C3E" w:rsidRDefault="00276BD7" w:rsidP="00276BD7">
            <w:pPr>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Tax Office</w:t>
            </w:r>
          </w:p>
        </w:tc>
        <w:tc>
          <w:tcPr>
            <w:tcW w:w="2790" w:type="dxa"/>
            <w:noWrap/>
            <w:hideMark/>
          </w:tcPr>
          <w:p w14:paraId="673D8D47" w14:textId="77777777" w:rsidR="00276BD7" w:rsidRPr="00664C3E" w:rsidRDefault="00276BD7" w:rsidP="00276BD7">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2024</w:t>
            </w:r>
          </w:p>
        </w:tc>
        <w:tc>
          <w:tcPr>
            <w:tcW w:w="1980" w:type="dxa"/>
            <w:noWrap/>
            <w:hideMark/>
          </w:tcPr>
          <w:p w14:paraId="3F61CD69" w14:textId="77777777" w:rsidR="00276BD7" w:rsidRPr="00664C3E" w:rsidRDefault="00276BD7" w:rsidP="00276BD7">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2023</w:t>
            </w:r>
          </w:p>
        </w:tc>
      </w:tr>
      <w:tr w:rsidR="00276BD7" w:rsidRPr="00664C3E" w14:paraId="0A7C749E"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DDE4AD5"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Freetown Central </w:t>
            </w:r>
          </w:p>
        </w:tc>
        <w:tc>
          <w:tcPr>
            <w:tcW w:w="2790" w:type="dxa"/>
            <w:noWrap/>
            <w:hideMark/>
          </w:tcPr>
          <w:p w14:paraId="73E99A67" w14:textId="345A62E3"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3,217</w:t>
            </w:r>
          </w:p>
        </w:tc>
        <w:tc>
          <w:tcPr>
            <w:tcW w:w="1980" w:type="dxa"/>
            <w:noWrap/>
            <w:hideMark/>
          </w:tcPr>
          <w:p w14:paraId="63D55721" w14:textId="61D1AC1D"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2,262</w:t>
            </w:r>
          </w:p>
        </w:tc>
      </w:tr>
      <w:tr w:rsidR="00276BD7" w:rsidRPr="00664C3E" w14:paraId="255E59AC"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63928CE4"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WAMA Individual Taxpayer  </w:t>
            </w:r>
          </w:p>
        </w:tc>
        <w:tc>
          <w:tcPr>
            <w:tcW w:w="2790" w:type="dxa"/>
            <w:noWrap/>
            <w:hideMark/>
          </w:tcPr>
          <w:p w14:paraId="0833E936" w14:textId="6B8AA8BC"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2,430</w:t>
            </w:r>
          </w:p>
        </w:tc>
        <w:tc>
          <w:tcPr>
            <w:tcW w:w="1980" w:type="dxa"/>
            <w:noWrap/>
            <w:hideMark/>
          </w:tcPr>
          <w:p w14:paraId="4A86830D" w14:textId="388C0664"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3,473</w:t>
            </w:r>
          </w:p>
        </w:tc>
      </w:tr>
      <w:tr w:rsidR="00276BD7" w:rsidRPr="00664C3E" w14:paraId="6B837A8D"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FA2EE0F"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Freetown West </w:t>
            </w:r>
          </w:p>
        </w:tc>
        <w:tc>
          <w:tcPr>
            <w:tcW w:w="2790" w:type="dxa"/>
            <w:noWrap/>
            <w:hideMark/>
          </w:tcPr>
          <w:p w14:paraId="18936F5F" w14:textId="539DF676"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2,233</w:t>
            </w:r>
          </w:p>
        </w:tc>
        <w:tc>
          <w:tcPr>
            <w:tcW w:w="1980" w:type="dxa"/>
            <w:noWrap/>
            <w:hideMark/>
          </w:tcPr>
          <w:p w14:paraId="6B2452A5" w14:textId="4C614772"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619</w:t>
            </w:r>
          </w:p>
        </w:tc>
      </w:tr>
      <w:tr w:rsidR="00276BD7" w:rsidRPr="00664C3E" w14:paraId="01251EC5"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E0161BE"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Freetown East </w:t>
            </w:r>
          </w:p>
        </w:tc>
        <w:tc>
          <w:tcPr>
            <w:tcW w:w="2790" w:type="dxa"/>
            <w:noWrap/>
            <w:hideMark/>
          </w:tcPr>
          <w:p w14:paraId="060F8CDF" w14:textId="2736B891"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1,587</w:t>
            </w:r>
          </w:p>
        </w:tc>
        <w:tc>
          <w:tcPr>
            <w:tcW w:w="1980" w:type="dxa"/>
            <w:noWrap/>
            <w:hideMark/>
          </w:tcPr>
          <w:p w14:paraId="1D9BE822" w14:textId="0C944260"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267</w:t>
            </w:r>
          </w:p>
        </w:tc>
      </w:tr>
      <w:tr w:rsidR="00276BD7" w:rsidRPr="00664C3E" w14:paraId="0887DAD7"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81A2ACF"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Makeni Taxpayers Office </w:t>
            </w:r>
          </w:p>
        </w:tc>
        <w:tc>
          <w:tcPr>
            <w:tcW w:w="2790" w:type="dxa"/>
            <w:noWrap/>
            <w:hideMark/>
          </w:tcPr>
          <w:p w14:paraId="6EE9065D" w14:textId="0D3D1406"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944</w:t>
            </w:r>
          </w:p>
        </w:tc>
        <w:tc>
          <w:tcPr>
            <w:tcW w:w="1980" w:type="dxa"/>
            <w:noWrap/>
            <w:hideMark/>
          </w:tcPr>
          <w:p w14:paraId="7CA607D8" w14:textId="5EC9ED94"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940</w:t>
            </w:r>
          </w:p>
        </w:tc>
      </w:tr>
      <w:tr w:rsidR="00276BD7" w:rsidRPr="00664C3E" w14:paraId="54B40543"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5EE316D6"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Bo Taxpayers Office </w:t>
            </w:r>
          </w:p>
        </w:tc>
        <w:tc>
          <w:tcPr>
            <w:tcW w:w="2790" w:type="dxa"/>
            <w:noWrap/>
            <w:hideMark/>
          </w:tcPr>
          <w:p w14:paraId="48EFFA71" w14:textId="7F1518D6"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725</w:t>
            </w:r>
          </w:p>
        </w:tc>
        <w:tc>
          <w:tcPr>
            <w:tcW w:w="1980" w:type="dxa"/>
            <w:noWrap/>
            <w:hideMark/>
          </w:tcPr>
          <w:p w14:paraId="39678DB4" w14:textId="6DE254B6"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531</w:t>
            </w:r>
          </w:p>
        </w:tc>
      </w:tr>
      <w:tr w:rsidR="00276BD7" w:rsidRPr="00664C3E" w14:paraId="7CAFCA9F"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93AB123"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CSD Importers and Brokers </w:t>
            </w:r>
          </w:p>
        </w:tc>
        <w:tc>
          <w:tcPr>
            <w:tcW w:w="2790" w:type="dxa"/>
            <w:noWrap/>
            <w:hideMark/>
          </w:tcPr>
          <w:p w14:paraId="7BAA3E5D" w14:textId="7967108B"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455</w:t>
            </w:r>
          </w:p>
        </w:tc>
        <w:tc>
          <w:tcPr>
            <w:tcW w:w="1980" w:type="dxa"/>
            <w:noWrap/>
            <w:hideMark/>
          </w:tcPr>
          <w:p w14:paraId="4D276DE5" w14:textId="514F7F42"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838</w:t>
            </w:r>
          </w:p>
        </w:tc>
      </w:tr>
      <w:tr w:rsidR="00276BD7" w:rsidRPr="00664C3E" w14:paraId="0C8C4D5B"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EFD2D32"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Kenema Taxpayers Office </w:t>
            </w:r>
          </w:p>
        </w:tc>
        <w:tc>
          <w:tcPr>
            <w:tcW w:w="2790" w:type="dxa"/>
            <w:noWrap/>
            <w:hideMark/>
          </w:tcPr>
          <w:p w14:paraId="51BBC5AF" w14:textId="1D2329A9"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358</w:t>
            </w:r>
          </w:p>
        </w:tc>
        <w:tc>
          <w:tcPr>
            <w:tcW w:w="1980" w:type="dxa"/>
            <w:noWrap/>
            <w:hideMark/>
          </w:tcPr>
          <w:p w14:paraId="2B9BA16B" w14:textId="0DAAEEAE"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556</w:t>
            </w:r>
          </w:p>
        </w:tc>
      </w:tr>
      <w:tr w:rsidR="00276BD7" w:rsidRPr="00664C3E" w14:paraId="63428EE1"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7D805A78"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Kono Taxpayers Office </w:t>
            </w:r>
          </w:p>
        </w:tc>
        <w:tc>
          <w:tcPr>
            <w:tcW w:w="2790" w:type="dxa"/>
            <w:noWrap/>
            <w:hideMark/>
          </w:tcPr>
          <w:p w14:paraId="401BB98F" w14:textId="3C071585"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286</w:t>
            </w:r>
          </w:p>
        </w:tc>
        <w:tc>
          <w:tcPr>
            <w:tcW w:w="1980" w:type="dxa"/>
            <w:noWrap/>
            <w:hideMark/>
          </w:tcPr>
          <w:p w14:paraId="02AA887B" w14:textId="58F009E5"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287</w:t>
            </w:r>
          </w:p>
        </w:tc>
      </w:tr>
      <w:tr w:rsidR="00276BD7" w:rsidRPr="00664C3E" w14:paraId="00E395DB"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0B70306D"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Medium Taxpayers Office </w:t>
            </w:r>
          </w:p>
        </w:tc>
        <w:tc>
          <w:tcPr>
            <w:tcW w:w="2790" w:type="dxa"/>
            <w:noWrap/>
            <w:hideMark/>
          </w:tcPr>
          <w:p w14:paraId="69FE722E" w14:textId="3EB728AE"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169</w:t>
            </w:r>
          </w:p>
        </w:tc>
        <w:tc>
          <w:tcPr>
            <w:tcW w:w="1980" w:type="dxa"/>
            <w:noWrap/>
            <w:hideMark/>
          </w:tcPr>
          <w:p w14:paraId="616F2B78" w14:textId="0E527E6A"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4,674</w:t>
            </w:r>
          </w:p>
        </w:tc>
      </w:tr>
      <w:tr w:rsidR="00276BD7" w:rsidRPr="00664C3E" w14:paraId="192E091B"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35F89E51"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New Registration Office (NRO)</w:t>
            </w:r>
          </w:p>
        </w:tc>
        <w:tc>
          <w:tcPr>
            <w:tcW w:w="2790" w:type="dxa"/>
            <w:noWrap/>
            <w:hideMark/>
          </w:tcPr>
          <w:p w14:paraId="1DDE6644" w14:textId="5B9197CD"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105</w:t>
            </w:r>
          </w:p>
        </w:tc>
        <w:tc>
          <w:tcPr>
            <w:tcW w:w="1980" w:type="dxa"/>
            <w:noWrap/>
            <w:hideMark/>
          </w:tcPr>
          <w:p w14:paraId="7805FFAA" w14:textId="0045FAFE"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w:t>
            </w:r>
          </w:p>
        </w:tc>
      </w:tr>
      <w:tr w:rsidR="00276BD7" w:rsidRPr="00664C3E" w14:paraId="107A9D29"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6201D77"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Extractive Industry Revenue Unit </w:t>
            </w:r>
          </w:p>
        </w:tc>
        <w:tc>
          <w:tcPr>
            <w:tcW w:w="2790" w:type="dxa"/>
            <w:noWrap/>
            <w:hideMark/>
          </w:tcPr>
          <w:p w14:paraId="69170ABC" w14:textId="6B074452"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22</w:t>
            </w:r>
          </w:p>
        </w:tc>
        <w:tc>
          <w:tcPr>
            <w:tcW w:w="1980" w:type="dxa"/>
            <w:noWrap/>
            <w:hideMark/>
          </w:tcPr>
          <w:p w14:paraId="3403CA74" w14:textId="51CA84EA"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44</w:t>
            </w:r>
          </w:p>
        </w:tc>
      </w:tr>
      <w:tr w:rsidR="00276BD7" w:rsidRPr="00664C3E" w14:paraId="65F6048E" w14:textId="77777777" w:rsidTr="00276B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5" w:type="dxa"/>
            <w:noWrap/>
            <w:hideMark/>
          </w:tcPr>
          <w:p w14:paraId="4AEBD947"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 xml:space="preserve"> Large Taxpayers Office </w:t>
            </w:r>
          </w:p>
        </w:tc>
        <w:tc>
          <w:tcPr>
            <w:tcW w:w="2790" w:type="dxa"/>
            <w:noWrap/>
            <w:hideMark/>
          </w:tcPr>
          <w:p w14:paraId="54FB5926" w14:textId="52CC39B7"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6</w:t>
            </w:r>
          </w:p>
        </w:tc>
        <w:tc>
          <w:tcPr>
            <w:tcW w:w="1980" w:type="dxa"/>
            <w:noWrap/>
            <w:hideMark/>
          </w:tcPr>
          <w:p w14:paraId="4997F746" w14:textId="43136462"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8</w:t>
            </w:r>
          </w:p>
        </w:tc>
      </w:tr>
      <w:tr w:rsidR="00276BD7" w:rsidRPr="00664C3E" w14:paraId="05B90782" w14:textId="77777777" w:rsidTr="00276BD7">
        <w:trPr>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A19AA68" w14:textId="77777777" w:rsidR="00276BD7" w:rsidRPr="00664C3E" w:rsidRDefault="00276BD7" w:rsidP="00276BD7">
            <w:pPr>
              <w:rPr>
                <w:rFonts w:ascii="Baskerville Old Face" w:hAnsi="Baskerville Old Face" w:cs="Times New Roman"/>
                <w:b w:val="0"/>
                <w:bCs w:val="0"/>
                <w:kern w:val="0"/>
                <w14:ligatures w14:val="none"/>
              </w:rPr>
            </w:pPr>
            <w:r w:rsidRPr="00664C3E">
              <w:rPr>
                <w:rFonts w:ascii="Baskerville Old Face" w:hAnsi="Baskerville Old Face" w:cs="Times New Roman"/>
                <w:b w:val="0"/>
                <w:bCs w:val="0"/>
                <w:kern w:val="0"/>
                <w14:ligatures w14:val="none"/>
              </w:rPr>
              <w:t>(blank)</w:t>
            </w:r>
          </w:p>
        </w:tc>
        <w:tc>
          <w:tcPr>
            <w:tcW w:w="2790" w:type="dxa"/>
            <w:noWrap/>
            <w:hideMark/>
          </w:tcPr>
          <w:p w14:paraId="35AB240F" w14:textId="212BCD9B"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5</w:t>
            </w:r>
          </w:p>
        </w:tc>
        <w:tc>
          <w:tcPr>
            <w:tcW w:w="1980" w:type="dxa"/>
            <w:noWrap/>
            <w:hideMark/>
          </w:tcPr>
          <w:p w14:paraId="019329D8" w14:textId="225970BA" w:rsidR="00276BD7" w:rsidRPr="00664C3E" w:rsidRDefault="00276BD7" w:rsidP="00276BD7">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w:t>
            </w:r>
          </w:p>
        </w:tc>
      </w:tr>
      <w:tr w:rsidR="00276BD7" w:rsidRPr="00664C3E" w14:paraId="101EC271" w14:textId="77777777" w:rsidTr="00276B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2661B702" w14:textId="0DB03559" w:rsidR="00276BD7" w:rsidRPr="00664C3E" w:rsidRDefault="00276BD7" w:rsidP="00276BD7">
            <w:pPr>
              <w:rPr>
                <w:rFonts w:ascii="Baskerville Old Face" w:hAnsi="Baskerville Old Face" w:cs="Times New Roman"/>
                <w:kern w:val="0"/>
                <w14:ligatures w14:val="none"/>
              </w:rPr>
            </w:pPr>
            <w:r w:rsidRPr="00664C3E">
              <w:rPr>
                <w:rFonts w:ascii="Baskerville Old Face" w:hAnsi="Baskerville Old Face" w:cs="Times New Roman"/>
                <w:kern w:val="0"/>
                <w14:ligatures w14:val="none"/>
              </w:rPr>
              <w:t>TOTAL</w:t>
            </w:r>
          </w:p>
        </w:tc>
        <w:tc>
          <w:tcPr>
            <w:tcW w:w="2790" w:type="dxa"/>
            <w:noWrap/>
            <w:hideMark/>
          </w:tcPr>
          <w:p w14:paraId="0DB69038" w14:textId="10C01B6E"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14:ligatures w14:val="none"/>
              </w:rPr>
            </w:pPr>
            <w:r w:rsidRPr="00664C3E">
              <w:rPr>
                <w:rFonts w:ascii="Baskerville Old Face" w:hAnsi="Baskerville Old Face" w:cs="Times New Roman"/>
                <w:b/>
                <w:bCs/>
                <w:kern w:val="0"/>
                <w14:ligatures w14:val="none"/>
              </w:rPr>
              <w:t>12,542</w:t>
            </w:r>
          </w:p>
        </w:tc>
        <w:tc>
          <w:tcPr>
            <w:tcW w:w="1980" w:type="dxa"/>
            <w:noWrap/>
            <w:hideMark/>
          </w:tcPr>
          <w:p w14:paraId="2FC76948" w14:textId="67D7F2FB" w:rsidR="00276BD7" w:rsidRPr="00664C3E" w:rsidRDefault="00276BD7" w:rsidP="00276BD7">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14:ligatures w14:val="none"/>
              </w:rPr>
            </w:pPr>
            <w:r w:rsidRPr="00664C3E">
              <w:rPr>
                <w:rFonts w:ascii="Baskerville Old Face" w:hAnsi="Baskerville Old Face" w:cs="Times New Roman"/>
                <w:b/>
                <w:bCs/>
                <w:kern w:val="0"/>
                <w14:ligatures w14:val="none"/>
              </w:rPr>
              <w:t>14,499</w:t>
            </w:r>
          </w:p>
        </w:tc>
      </w:tr>
    </w:tbl>
    <w:p w14:paraId="437B66B5" w14:textId="77777777" w:rsidR="00311AEB" w:rsidRPr="00311AEB" w:rsidRDefault="00311AEB" w:rsidP="00311AEB">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291FA8C" w14:textId="02897958" w:rsidR="00576D48" w:rsidRPr="002465E3" w:rsidRDefault="003F38BA" w:rsidP="002465E3">
      <w:pPr>
        <w:spacing w:line="276" w:lineRule="auto"/>
        <w:jc w:val="both"/>
        <w:rPr>
          <w:rFonts w:ascii="Baskerville Old Face" w:hAnsi="Baskerville Old Face" w:cs="Times New Roman"/>
          <w:kern w:val="0"/>
          <w:sz w:val="24"/>
          <w:szCs w:val="24"/>
          <w:lang w:val="en-GB"/>
          <w14:ligatures w14:val="none"/>
        </w:rPr>
      </w:pPr>
      <w:r w:rsidRPr="002B4BD4">
        <w:rPr>
          <w:rFonts w:ascii="Baskerville Old Face" w:hAnsi="Baskerville Old Face" w:cs="Times New Roman"/>
          <w:kern w:val="0"/>
          <w:sz w:val="24"/>
          <w:szCs w:val="24"/>
          <w:lang w:val="en-GB"/>
          <w14:ligatures w14:val="none"/>
        </w:rPr>
        <w:lastRenderedPageBreak/>
        <w:t xml:space="preserve">Figure </w:t>
      </w:r>
      <w:r w:rsidR="0068040E">
        <w:rPr>
          <w:rFonts w:ascii="Baskerville Old Face" w:hAnsi="Baskerville Old Face" w:cs="Times New Roman"/>
          <w:kern w:val="0"/>
          <w:sz w:val="24"/>
          <w:szCs w:val="24"/>
          <w:lang w:val="en-GB"/>
          <w14:ligatures w14:val="none"/>
        </w:rPr>
        <w:t>7</w:t>
      </w:r>
      <w:r w:rsidRPr="003F38BA">
        <w:rPr>
          <w:rFonts w:ascii="Baskerville Old Face" w:hAnsi="Baskerville Old Face" w:cs="Times New Roman"/>
          <w:kern w:val="0"/>
          <w:sz w:val="24"/>
          <w:szCs w:val="24"/>
          <w:lang w:val="en-GB"/>
          <w14:ligatures w14:val="none"/>
        </w:rPr>
        <w:t xml:space="preserve"> illustrates the breakdown of </w:t>
      </w:r>
      <w:r w:rsidR="00563186">
        <w:rPr>
          <w:rFonts w:ascii="Baskerville Old Face" w:hAnsi="Baskerville Old Face" w:cs="Times New Roman"/>
          <w:kern w:val="0"/>
          <w:sz w:val="24"/>
          <w:szCs w:val="24"/>
          <w:lang w:val="en-GB"/>
          <w14:ligatures w14:val="none"/>
        </w:rPr>
        <w:t xml:space="preserve">the percentage of </w:t>
      </w:r>
      <w:r w:rsidR="006E5916">
        <w:rPr>
          <w:rFonts w:ascii="Baskerville Old Face" w:hAnsi="Baskerville Old Face" w:cs="Times New Roman"/>
          <w:kern w:val="0"/>
          <w:sz w:val="24"/>
          <w:szCs w:val="24"/>
          <w:lang w:val="en-GB"/>
          <w14:ligatures w14:val="none"/>
        </w:rPr>
        <w:t>TINs</w:t>
      </w:r>
      <w:r w:rsidR="00563186">
        <w:rPr>
          <w:rFonts w:ascii="Baskerville Old Face" w:hAnsi="Baskerville Old Face" w:cs="Times New Roman"/>
          <w:kern w:val="0"/>
          <w:sz w:val="24"/>
          <w:szCs w:val="24"/>
          <w:lang w:val="en-GB"/>
          <w14:ligatures w14:val="none"/>
        </w:rPr>
        <w:t xml:space="preserve"> issued</w:t>
      </w:r>
      <w:r w:rsidRPr="003F38BA">
        <w:rPr>
          <w:rFonts w:ascii="Baskerville Old Face" w:hAnsi="Baskerville Old Face" w:cs="Times New Roman"/>
          <w:kern w:val="0"/>
          <w:sz w:val="24"/>
          <w:szCs w:val="24"/>
          <w:lang w:val="en-GB"/>
          <w14:ligatures w14:val="none"/>
        </w:rPr>
        <w:t xml:space="preserve"> by tax type in 202</w:t>
      </w:r>
      <w:r w:rsidR="00563186">
        <w:rPr>
          <w:rFonts w:ascii="Baskerville Old Face" w:hAnsi="Baskerville Old Face" w:cs="Times New Roman"/>
          <w:kern w:val="0"/>
          <w:sz w:val="24"/>
          <w:szCs w:val="24"/>
          <w:lang w:val="en-GB"/>
          <w14:ligatures w14:val="none"/>
        </w:rPr>
        <w:t>4</w:t>
      </w:r>
      <w:r w:rsidRPr="003F38BA">
        <w:rPr>
          <w:rFonts w:ascii="Baskerville Old Face" w:hAnsi="Baskerville Old Face" w:cs="Times New Roman"/>
          <w:kern w:val="0"/>
          <w:sz w:val="24"/>
          <w:szCs w:val="24"/>
          <w:lang w:val="en-GB"/>
          <w14:ligatures w14:val="none"/>
        </w:rPr>
        <w:t xml:space="preserve"> and 202</w:t>
      </w:r>
      <w:r w:rsidR="00563186">
        <w:rPr>
          <w:rFonts w:ascii="Baskerville Old Face" w:hAnsi="Baskerville Old Face" w:cs="Times New Roman"/>
          <w:kern w:val="0"/>
          <w:sz w:val="24"/>
          <w:szCs w:val="24"/>
          <w:lang w:val="en-GB"/>
          <w14:ligatures w14:val="none"/>
        </w:rPr>
        <w:t>3</w:t>
      </w:r>
      <w:r w:rsidRPr="003F38BA">
        <w:rPr>
          <w:rFonts w:ascii="Baskerville Old Face" w:hAnsi="Baskerville Old Face" w:cs="Times New Roman"/>
          <w:kern w:val="0"/>
          <w:sz w:val="24"/>
          <w:szCs w:val="24"/>
          <w:lang w:val="en-GB"/>
          <w14:ligatures w14:val="none"/>
        </w:rPr>
        <w:t xml:space="preserve">. More than half of the TINs were </w:t>
      </w:r>
      <w:r w:rsidR="00D35CEF">
        <w:rPr>
          <w:rFonts w:ascii="Baskerville Old Face" w:hAnsi="Baskerville Old Face" w:cs="Times New Roman"/>
          <w:kern w:val="0"/>
          <w:sz w:val="24"/>
          <w:szCs w:val="24"/>
          <w:lang w:val="en-GB"/>
          <w14:ligatures w14:val="none"/>
        </w:rPr>
        <w:t>issued</w:t>
      </w:r>
      <w:r w:rsidRPr="003F38BA">
        <w:rPr>
          <w:rFonts w:ascii="Baskerville Old Face" w:hAnsi="Baskerville Old Face" w:cs="Times New Roman"/>
          <w:kern w:val="0"/>
          <w:sz w:val="24"/>
          <w:szCs w:val="24"/>
          <w:lang w:val="en-GB"/>
          <w14:ligatures w14:val="none"/>
        </w:rPr>
        <w:t xml:space="preserve"> for Personal Income Tax (PIT) in both years, with other tax categories each comprising less than 10</w:t>
      </w:r>
      <w:r w:rsidR="002B4BD4">
        <w:rPr>
          <w:rFonts w:ascii="Baskerville Old Face" w:hAnsi="Baskerville Old Face" w:cs="Times New Roman"/>
          <w:kern w:val="0"/>
          <w:sz w:val="24"/>
          <w:szCs w:val="24"/>
          <w:lang w:val="en-GB"/>
          <w14:ligatures w14:val="none"/>
        </w:rPr>
        <w:t>.0</w:t>
      </w:r>
      <w:r w:rsidRPr="003F38BA">
        <w:rPr>
          <w:rFonts w:ascii="Baskerville Old Face" w:hAnsi="Baskerville Old Face" w:cs="Times New Roman"/>
          <w:kern w:val="0"/>
          <w:sz w:val="24"/>
          <w:szCs w:val="24"/>
          <w:lang w:val="en-GB"/>
          <w14:ligatures w14:val="none"/>
        </w:rPr>
        <w:t xml:space="preserve">% of the total issued TINs, except for </w:t>
      </w:r>
      <w:r w:rsidR="00563186">
        <w:rPr>
          <w:rFonts w:ascii="Baskerville Old Face" w:hAnsi="Baskerville Old Face" w:cs="Times New Roman"/>
          <w:kern w:val="0"/>
          <w:sz w:val="24"/>
          <w:szCs w:val="24"/>
          <w:lang w:val="en-GB"/>
          <w14:ligatures w14:val="none"/>
        </w:rPr>
        <w:t xml:space="preserve">Corporate Income </w:t>
      </w:r>
      <w:r w:rsidRPr="003F38BA">
        <w:rPr>
          <w:rFonts w:ascii="Baskerville Old Face" w:hAnsi="Baskerville Old Face" w:cs="Times New Roman"/>
          <w:kern w:val="0"/>
          <w:sz w:val="24"/>
          <w:szCs w:val="24"/>
          <w:lang w:val="en-GB"/>
          <w14:ligatures w14:val="none"/>
        </w:rPr>
        <w:t>Tax (C</w:t>
      </w:r>
      <w:r w:rsidR="00563186">
        <w:rPr>
          <w:rFonts w:ascii="Baskerville Old Face" w:hAnsi="Baskerville Old Face" w:cs="Times New Roman"/>
          <w:kern w:val="0"/>
          <w:sz w:val="24"/>
          <w:szCs w:val="24"/>
          <w:lang w:val="en-GB"/>
          <w14:ligatures w14:val="none"/>
        </w:rPr>
        <w:t>I</w:t>
      </w:r>
      <w:r w:rsidRPr="003F38BA">
        <w:rPr>
          <w:rFonts w:ascii="Baskerville Old Face" w:hAnsi="Baskerville Old Face" w:cs="Times New Roman"/>
          <w:kern w:val="0"/>
          <w:sz w:val="24"/>
          <w:szCs w:val="24"/>
          <w:lang w:val="en-GB"/>
          <w14:ligatures w14:val="none"/>
        </w:rPr>
        <w:t xml:space="preserve">T), </w:t>
      </w:r>
      <w:r w:rsidR="00563186">
        <w:rPr>
          <w:rFonts w:ascii="Baskerville Old Face" w:hAnsi="Baskerville Old Face" w:cs="Times New Roman"/>
          <w:kern w:val="0"/>
          <w:sz w:val="24"/>
          <w:szCs w:val="24"/>
          <w:lang w:val="en-GB"/>
          <w14:ligatures w14:val="none"/>
        </w:rPr>
        <w:t xml:space="preserve">and Withholding Tax (WHT) </w:t>
      </w:r>
      <w:r w:rsidRPr="003F38BA">
        <w:rPr>
          <w:rFonts w:ascii="Baskerville Old Face" w:hAnsi="Baskerville Old Face" w:cs="Times New Roman"/>
          <w:kern w:val="0"/>
          <w:sz w:val="24"/>
          <w:szCs w:val="24"/>
          <w:lang w:val="en-GB"/>
          <w14:ligatures w14:val="none"/>
        </w:rPr>
        <w:t xml:space="preserve">which </w:t>
      </w:r>
      <w:r w:rsidR="00D35CEF">
        <w:rPr>
          <w:rFonts w:ascii="Baskerville Old Face" w:hAnsi="Baskerville Old Face" w:cs="Times New Roman"/>
          <w:kern w:val="0"/>
          <w:sz w:val="24"/>
          <w:szCs w:val="24"/>
          <w:lang w:val="en-GB"/>
          <w14:ligatures w14:val="none"/>
        </w:rPr>
        <w:t>accounted for</w:t>
      </w:r>
      <w:r w:rsidRPr="003F38BA">
        <w:rPr>
          <w:rFonts w:ascii="Baskerville Old Face" w:hAnsi="Baskerville Old Face" w:cs="Times New Roman"/>
          <w:kern w:val="0"/>
          <w:sz w:val="24"/>
          <w:szCs w:val="24"/>
          <w:lang w:val="en-GB"/>
          <w14:ligatures w14:val="none"/>
        </w:rPr>
        <w:t xml:space="preserve"> 1</w:t>
      </w:r>
      <w:r w:rsidR="00563186">
        <w:rPr>
          <w:rFonts w:ascii="Baskerville Old Face" w:hAnsi="Baskerville Old Face" w:cs="Times New Roman"/>
          <w:kern w:val="0"/>
          <w:sz w:val="24"/>
          <w:szCs w:val="24"/>
          <w:lang w:val="en-GB"/>
          <w14:ligatures w14:val="none"/>
        </w:rPr>
        <w:t>5</w:t>
      </w:r>
      <w:r w:rsidRPr="003F38BA">
        <w:rPr>
          <w:rFonts w:ascii="Baskerville Old Face" w:hAnsi="Baskerville Old Face" w:cs="Times New Roman"/>
          <w:kern w:val="0"/>
          <w:sz w:val="24"/>
          <w:szCs w:val="24"/>
          <w:lang w:val="en-GB"/>
          <w14:ligatures w14:val="none"/>
        </w:rPr>
        <w:t>.</w:t>
      </w:r>
      <w:r w:rsidR="002B4BD4">
        <w:rPr>
          <w:rFonts w:ascii="Baskerville Old Face" w:hAnsi="Baskerville Old Face" w:cs="Times New Roman"/>
          <w:kern w:val="0"/>
          <w:sz w:val="24"/>
          <w:szCs w:val="24"/>
          <w:lang w:val="en-GB"/>
          <w14:ligatures w14:val="none"/>
        </w:rPr>
        <w:t>1</w:t>
      </w:r>
      <w:r w:rsidRPr="003F38BA">
        <w:rPr>
          <w:rFonts w:ascii="Baskerville Old Face" w:hAnsi="Baskerville Old Face" w:cs="Times New Roman"/>
          <w:kern w:val="0"/>
          <w:sz w:val="24"/>
          <w:szCs w:val="24"/>
          <w:lang w:val="en-GB"/>
          <w14:ligatures w14:val="none"/>
        </w:rPr>
        <w:t xml:space="preserve">% </w:t>
      </w:r>
      <w:r w:rsidR="00563186">
        <w:rPr>
          <w:rFonts w:ascii="Baskerville Old Face" w:hAnsi="Baskerville Old Face" w:cs="Times New Roman"/>
          <w:kern w:val="0"/>
          <w:sz w:val="24"/>
          <w:szCs w:val="24"/>
          <w:lang w:val="en-GB"/>
          <w14:ligatures w14:val="none"/>
        </w:rPr>
        <w:t xml:space="preserve">and 11.1% respectively </w:t>
      </w:r>
      <w:r w:rsidRPr="003F38BA">
        <w:rPr>
          <w:rFonts w:ascii="Baskerville Old Face" w:hAnsi="Baskerville Old Face" w:cs="Times New Roman"/>
          <w:kern w:val="0"/>
          <w:sz w:val="24"/>
          <w:szCs w:val="24"/>
          <w:lang w:val="en-GB"/>
          <w14:ligatures w14:val="none"/>
        </w:rPr>
        <w:t>of the total TINs issued in 202</w:t>
      </w:r>
      <w:r w:rsidR="00563186">
        <w:rPr>
          <w:rFonts w:ascii="Baskerville Old Face" w:hAnsi="Baskerville Old Face" w:cs="Times New Roman"/>
          <w:kern w:val="0"/>
          <w:sz w:val="24"/>
          <w:szCs w:val="24"/>
          <w:lang w:val="en-GB"/>
          <w14:ligatures w14:val="none"/>
        </w:rPr>
        <w:t>4</w:t>
      </w:r>
      <w:r w:rsidRPr="003F38BA">
        <w:rPr>
          <w:rFonts w:ascii="Baskerville Old Face" w:hAnsi="Baskerville Old Face" w:cs="Times New Roman"/>
          <w:kern w:val="0"/>
          <w:sz w:val="24"/>
          <w:szCs w:val="24"/>
          <w:lang w:val="en-GB"/>
          <w14:ligatures w14:val="none"/>
        </w:rPr>
        <w:t>.</w:t>
      </w:r>
    </w:p>
    <w:p w14:paraId="18E2DD90" w14:textId="3348DEA9" w:rsidR="0068040E" w:rsidRPr="002465E3" w:rsidRDefault="0068040E" w:rsidP="0068040E">
      <w:pPr>
        <w:pStyle w:val="Caption"/>
        <w:rPr>
          <w:rFonts w:ascii="Baskerville Old Face" w:hAnsi="Baskerville Old Face" w:cs="Times New Roman"/>
          <w:b/>
          <w:bCs/>
          <w:i w:val="0"/>
          <w:iCs w:val="0"/>
          <w:kern w:val="0"/>
          <w:sz w:val="36"/>
          <w:szCs w:val="36"/>
          <w:lang w:val="en-GB"/>
          <w14:ligatures w14:val="none"/>
        </w:rPr>
      </w:pPr>
      <w:bookmarkStart w:id="62" w:name="_Toc198044053"/>
      <w:r w:rsidRPr="002465E3">
        <w:rPr>
          <w:rFonts w:ascii="Baskerville Old Face" w:hAnsi="Baskerville Old Face"/>
          <w:b/>
          <w:bCs/>
          <w:sz w:val="24"/>
          <w:szCs w:val="24"/>
        </w:rPr>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7</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TIN Issuance by Tax Type in 2024 and 2023</w:t>
      </w:r>
      <w:bookmarkEnd w:id="62"/>
    </w:p>
    <w:p w14:paraId="0E801707" w14:textId="7FBA5519" w:rsidR="00576D48" w:rsidRDefault="00563186" w:rsidP="004D5FD6">
      <w:pPr>
        <w:rPr>
          <w:noProof/>
        </w:rPr>
      </w:pPr>
      <w:r w:rsidRPr="00563186">
        <w:rPr>
          <w:rFonts w:ascii="Baskerville Old Face" w:hAnsi="Baskerville Old Face"/>
          <w:noProof/>
          <w:sz w:val="16"/>
          <w:szCs w:val="16"/>
        </w:rPr>
        <w:drawing>
          <wp:inline distT="0" distB="0" distL="0" distR="0" wp14:anchorId="2A5F94D2" wp14:editId="2B68F087">
            <wp:extent cx="6409055" cy="2658533"/>
            <wp:effectExtent l="0" t="0" r="10795" b="8890"/>
            <wp:docPr id="829239767" name="Chart 1">
              <a:extLst xmlns:a="http://schemas.openxmlformats.org/drawingml/2006/main">
                <a:ext uri="{FF2B5EF4-FFF2-40B4-BE49-F238E27FC236}">
                  <a16:creationId xmlns:a16="http://schemas.microsoft.com/office/drawing/2014/main" id="{711AF8E7-7F19-E32D-77EC-79329E0313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BD226A" w14:textId="77777777" w:rsidR="00A24314" w:rsidRPr="00311AEB" w:rsidRDefault="00A24314" w:rsidP="00A24314">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1DE894C" w14:textId="511A36E5" w:rsidR="00D35CEF" w:rsidRPr="00D35CEF" w:rsidRDefault="00D35CEF" w:rsidP="002F12A0">
      <w:pPr>
        <w:spacing w:line="276" w:lineRule="auto"/>
        <w:jc w:val="both"/>
        <w:rPr>
          <w:rFonts w:ascii="Baskerville Old Face" w:hAnsi="Baskerville Old Face" w:cs="Times New Roman"/>
          <w:kern w:val="0"/>
          <w:sz w:val="24"/>
          <w:szCs w:val="24"/>
          <w:lang w:val="en-GB"/>
          <w14:ligatures w14:val="none"/>
        </w:rPr>
      </w:pPr>
      <w:r w:rsidRPr="00D35CEF">
        <w:rPr>
          <w:rFonts w:ascii="Baskerville Old Face" w:hAnsi="Baskerville Old Face" w:cs="Times New Roman"/>
          <w:kern w:val="0"/>
          <w:sz w:val="24"/>
          <w:szCs w:val="24"/>
          <w:lang w:val="en-GB"/>
          <w14:ligatures w14:val="none"/>
        </w:rPr>
        <w:t xml:space="preserve">Furthermore, </w:t>
      </w:r>
      <w:r w:rsidRPr="00072363">
        <w:rPr>
          <w:rFonts w:ascii="Baskerville Old Face" w:hAnsi="Baskerville Old Face" w:cs="Times New Roman"/>
          <w:kern w:val="0"/>
          <w:sz w:val="24"/>
          <w:szCs w:val="24"/>
          <w:lang w:val="en-GB"/>
          <w14:ligatures w14:val="none"/>
        </w:rPr>
        <w:t xml:space="preserve">Figure </w:t>
      </w:r>
      <w:r w:rsidR="0068040E">
        <w:rPr>
          <w:rFonts w:ascii="Baskerville Old Face" w:hAnsi="Baskerville Old Face" w:cs="Times New Roman"/>
          <w:kern w:val="0"/>
          <w:sz w:val="24"/>
          <w:szCs w:val="24"/>
          <w:lang w:val="en-GB"/>
          <w14:ligatures w14:val="none"/>
        </w:rPr>
        <w:t>8</w:t>
      </w:r>
      <w:r w:rsidRPr="00D35CEF">
        <w:rPr>
          <w:rFonts w:ascii="Baskerville Old Face" w:hAnsi="Baskerville Old Face" w:cs="Times New Roman"/>
          <w:kern w:val="0"/>
          <w:sz w:val="24"/>
          <w:szCs w:val="24"/>
          <w:lang w:val="en-GB"/>
          <w14:ligatures w14:val="none"/>
        </w:rPr>
        <w:t xml:space="preserve"> presents the </w:t>
      </w:r>
      <w:r>
        <w:rPr>
          <w:rFonts w:ascii="Baskerville Old Face" w:hAnsi="Baskerville Old Face" w:cs="Times New Roman"/>
          <w:kern w:val="0"/>
          <w:sz w:val="24"/>
          <w:szCs w:val="24"/>
          <w:lang w:val="en-GB"/>
          <w14:ligatures w14:val="none"/>
        </w:rPr>
        <w:t>share</w:t>
      </w:r>
      <w:r w:rsidRPr="00D35CEF">
        <w:rPr>
          <w:rFonts w:ascii="Baskerville Old Face" w:hAnsi="Baskerville Old Face" w:cs="Times New Roman"/>
          <w:kern w:val="0"/>
          <w:sz w:val="24"/>
          <w:szCs w:val="24"/>
          <w:lang w:val="en-GB"/>
          <w14:ligatures w14:val="none"/>
        </w:rPr>
        <w:t xml:space="preserve"> of </w:t>
      </w:r>
      <w:r w:rsidR="006E5916">
        <w:rPr>
          <w:rFonts w:ascii="Baskerville Old Face" w:hAnsi="Baskerville Old Face" w:cs="Times New Roman"/>
          <w:kern w:val="0"/>
          <w:sz w:val="24"/>
          <w:szCs w:val="24"/>
          <w:lang w:val="en-GB"/>
          <w14:ligatures w14:val="none"/>
        </w:rPr>
        <w:t>TINs</w:t>
      </w:r>
      <w:r w:rsidRPr="00D35CEF">
        <w:rPr>
          <w:rFonts w:ascii="Baskerville Old Face" w:hAnsi="Baskerville Old Face" w:cs="Times New Roman"/>
          <w:kern w:val="0"/>
          <w:sz w:val="24"/>
          <w:szCs w:val="24"/>
          <w:lang w:val="en-GB"/>
          <w14:ligatures w14:val="none"/>
        </w:rPr>
        <w:t xml:space="preserve"> by application purpose</w:t>
      </w:r>
      <w:r w:rsidR="00695848">
        <w:rPr>
          <w:rFonts w:ascii="Baskerville Old Face" w:hAnsi="Baskerville Old Face" w:cs="Times New Roman"/>
          <w:kern w:val="0"/>
          <w:sz w:val="24"/>
          <w:szCs w:val="24"/>
          <w:lang w:val="en-GB"/>
          <w14:ligatures w14:val="none"/>
        </w:rPr>
        <w:t xml:space="preserve"> for the top ten categories</w:t>
      </w:r>
      <w:r w:rsidRPr="00D35CEF">
        <w:rPr>
          <w:rFonts w:ascii="Baskerville Old Face" w:hAnsi="Baskerville Old Face" w:cs="Times New Roman"/>
          <w:kern w:val="0"/>
          <w:sz w:val="24"/>
          <w:szCs w:val="24"/>
          <w:lang w:val="en-GB"/>
          <w14:ligatures w14:val="none"/>
        </w:rPr>
        <w:t>, revealing that over half (58.</w:t>
      </w:r>
      <w:r w:rsidR="002F12A0">
        <w:rPr>
          <w:rFonts w:ascii="Baskerville Old Face" w:hAnsi="Baskerville Old Face" w:cs="Times New Roman"/>
          <w:kern w:val="0"/>
          <w:sz w:val="24"/>
          <w:szCs w:val="24"/>
          <w:lang w:val="en-GB"/>
          <w14:ligatures w14:val="none"/>
        </w:rPr>
        <w:t>9</w:t>
      </w:r>
      <w:r w:rsidRPr="00D35CEF">
        <w:rPr>
          <w:rFonts w:ascii="Baskerville Old Face" w:hAnsi="Baskerville Old Face" w:cs="Times New Roman"/>
          <w:kern w:val="0"/>
          <w:sz w:val="24"/>
          <w:szCs w:val="24"/>
          <w:lang w:val="en-GB"/>
          <w14:ligatures w14:val="none"/>
        </w:rPr>
        <w:t>%) of the TINs were issued for business/trading purposes.</w:t>
      </w:r>
    </w:p>
    <w:p w14:paraId="1BDB6328" w14:textId="306CBBBC" w:rsidR="0068040E" w:rsidRPr="002465E3" w:rsidRDefault="0068040E" w:rsidP="0068040E">
      <w:pPr>
        <w:pStyle w:val="Caption"/>
        <w:rPr>
          <w:rFonts w:ascii="Baskerville Old Face" w:hAnsi="Baskerville Old Face" w:cs="Times New Roman"/>
          <w:b/>
          <w:bCs/>
          <w:sz w:val="36"/>
          <w:szCs w:val="36"/>
          <w:lang w:val="en-GB"/>
        </w:rPr>
      </w:pPr>
      <w:bookmarkStart w:id="63" w:name="_Toc198044054"/>
      <w:r w:rsidRPr="002465E3">
        <w:rPr>
          <w:rFonts w:ascii="Baskerville Old Face" w:hAnsi="Baskerville Old Face"/>
          <w:b/>
          <w:bCs/>
          <w:sz w:val="24"/>
          <w:szCs w:val="24"/>
        </w:rPr>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8</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Purpose for TIN Issuance in 2024</w:t>
      </w:r>
      <w:bookmarkEnd w:id="63"/>
    </w:p>
    <w:p w14:paraId="141FC58A" w14:textId="6D2550F6" w:rsidR="00F46DF3" w:rsidRPr="002F12A0" w:rsidRDefault="002F12A0" w:rsidP="002F12A0">
      <w:pPr>
        <w:rPr>
          <w:rFonts w:ascii="Baskerville Old Face" w:hAnsi="Baskerville Old Face" w:cs="Times New Roman"/>
          <w:kern w:val="0"/>
          <w:sz w:val="24"/>
          <w:szCs w:val="24"/>
          <w:lang w:val="en-GB"/>
          <w14:ligatures w14:val="none"/>
        </w:rPr>
      </w:pPr>
      <w:r>
        <w:rPr>
          <w:noProof/>
        </w:rPr>
        <mc:AlternateContent>
          <mc:Choice Requires="cx2">
            <w:drawing>
              <wp:inline distT="0" distB="0" distL="0" distR="0" wp14:anchorId="3EC37358" wp14:editId="6F43F0F7">
                <wp:extent cx="5943600" cy="2794000"/>
                <wp:effectExtent l="0" t="0" r="0" b="6350"/>
                <wp:docPr id="535698356" name="Chart 1">
                  <a:extLst xmlns:a="http://schemas.openxmlformats.org/drawingml/2006/main">
                    <a:ext uri="{FF2B5EF4-FFF2-40B4-BE49-F238E27FC236}">
                      <a16:creationId xmlns:a16="http://schemas.microsoft.com/office/drawing/2014/main" id="{852432BB-5D2D-8FAF-CDF8-3B1E508FE7C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3EC37358" wp14:editId="6F43F0F7">
                <wp:extent cx="5943600" cy="2794000"/>
                <wp:effectExtent l="0" t="0" r="0" b="6350"/>
                <wp:docPr id="535698356" name="Chart 1">
                  <a:extLst xmlns:a="http://schemas.openxmlformats.org/drawingml/2006/main">
                    <a:ext uri="{FF2B5EF4-FFF2-40B4-BE49-F238E27FC236}">
                      <a16:creationId xmlns:a16="http://schemas.microsoft.com/office/drawing/2014/main" id="{852432BB-5D2D-8FAF-CDF8-3B1E508FE7C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35698356" name="Chart 1">
                          <a:extLst>
                            <a:ext uri="{FF2B5EF4-FFF2-40B4-BE49-F238E27FC236}">
                              <a16:creationId xmlns:a16="http://schemas.microsoft.com/office/drawing/2014/main" id="{852432BB-5D2D-8FAF-CDF8-3B1E508FE7C9}"/>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943600" cy="2794000"/>
                        </a:xfrm>
                        <a:prstGeom prst="rect">
                          <a:avLst/>
                        </a:prstGeom>
                      </pic:spPr>
                    </pic:pic>
                  </a:graphicData>
                </a:graphic>
              </wp:inline>
            </w:drawing>
          </mc:Fallback>
        </mc:AlternateContent>
      </w:r>
      <w:r w:rsidR="00F46DF3" w:rsidRPr="00FD12A1">
        <w:rPr>
          <w:rFonts w:ascii="Times New Roman" w:hAnsi="Times New Roman" w:cs="Times New Roman"/>
          <w:i/>
          <w:iCs/>
          <w:kern w:val="0"/>
          <w:sz w:val="18"/>
          <w:szCs w:val="18"/>
          <w:lang w:val="en-GB"/>
          <w14:ligatures w14:val="none"/>
        </w:rPr>
        <w:t>Source: ITAS</w:t>
      </w:r>
    </w:p>
    <w:p w14:paraId="00069A20" w14:textId="606CEE13" w:rsidR="00842E98" w:rsidRPr="00520DD2" w:rsidRDefault="00520DD2" w:rsidP="00C03BAC">
      <w:pPr>
        <w:pStyle w:val="Heading2"/>
        <w:rPr>
          <w:rFonts w:ascii="Baskerville Old Face" w:hAnsi="Baskerville Old Face"/>
          <w:b/>
          <w:bCs/>
          <w:lang w:val="en-GB"/>
        </w:rPr>
      </w:pPr>
      <w:bookmarkStart w:id="64" w:name="_Toc198043937"/>
      <w:r w:rsidRPr="00520DD2">
        <w:rPr>
          <w:rFonts w:ascii="Baskerville Old Face" w:hAnsi="Baskerville Old Face"/>
          <w:b/>
          <w:bCs/>
          <w:lang w:val="en-GB"/>
        </w:rPr>
        <w:lastRenderedPageBreak/>
        <w:t xml:space="preserve">4.2 </w:t>
      </w:r>
      <w:r w:rsidR="00EA47E4" w:rsidRPr="00520DD2">
        <w:rPr>
          <w:rFonts w:ascii="Baskerville Old Face" w:hAnsi="Baskerville Old Face"/>
          <w:b/>
          <w:bCs/>
          <w:lang w:val="en-GB"/>
        </w:rPr>
        <w:t>TAX COMPLIANCE (FILING ANALYSIS) AND ENFORCEMENT</w:t>
      </w:r>
      <w:bookmarkEnd w:id="64"/>
    </w:p>
    <w:p w14:paraId="4CEAE41E" w14:textId="79F24A41" w:rsidR="00172B16" w:rsidRPr="00172B16" w:rsidRDefault="0021042D" w:rsidP="00172B16">
      <w:pPr>
        <w:spacing w:line="276" w:lineRule="auto"/>
        <w:jc w:val="both"/>
        <w:rPr>
          <w:rFonts w:ascii="Baskerville Old Face" w:hAnsi="Baskerville Old Face" w:cs="Times New Roman"/>
          <w:kern w:val="0"/>
          <w:sz w:val="24"/>
          <w:szCs w:val="24"/>
          <w:lang w:val="en-GB"/>
          <w14:ligatures w14:val="none"/>
        </w:rPr>
      </w:pPr>
      <w:r w:rsidRPr="00172B16">
        <w:rPr>
          <w:rFonts w:ascii="Baskerville Old Face" w:hAnsi="Baskerville Old Face" w:cs="Times New Roman"/>
          <w:kern w:val="0"/>
          <w:sz w:val="24"/>
          <w:szCs w:val="24"/>
          <w:lang w:val="en-GB"/>
          <w14:ligatures w14:val="none"/>
        </w:rPr>
        <w:t>Table 12 shows the average filing compliance rates by tax office for the years 202</w:t>
      </w:r>
      <w:r w:rsidR="002A67C5">
        <w:rPr>
          <w:rFonts w:ascii="Baskerville Old Face" w:hAnsi="Baskerville Old Face" w:cs="Times New Roman"/>
          <w:kern w:val="0"/>
          <w:sz w:val="24"/>
          <w:szCs w:val="24"/>
          <w:lang w:val="en-GB"/>
          <w14:ligatures w14:val="none"/>
        </w:rPr>
        <w:t>4</w:t>
      </w:r>
      <w:r w:rsidRPr="00172B16">
        <w:rPr>
          <w:rFonts w:ascii="Baskerville Old Face" w:hAnsi="Baskerville Old Face" w:cs="Times New Roman"/>
          <w:kern w:val="0"/>
          <w:sz w:val="24"/>
          <w:szCs w:val="24"/>
          <w:lang w:val="en-GB"/>
          <w14:ligatures w14:val="none"/>
        </w:rPr>
        <w:t xml:space="preserve"> and 202</w:t>
      </w:r>
      <w:r w:rsidR="002A67C5">
        <w:rPr>
          <w:rFonts w:ascii="Baskerville Old Face" w:hAnsi="Baskerville Old Face" w:cs="Times New Roman"/>
          <w:kern w:val="0"/>
          <w:sz w:val="24"/>
          <w:szCs w:val="24"/>
          <w:lang w:val="en-GB"/>
          <w14:ligatures w14:val="none"/>
        </w:rPr>
        <w:t>3</w:t>
      </w:r>
      <w:r w:rsidRPr="00172B16">
        <w:rPr>
          <w:rFonts w:ascii="Baskerville Old Face" w:hAnsi="Baskerville Old Face" w:cs="Times New Roman"/>
          <w:kern w:val="0"/>
          <w:sz w:val="24"/>
          <w:szCs w:val="24"/>
          <w:lang w:val="en-GB"/>
          <w14:ligatures w14:val="none"/>
        </w:rPr>
        <w:t>. Filing compliance rate refers to the proportion of taxpayers who file their tax returns on time among the total active taxpayers.</w:t>
      </w:r>
      <w:r w:rsidR="00172B16" w:rsidRPr="00172B16">
        <w:rPr>
          <w:rFonts w:ascii="Baskerville Old Face" w:hAnsi="Baskerville Old Face" w:cs="Times New Roman"/>
          <w:kern w:val="0"/>
          <w:sz w:val="24"/>
          <w:szCs w:val="24"/>
          <w:lang w:val="en-GB"/>
          <w14:ligatures w14:val="none"/>
        </w:rPr>
        <w:t xml:space="preserve"> </w:t>
      </w:r>
      <w:r w:rsidR="00172B16" w:rsidRPr="00172B16">
        <w:rPr>
          <w:rFonts w:ascii="Baskerville Old Face" w:hAnsi="Baskerville Old Face"/>
          <w:sz w:val="24"/>
          <w:szCs w:val="24"/>
        </w:rPr>
        <w:t>The average filing compliance rates across tax offices in 2024 show a generally positive trend when compared to 2023, with notable improvements in several key offices. The Large Taxpayers Office continues to lead in compliance, increasing from 79.</w:t>
      </w:r>
      <w:r w:rsidR="00FC207D">
        <w:rPr>
          <w:rFonts w:ascii="Baskerville Old Face" w:hAnsi="Baskerville Old Face"/>
          <w:sz w:val="24"/>
          <w:szCs w:val="24"/>
        </w:rPr>
        <w:t>3</w:t>
      </w:r>
      <w:r w:rsidR="00172B16" w:rsidRPr="00172B16">
        <w:rPr>
          <w:rFonts w:ascii="Baskerville Old Face" w:hAnsi="Baskerville Old Face"/>
          <w:sz w:val="24"/>
          <w:szCs w:val="24"/>
        </w:rPr>
        <w:t>% in 2023 to 83.3% in 2024, reflecting consistent engagement from major taxpayers. The Medium Taxpayers Office also recorded a significant improvement, rising from 54.</w:t>
      </w:r>
      <w:r w:rsidR="00FC207D">
        <w:rPr>
          <w:rFonts w:ascii="Baskerville Old Face" w:hAnsi="Baskerville Old Face"/>
          <w:sz w:val="24"/>
          <w:szCs w:val="24"/>
        </w:rPr>
        <w:t>6</w:t>
      </w:r>
      <w:r w:rsidR="00172B16" w:rsidRPr="00172B16">
        <w:rPr>
          <w:rFonts w:ascii="Baskerville Old Face" w:hAnsi="Baskerville Old Face"/>
          <w:sz w:val="24"/>
          <w:szCs w:val="24"/>
        </w:rPr>
        <w:t xml:space="preserve">% to 66.2%, suggesting enhanced outreach or enforcement measures. Kono </w:t>
      </w:r>
      <w:r w:rsidR="00130FD2">
        <w:rPr>
          <w:rFonts w:ascii="Baskerville Old Face" w:hAnsi="Baskerville Old Face"/>
          <w:sz w:val="24"/>
          <w:szCs w:val="24"/>
        </w:rPr>
        <w:t>Taxpayers'</w:t>
      </w:r>
      <w:r w:rsidR="00172B16" w:rsidRPr="00172B16">
        <w:rPr>
          <w:rFonts w:ascii="Baskerville Old Face" w:hAnsi="Baskerville Old Face"/>
          <w:sz w:val="24"/>
          <w:szCs w:val="24"/>
        </w:rPr>
        <w:t xml:space="preserve"> Office showed a significant increase, jumping from 35.2% in 2023 to 47.4% in 2024, indicating progress in previously low-performing regions. However, Freetown East saw a notable decline from 43.</w:t>
      </w:r>
      <w:r w:rsidR="00FC207D">
        <w:rPr>
          <w:rFonts w:ascii="Baskerville Old Face" w:hAnsi="Baskerville Old Face"/>
          <w:sz w:val="24"/>
          <w:szCs w:val="24"/>
        </w:rPr>
        <w:t>1</w:t>
      </w:r>
      <w:r w:rsidR="00172B16" w:rsidRPr="00172B16">
        <w:rPr>
          <w:rFonts w:ascii="Baskerville Old Face" w:hAnsi="Baskerville Old Face"/>
          <w:sz w:val="24"/>
          <w:szCs w:val="24"/>
        </w:rPr>
        <w:t>% to 37.4%. Overall, while most offices experienced either stability or gains in compliance, a few declines suggest that targeted interventions remain necessary to ensure consistent progress nationwide.</w:t>
      </w:r>
    </w:p>
    <w:p w14:paraId="578AD1A2" w14:textId="4BE41F10" w:rsidR="0071721B" w:rsidRPr="002465E3" w:rsidRDefault="0071721B" w:rsidP="0071721B">
      <w:pPr>
        <w:pStyle w:val="Caption"/>
        <w:keepNext/>
        <w:rPr>
          <w:rFonts w:ascii="Baskerville Old Face" w:hAnsi="Baskerville Old Face"/>
          <w:b/>
          <w:bCs/>
          <w:sz w:val="24"/>
          <w:szCs w:val="24"/>
        </w:rPr>
      </w:pPr>
      <w:bookmarkStart w:id="65" w:name="_Toc198044030"/>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12</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Average Filing Rate by Tax Office, 2024 and 2023</w:t>
      </w:r>
      <w:bookmarkEnd w:id="65"/>
    </w:p>
    <w:tbl>
      <w:tblPr>
        <w:tblStyle w:val="GridTable4-Accent2"/>
        <w:tblW w:w="0" w:type="auto"/>
        <w:tblLook w:val="04A0" w:firstRow="1" w:lastRow="0" w:firstColumn="1" w:lastColumn="0" w:noHBand="0" w:noVBand="1"/>
      </w:tblPr>
      <w:tblGrid>
        <w:gridCol w:w="4675"/>
        <w:gridCol w:w="1530"/>
        <w:gridCol w:w="1800"/>
      </w:tblGrid>
      <w:tr w:rsidR="00CD3BBC" w:rsidRPr="00CD3BBC" w14:paraId="55FD63C5" w14:textId="77777777" w:rsidTr="002A67C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5" w:type="dxa"/>
            <w:noWrap/>
            <w:hideMark/>
          </w:tcPr>
          <w:p w14:paraId="535E8D03" w14:textId="77777777" w:rsidR="00CD3BBC" w:rsidRPr="00CD3BBC" w:rsidRDefault="00CD3BBC">
            <w:pPr>
              <w:rPr>
                <w:rFonts w:ascii="Baskerville Old Face" w:hAnsi="Baskerville Old Face" w:cs="Times New Roman"/>
                <w:color w:val="auto"/>
                <w:kern w:val="0"/>
                <w:sz w:val="24"/>
                <w:szCs w:val="24"/>
                <w14:ligatures w14:val="none"/>
              </w:rPr>
            </w:pPr>
            <w:r w:rsidRPr="00CD3BBC">
              <w:rPr>
                <w:rFonts w:ascii="Baskerville Old Face" w:hAnsi="Baskerville Old Face" w:cs="Times New Roman"/>
                <w:color w:val="auto"/>
                <w:kern w:val="0"/>
                <w:sz w:val="24"/>
                <w:szCs w:val="24"/>
                <w14:ligatures w14:val="none"/>
              </w:rPr>
              <w:t>TAX OFFICE</w:t>
            </w:r>
          </w:p>
        </w:tc>
        <w:tc>
          <w:tcPr>
            <w:tcW w:w="1530" w:type="dxa"/>
            <w:noWrap/>
            <w:hideMark/>
          </w:tcPr>
          <w:p w14:paraId="6D54827B" w14:textId="77777777" w:rsidR="00CD3BBC" w:rsidRPr="00CD3BBC" w:rsidRDefault="00CD3BBC" w:rsidP="002A67C5">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CD3BBC">
              <w:rPr>
                <w:rFonts w:ascii="Baskerville Old Face" w:hAnsi="Baskerville Old Face" w:cs="Times New Roman"/>
                <w:color w:val="auto"/>
                <w:kern w:val="0"/>
                <w:sz w:val="24"/>
                <w:szCs w:val="24"/>
                <w14:ligatures w14:val="none"/>
              </w:rPr>
              <w:t>2024</w:t>
            </w:r>
          </w:p>
        </w:tc>
        <w:tc>
          <w:tcPr>
            <w:tcW w:w="1800" w:type="dxa"/>
            <w:noWrap/>
            <w:hideMark/>
          </w:tcPr>
          <w:p w14:paraId="5E1E9315" w14:textId="77777777" w:rsidR="00CD3BBC" w:rsidRPr="00CD3BBC" w:rsidRDefault="00CD3BBC" w:rsidP="002A67C5">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CD3BBC">
              <w:rPr>
                <w:rFonts w:ascii="Baskerville Old Face" w:hAnsi="Baskerville Old Face" w:cs="Times New Roman"/>
                <w:color w:val="auto"/>
                <w:kern w:val="0"/>
                <w:sz w:val="24"/>
                <w:szCs w:val="24"/>
                <w14:ligatures w14:val="none"/>
              </w:rPr>
              <w:t>2023</w:t>
            </w:r>
          </w:p>
        </w:tc>
      </w:tr>
      <w:tr w:rsidR="00CD3BBC" w:rsidRPr="00CD3BBC" w14:paraId="24D3D541" w14:textId="77777777" w:rsidTr="002A6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5" w:type="dxa"/>
            <w:noWrap/>
            <w:hideMark/>
          </w:tcPr>
          <w:p w14:paraId="74E95FEB"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Bo Taxpayers Office</w:t>
            </w:r>
          </w:p>
        </w:tc>
        <w:tc>
          <w:tcPr>
            <w:tcW w:w="1530" w:type="dxa"/>
            <w:noWrap/>
            <w:hideMark/>
          </w:tcPr>
          <w:p w14:paraId="3811B508"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50.6%</w:t>
            </w:r>
          </w:p>
        </w:tc>
        <w:tc>
          <w:tcPr>
            <w:tcW w:w="1800" w:type="dxa"/>
            <w:noWrap/>
            <w:hideMark/>
          </w:tcPr>
          <w:p w14:paraId="1A5AB4B9" w14:textId="10BD26AE"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52.5%</w:t>
            </w:r>
          </w:p>
        </w:tc>
      </w:tr>
      <w:tr w:rsidR="00CD3BBC" w:rsidRPr="00CD3BBC" w14:paraId="53F127D1" w14:textId="77777777" w:rsidTr="002A67C5">
        <w:trPr>
          <w:trHeight w:val="312"/>
        </w:trPr>
        <w:tc>
          <w:tcPr>
            <w:cnfStyle w:val="001000000000" w:firstRow="0" w:lastRow="0" w:firstColumn="1" w:lastColumn="0" w:oddVBand="0" w:evenVBand="0" w:oddHBand="0" w:evenHBand="0" w:firstRowFirstColumn="0" w:firstRowLastColumn="0" w:lastRowFirstColumn="0" w:lastRowLastColumn="0"/>
            <w:tcW w:w="4675" w:type="dxa"/>
            <w:noWrap/>
            <w:hideMark/>
          </w:tcPr>
          <w:p w14:paraId="6DA8F35B"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Extractive Industry Revenue Unit</w:t>
            </w:r>
          </w:p>
        </w:tc>
        <w:tc>
          <w:tcPr>
            <w:tcW w:w="1530" w:type="dxa"/>
            <w:noWrap/>
            <w:hideMark/>
          </w:tcPr>
          <w:p w14:paraId="058CD49C" w14:textId="77777777"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53.0%</w:t>
            </w:r>
          </w:p>
        </w:tc>
        <w:tc>
          <w:tcPr>
            <w:tcW w:w="1800" w:type="dxa"/>
            <w:noWrap/>
            <w:hideMark/>
          </w:tcPr>
          <w:p w14:paraId="06C5238A" w14:textId="2B7B78BC"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51.</w:t>
            </w:r>
            <w:r w:rsidR="00FC207D">
              <w:rPr>
                <w:rFonts w:ascii="Baskerville Old Face" w:hAnsi="Baskerville Old Face" w:cs="Times New Roman"/>
                <w:kern w:val="0"/>
                <w:sz w:val="24"/>
                <w:szCs w:val="24"/>
                <w14:ligatures w14:val="none"/>
              </w:rPr>
              <w:t>7</w:t>
            </w:r>
            <w:r w:rsidRPr="00CD3BBC">
              <w:rPr>
                <w:rFonts w:ascii="Baskerville Old Face" w:hAnsi="Baskerville Old Face" w:cs="Times New Roman"/>
                <w:kern w:val="0"/>
                <w:sz w:val="24"/>
                <w:szCs w:val="24"/>
                <w14:ligatures w14:val="none"/>
              </w:rPr>
              <w:t>%</w:t>
            </w:r>
          </w:p>
        </w:tc>
      </w:tr>
      <w:tr w:rsidR="00CD3BBC" w:rsidRPr="00CD3BBC" w14:paraId="6C1AF1F6" w14:textId="77777777" w:rsidTr="002A67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5" w:type="dxa"/>
            <w:noWrap/>
            <w:hideMark/>
          </w:tcPr>
          <w:p w14:paraId="65917017"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Freetown Central</w:t>
            </w:r>
          </w:p>
        </w:tc>
        <w:tc>
          <w:tcPr>
            <w:tcW w:w="1530" w:type="dxa"/>
            <w:noWrap/>
            <w:hideMark/>
          </w:tcPr>
          <w:p w14:paraId="1786032A"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44.5%</w:t>
            </w:r>
          </w:p>
        </w:tc>
        <w:tc>
          <w:tcPr>
            <w:tcW w:w="1800" w:type="dxa"/>
            <w:noWrap/>
            <w:hideMark/>
          </w:tcPr>
          <w:p w14:paraId="0B342FD0" w14:textId="4AC1A0C9"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42.</w:t>
            </w:r>
            <w:r w:rsidR="00FC207D">
              <w:rPr>
                <w:rFonts w:ascii="Baskerville Old Face" w:hAnsi="Baskerville Old Face" w:cs="Times New Roman"/>
                <w:kern w:val="0"/>
                <w:sz w:val="24"/>
                <w:szCs w:val="24"/>
                <w14:ligatures w14:val="none"/>
              </w:rPr>
              <w:t>1</w:t>
            </w:r>
            <w:r w:rsidRPr="00CD3BBC">
              <w:rPr>
                <w:rFonts w:ascii="Baskerville Old Face" w:hAnsi="Baskerville Old Face" w:cs="Times New Roman"/>
                <w:kern w:val="0"/>
                <w:sz w:val="24"/>
                <w:szCs w:val="24"/>
                <w14:ligatures w14:val="none"/>
              </w:rPr>
              <w:t>%</w:t>
            </w:r>
          </w:p>
        </w:tc>
      </w:tr>
      <w:tr w:rsidR="00CD3BBC" w:rsidRPr="00CD3BBC" w14:paraId="579B8162" w14:textId="77777777" w:rsidTr="00F66FFD">
        <w:trPr>
          <w:trHeight w:val="431"/>
        </w:trPr>
        <w:tc>
          <w:tcPr>
            <w:cnfStyle w:val="001000000000" w:firstRow="0" w:lastRow="0" w:firstColumn="1" w:lastColumn="0" w:oddVBand="0" w:evenVBand="0" w:oddHBand="0" w:evenHBand="0" w:firstRowFirstColumn="0" w:firstRowLastColumn="0" w:lastRowFirstColumn="0" w:lastRowLastColumn="0"/>
            <w:tcW w:w="4675" w:type="dxa"/>
            <w:noWrap/>
            <w:hideMark/>
          </w:tcPr>
          <w:p w14:paraId="60C15B6F"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Freetown East</w:t>
            </w:r>
          </w:p>
        </w:tc>
        <w:tc>
          <w:tcPr>
            <w:tcW w:w="1530" w:type="dxa"/>
            <w:noWrap/>
            <w:hideMark/>
          </w:tcPr>
          <w:p w14:paraId="74DD8EE8" w14:textId="77777777"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37.4%</w:t>
            </w:r>
          </w:p>
        </w:tc>
        <w:tc>
          <w:tcPr>
            <w:tcW w:w="1800" w:type="dxa"/>
            <w:noWrap/>
            <w:hideMark/>
          </w:tcPr>
          <w:p w14:paraId="72C05576" w14:textId="797CB8FE"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43.</w:t>
            </w:r>
            <w:r w:rsidR="00FC207D">
              <w:rPr>
                <w:rFonts w:ascii="Baskerville Old Face" w:hAnsi="Baskerville Old Face" w:cs="Times New Roman"/>
                <w:kern w:val="0"/>
                <w:sz w:val="24"/>
                <w:szCs w:val="24"/>
                <w14:ligatures w14:val="none"/>
              </w:rPr>
              <w:t>1</w:t>
            </w:r>
            <w:r w:rsidRPr="00CD3BBC">
              <w:rPr>
                <w:rFonts w:ascii="Baskerville Old Face" w:hAnsi="Baskerville Old Face" w:cs="Times New Roman"/>
                <w:kern w:val="0"/>
                <w:sz w:val="24"/>
                <w:szCs w:val="24"/>
                <w14:ligatures w14:val="none"/>
              </w:rPr>
              <w:t>%</w:t>
            </w:r>
          </w:p>
        </w:tc>
      </w:tr>
      <w:tr w:rsidR="00CD3BBC" w:rsidRPr="00CD3BBC" w14:paraId="68B39745" w14:textId="77777777" w:rsidTr="002A67C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noWrap/>
            <w:hideMark/>
          </w:tcPr>
          <w:p w14:paraId="03BF6DA3"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Freetown West</w:t>
            </w:r>
          </w:p>
        </w:tc>
        <w:tc>
          <w:tcPr>
            <w:tcW w:w="1530" w:type="dxa"/>
            <w:noWrap/>
            <w:hideMark/>
          </w:tcPr>
          <w:p w14:paraId="61DDC24E"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43.5%</w:t>
            </w:r>
          </w:p>
        </w:tc>
        <w:tc>
          <w:tcPr>
            <w:tcW w:w="1800" w:type="dxa"/>
            <w:noWrap/>
            <w:hideMark/>
          </w:tcPr>
          <w:p w14:paraId="13741E1A" w14:textId="40D1D31F"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41.0%</w:t>
            </w:r>
          </w:p>
        </w:tc>
      </w:tr>
      <w:tr w:rsidR="00CD3BBC" w:rsidRPr="00CD3BBC" w14:paraId="30A14C4B" w14:textId="77777777" w:rsidTr="002A67C5">
        <w:trPr>
          <w:trHeight w:val="288"/>
        </w:trPr>
        <w:tc>
          <w:tcPr>
            <w:cnfStyle w:val="001000000000" w:firstRow="0" w:lastRow="0" w:firstColumn="1" w:lastColumn="0" w:oddVBand="0" w:evenVBand="0" w:oddHBand="0" w:evenHBand="0" w:firstRowFirstColumn="0" w:firstRowLastColumn="0" w:lastRowFirstColumn="0" w:lastRowLastColumn="0"/>
            <w:tcW w:w="4675" w:type="dxa"/>
            <w:noWrap/>
            <w:hideMark/>
          </w:tcPr>
          <w:p w14:paraId="4CBF2B60"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Kenema Taxpayers Office</w:t>
            </w:r>
          </w:p>
        </w:tc>
        <w:tc>
          <w:tcPr>
            <w:tcW w:w="1530" w:type="dxa"/>
            <w:noWrap/>
            <w:hideMark/>
          </w:tcPr>
          <w:p w14:paraId="5CEFDEA3" w14:textId="77777777"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49.5%</w:t>
            </w:r>
          </w:p>
        </w:tc>
        <w:tc>
          <w:tcPr>
            <w:tcW w:w="1800" w:type="dxa"/>
            <w:noWrap/>
            <w:hideMark/>
          </w:tcPr>
          <w:p w14:paraId="793CE81B" w14:textId="4C9D2700"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49.3%</w:t>
            </w:r>
          </w:p>
        </w:tc>
      </w:tr>
      <w:tr w:rsidR="00CD3BBC" w:rsidRPr="00CD3BBC" w14:paraId="5C007337" w14:textId="77777777" w:rsidTr="002A67C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noWrap/>
            <w:hideMark/>
          </w:tcPr>
          <w:p w14:paraId="36F8B615"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Kono Taxpayers Office</w:t>
            </w:r>
          </w:p>
        </w:tc>
        <w:tc>
          <w:tcPr>
            <w:tcW w:w="1530" w:type="dxa"/>
            <w:noWrap/>
            <w:hideMark/>
          </w:tcPr>
          <w:p w14:paraId="7E6E1F7D"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47.4%</w:t>
            </w:r>
          </w:p>
        </w:tc>
        <w:tc>
          <w:tcPr>
            <w:tcW w:w="1800" w:type="dxa"/>
            <w:noWrap/>
            <w:hideMark/>
          </w:tcPr>
          <w:p w14:paraId="61BAF2C6" w14:textId="43EE0391"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35.2%</w:t>
            </w:r>
          </w:p>
        </w:tc>
      </w:tr>
      <w:tr w:rsidR="00CD3BBC" w:rsidRPr="00CD3BBC" w14:paraId="6DAE84A7" w14:textId="77777777" w:rsidTr="002A67C5">
        <w:trPr>
          <w:trHeight w:val="288"/>
        </w:trPr>
        <w:tc>
          <w:tcPr>
            <w:cnfStyle w:val="001000000000" w:firstRow="0" w:lastRow="0" w:firstColumn="1" w:lastColumn="0" w:oddVBand="0" w:evenVBand="0" w:oddHBand="0" w:evenHBand="0" w:firstRowFirstColumn="0" w:firstRowLastColumn="0" w:lastRowFirstColumn="0" w:lastRowLastColumn="0"/>
            <w:tcW w:w="4675" w:type="dxa"/>
            <w:noWrap/>
            <w:hideMark/>
          </w:tcPr>
          <w:p w14:paraId="1850E44B"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Large Taxpayers Office</w:t>
            </w:r>
          </w:p>
        </w:tc>
        <w:tc>
          <w:tcPr>
            <w:tcW w:w="1530" w:type="dxa"/>
            <w:noWrap/>
            <w:hideMark/>
          </w:tcPr>
          <w:p w14:paraId="7252C684" w14:textId="77777777"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83.3%</w:t>
            </w:r>
          </w:p>
        </w:tc>
        <w:tc>
          <w:tcPr>
            <w:tcW w:w="1800" w:type="dxa"/>
            <w:noWrap/>
            <w:hideMark/>
          </w:tcPr>
          <w:p w14:paraId="6C96BBC6" w14:textId="76BEF859"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79.</w:t>
            </w:r>
            <w:r w:rsidR="00FC207D">
              <w:rPr>
                <w:rFonts w:ascii="Baskerville Old Face" w:hAnsi="Baskerville Old Face" w:cs="Times New Roman"/>
                <w:kern w:val="0"/>
                <w:sz w:val="24"/>
                <w:szCs w:val="24"/>
                <w14:ligatures w14:val="none"/>
              </w:rPr>
              <w:t>3</w:t>
            </w:r>
            <w:r w:rsidRPr="00CD3BBC">
              <w:rPr>
                <w:rFonts w:ascii="Baskerville Old Face" w:hAnsi="Baskerville Old Face" w:cs="Times New Roman"/>
                <w:kern w:val="0"/>
                <w:sz w:val="24"/>
                <w:szCs w:val="24"/>
                <w14:ligatures w14:val="none"/>
              </w:rPr>
              <w:t>%</w:t>
            </w:r>
          </w:p>
        </w:tc>
      </w:tr>
      <w:tr w:rsidR="00CD3BBC" w:rsidRPr="00CD3BBC" w14:paraId="3EA1FADA" w14:textId="77777777" w:rsidTr="002A67C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75" w:type="dxa"/>
            <w:noWrap/>
            <w:hideMark/>
          </w:tcPr>
          <w:p w14:paraId="5B23DFE5"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Makeni Taxpayers Office</w:t>
            </w:r>
          </w:p>
        </w:tc>
        <w:tc>
          <w:tcPr>
            <w:tcW w:w="1530" w:type="dxa"/>
            <w:noWrap/>
            <w:hideMark/>
          </w:tcPr>
          <w:p w14:paraId="0A513D52"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60.7%</w:t>
            </w:r>
          </w:p>
        </w:tc>
        <w:tc>
          <w:tcPr>
            <w:tcW w:w="1800" w:type="dxa"/>
            <w:noWrap/>
            <w:hideMark/>
          </w:tcPr>
          <w:p w14:paraId="69AA2032" w14:textId="5D582E5B"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60.</w:t>
            </w:r>
            <w:r w:rsidR="00FC207D">
              <w:rPr>
                <w:rFonts w:ascii="Baskerville Old Face" w:hAnsi="Baskerville Old Face" w:cs="Times New Roman"/>
                <w:kern w:val="0"/>
                <w:sz w:val="24"/>
                <w:szCs w:val="24"/>
                <w14:ligatures w14:val="none"/>
              </w:rPr>
              <w:t>2</w:t>
            </w:r>
            <w:r w:rsidRPr="00CD3BBC">
              <w:rPr>
                <w:rFonts w:ascii="Baskerville Old Face" w:hAnsi="Baskerville Old Face" w:cs="Times New Roman"/>
                <w:kern w:val="0"/>
                <w:sz w:val="24"/>
                <w:szCs w:val="24"/>
                <w14:ligatures w14:val="none"/>
              </w:rPr>
              <w:t>%</w:t>
            </w:r>
          </w:p>
        </w:tc>
      </w:tr>
      <w:tr w:rsidR="00CD3BBC" w:rsidRPr="00CD3BBC" w14:paraId="01D8268B" w14:textId="77777777" w:rsidTr="00F66FFD">
        <w:trPr>
          <w:trHeight w:val="386"/>
        </w:trPr>
        <w:tc>
          <w:tcPr>
            <w:cnfStyle w:val="001000000000" w:firstRow="0" w:lastRow="0" w:firstColumn="1" w:lastColumn="0" w:oddVBand="0" w:evenVBand="0" w:oddHBand="0" w:evenHBand="0" w:firstRowFirstColumn="0" w:firstRowLastColumn="0" w:lastRowFirstColumn="0" w:lastRowLastColumn="0"/>
            <w:tcW w:w="4675" w:type="dxa"/>
            <w:noWrap/>
            <w:hideMark/>
          </w:tcPr>
          <w:p w14:paraId="67214B1E"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Medium Taxpayers Office</w:t>
            </w:r>
          </w:p>
        </w:tc>
        <w:tc>
          <w:tcPr>
            <w:tcW w:w="1530" w:type="dxa"/>
            <w:noWrap/>
            <w:hideMark/>
          </w:tcPr>
          <w:p w14:paraId="034BBA82" w14:textId="77777777"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66.2%</w:t>
            </w:r>
          </w:p>
        </w:tc>
        <w:tc>
          <w:tcPr>
            <w:tcW w:w="1800" w:type="dxa"/>
            <w:noWrap/>
            <w:hideMark/>
          </w:tcPr>
          <w:p w14:paraId="0B3EC354" w14:textId="0D5C7451" w:rsidR="00CD3BBC" w:rsidRPr="00CD3BBC" w:rsidRDefault="00CD3BBC" w:rsidP="002A67C5">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54.</w:t>
            </w:r>
            <w:r w:rsidR="00FC207D">
              <w:rPr>
                <w:rFonts w:ascii="Baskerville Old Face" w:hAnsi="Baskerville Old Face" w:cs="Times New Roman"/>
                <w:kern w:val="0"/>
                <w:sz w:val="24"/>
                <w:szCs w:val="24"/>
                <w14:ligatures w14:val="none"/>
              </w:rPr>
              <w:t>9</w:t>
            </w:r>
            <w:r w:rsidRPr="00CD3BBC">
              <w:rPr>
                <w:rFonts w:ascii="Baskerville Old Face" w:hAnsi="Baskerville Old Face" w:cs="Times New Roman"/>
                <w:kern w:val="0"/>
                <w:sz w:val="24"/>
                <w:szCs w:val="24"/>
                <w14:ligatures w14:val="none"/>
              </w:rPr>
              <w:t>%</w:t>
            </w:r>
          </w:p>
        </w:tc>
      </w:tr>
      <w:tr w:rsidR="00CD3BBC" w:rsidRPr="00CD3BBC" w14:paraId="17D929E1" w14:textId="77777777" w:rsidTr="002A67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5" w:type="dxa"/>
            <w:noWrap/>
            <w:hideMark/>
          </w:tcPr>
          <w:p w14:paraId="5C4B4F5E" w14:textId="77777777" w:rsidR="00CD3BBC" w:rsidRPr="00CD3BBC" w:rsidRDefault="00CD3BBC">
            <w:pPr>
              <w:rPr>
                <w:rFonts w:ascii="Baskerville Old Face" w:hAnsi="Baskerville Old Face" w:cs="Times New Roman"/>
                <w:b w:val="0"/>
                <w:bCs w:val="0"/>
                <w:kern w:val="0"/>
                <w:sz w:val="24"/>
                <w:szCs w:val="24"/>
                <w14:ligatures w14:val="none"/>
              </w:rPr>
            </w:pPr>
            <w:r w:rsidRPr="00CD3BBC">
              <w:rPr>
                <w:rFonts w:ascii="Baskerville Old Face" w:hAnsi="Baskerville Old Face" w:cs="Times New Roman"/>
                <w:b w:val="0"/>
                <w:bCs w:val="0"/>
                <w:kern w:val="0"/>
                <w:sz w:val="24"/>
                <w:szCs w:val="24"/>
                <w14:ligatures w14:val="none"/>
              </w:rPr>
              <w:t>WAMA Individual Taxpayer Office</w:t>
            </w:r>
          </w:p>
        </w:tc>
        <w:tc>
          <w:tcPr>
            <w:tcW w:w="1530" w:type="dxa"/>
            <w:noWrap/>
            <w:hideMark/>
          </w:tcPr>
          <w:p w14:paraId="5030B287" w14:textId="77777777"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31.1%</w:t>
            </w:r>
          </w:p>
        </w:tc>
        <w:tc>
          <w:tcPr>
            <w:tcW w:w="1800" w:type="dxa"/>
            <w:noWrap/>
            <w:hideMark/>
          </w:tcPr>
          <w:p w14:paraId="773DC5C6" w14:textId="67CB186A" w:rsidR="00CD3BBC" w:rsidRPr="00CD3BBC" w:rsidRDefault="00CD3BBC" w:rsidP="002A67C5">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CD3BBC">
              <w:rPr>
                <w:rFonts w:ascii="Baskerville Old Face" w:hAnsi="Baskerville Old Face" w:cs="Times New Roman"/>
                <w:kern w:val="0"/>
                <w:sz w:val="24"/>
                <w:szCs w:val="24"/>
                <w14:ligatures w14:val="none"/>
              </w:rPr>
              <w:t>23.</w:t>
            </w:r>
            <w:r w:rsidR="00FC207D">
              <w:rPr>
                <w:rFonts w:ascii="Baskerville Old Face" w:hAnsi="Baskerville Old Face" w:cs="Times New Roman"/>
                <w:kern w:val="0"/>
                <w:sz w:val="24"/>
                <w:szCs w:val="24"/>
                <w14:ligatures w14:val="none"/>
              </w:rPr>
              <w:t>8</w:t>
            </w:r>
            <w:r w:rsidRPr="00CD3BBC">
              <w:rPr>
                <w:rFonts w:ascii="Baskerville Old Face" w:hAnsi="Baskerville Old Face" w:cs="Times New Roman"/>
                <w:kern w:val="0"/>
                <w:sz w:val="24"/>
                <w:szCs w:val="24"/>
                <w14:ligatures w14:val="none"/>
              </w:rPr>
              <w:t>%</w:t>
            </w:r>
          </w:p>
        </w:tc>
      </w:tr>
    </w:tbl>
    <w:p w14:paraId="6AAA9DE0" w14:textId="77777777" w:rsidR="00BF02D1" w:rsidRPr="00FD12A1" w:rsidRDefault="00BF02D1" w:rsidP="00BF02D1">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48C00521" w14:textId="69FF378E" w:rsidR="00514095" w:rsidRPr="00586D50" w:rsidRDefault="00514095" w:rsidP="0051409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586D50">
        <w:rPr>
          <w:rFonts w:ascii="Baskerville Old Face" w:eastAsia="Times New Roman" w:hAnsi="Baskerville Old Face" w:cs="Times New Roman"/>
          <w:kern w:val="0"/>
          <w:sz w:val="24"/>
          <w:szCs w:val="24"/>
          <w14:ligatures w14:val="none"/>
        </w:rPr>
        <w:t>The 2024 filing compliance rates by tax office and tax type</w:t>
      </w:r>
      <w:r>
        <w:rPr>
          <w:rFonts w:ascii="Baskerville Old Face" w:eastAsia="Times New Roman" w:hAnsi="Baskerville Old Face" w:cs="Times New Roman"/>
          <w:kern w:val="0"/>
          <w:sz w:val="24"/>
          <w:szCs w:val="24"/>
          <w14:ligatures w14:val="none"/>
        </w:rPr>
        <w:t xml:space="preserve"> (Table 13)</w:t>
      </w:r>
      <w:r w:rsidRPr="00586D50">
        <w:rPr>
          <w:rFonts w:ascii="Baskerville Old Face" w:eastAsia="Times New Roman" w:hAnsi="Baskerville Old Face" w:cs="Times New Roman"/>
          <w:kern w:val="0"/>
          <w:sz w:val="24"/>
          <w:szCs w:val="24"/>
          <w14:ligatures w14:val="none"/>
        </w:rPr>
        <w:t xml:space="preserve"> reveal notable variations across both dimensions. CIT and PIT generally recorded the highest compliance rates, with averages of 79.8% and 78.2% respectively, indicating strong performance in these </w:t>
      </w:r>
      <w:r w:rsidR="002A67C5">
        <w:rPr>
          <w:rFonts w:ascii="Baskerville Old Face" w:eastAsia="Times New Roman" w:hAnsi="Baskerville Old Face" w:cs="Times New Roman"/>
          <w:kern w:val="0"/>
          <w:sz w:val="24"/>
          <w:szCs w:val="24"/>
          <w14:ligatures w14:val="none"/>
        </w:rPr>
        <w:t>tax types</w:t>
      </w:r>
      <w:r w:rsidRPr="00586D50">
        <w:rPr>
          <w:rFonts w:ascii="Baskerville Old Face" w:eastAsia="Times New Roman" w:hAnsi="Baskerville Old Face" w:cs="Times New Roman"/>
          <w:kern w:val="0"/>
          <w:sz w:val="24"/>
          <w:szCs w:val="24"/>
          <w14:ligatures w14:val="none"/>
        </w:rPr>
        <w:t xml:space="preserve"> across most offices. </w:t>
      </w:r>
      <w:r w:rsidR="00F66FFD">
        <w:rPr>
          <w:rFonts w:ascii="Baskerville Old Face" w:eastAsia="Times New Roman" w:hAnsi="Baskerville Old Face" w:cs="Times New Roman"/>
          <w:kern w:val="0"/>
          <w:sz w:val="24"/>
          <w:szCs w:val="24"/>
          <w14:ligatures w14:val="none"/>
        </w:rPr>
        <w:t>Pay-As-You-Earn (</w:t>
      </w:r>
      <w:r w:rsidRPr="00586D50">
        <w:rPr>
          <w:rFonts w:ascii="Baskerville Old Face" w:eastAsia="Times New Roman" w:hAnsi="Baskerville Old Face" w:cs="Times New Roman"/>
          <w:kern w:val="0"/>
          <w:sz w:val="24"/>
          <w:szCs w:val="24"/>
          <w14:ligatures w14:val="none"/>
        </w:rPr>
        <w:t>PAYE</w:t>
      </w:r>
      <w:r w:rsidR="00F66FFD">
        <w:rPr>
          <w:rFonts w:ascii="Baskerville Old Face" w:eastAsia="Times New Roman" w:hAnsi="Baskerville Old Face" w:cs="Times New Roman"/>
          <w:kern w:val="0"/>
          <w:sz w:val="24"/>
          <w:szCs w:val="24"/>
          <w14:ligatures w14:val="none"/>
        </w:rPr>
        <w:t>)</w:t>
      </w:r>
      <w:r w:rsidRPr="00586D50">
        <w:rPr>
          <w:rFonts w:ascii="Baskerville Old Face" w:eastAsia="Times New Roman" w:hAnsi="Baskerville Old Face" w:cs="Times New Roman"/>
          <w:kern w:val="0"/>
          <w:sz w:val="24"/>
          <w:szCs w:val="24"/>
          <w14:ligatures w14:val="none"/>
        </w:rPr>
        <w:t xml:space="preserve"> also performed well, averaging 67.6%, with particularly high rates in the Large, Makeni, and Kono Taxpayer Offices.</w:t>
      </w:r>
    </w:p>
    <w:p w14:paraId="0991A659" w14:textId="36A60542" w:rsidR="00514095" w:rsidRPr="00586D50" w:rsidRDefault="00514095" w:rsidP="0051409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586D50">
        <w:rPr>
          <w:rFonts w:ascii="Baskerville Old Face" w:eastAsia="Times New Roman" w:hAnsi="Baskerville Old Face" w:cs="Times New Roman"/>
          <w:kern w:val="0"/>
          <w:sz w:val="24"/>
          <w:szCs w:val="24"/>
          <w14:ligatures w14:val="none"/>
        </w:rPr>
        <w:t>In contrast, WHT had the lowest average compliance at 34.1%, with several offices—such as Freetown East, New Registration Office, and WAMA—reporting significantly low filing rates, highlighting a persistent area of weakness that may require focused enforcement or taxpayer education. GST compliance, averaging 63.4%, showed mixed performance, with the Large and Medium Taxpayer Offices leading at nearly 90% and 82% respectively, while others, including Kono and WAMA, trailed behind.</w:t>
      </w:r>
    </w:p>
    <w:p w14:paraId="33A75244" w14:textId="7D8FF560" w:rsidR="00514095" w:rsidRPr="00586D50" w:rsidRDefault="00514095" w:rsidP="00514095">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586D50">
        <w:rPr>
          <w:rFonts w:ascii="Baskerville Old Face" w:eastAsia="Times New Roman" w:hAnsi="Baskerville Old Face" w:cs="Times New Roman"/>
          <w:kern w:val="0"/>
          <w:sz w:val="24"/>
          <w:szCs w:val="24"/>
          <w14:ligatures w14:val="none"/>
        </w:rPr>
        <w:lastRenderedPageBreak/>
        <w:t xml:space="preserve">Overall, the data </w:t>
      </w:r>
      <w:r w:rsidR="00130FD2" w:rsidRPr="00586D50">
        <w:rPr>
          <w:rFonts w:ascii="Baskerville Old Face" w:eastAsia="Times New Roman" w:hAnsi="Baskerville Old Face" w:cs="Times New Roman"/>
          <w:kern w:val="0"/>
          <w:sz w:val="24"/>
          <w:szCs w:val="24"/>
          <w14:ligatures w14:val="none"/>
        </w:rPr>
        <w:t>suggests</w:t>
      </w:r>
      <w:r w:rsidRPr="00586D50">
        <w:rPr>
          <w:rFonts w:ascii="Baskerville Old Face" w:eastAsia="Times New Roman" w:hAnsi="Baskerville Old Face" w:cs="Times New Roman"/>
          <w:kern w:val="0"/>
          <w:sz w:val="24"/>
          <w:szCs w:val="24"/>
          <w14:ligatures w14:val="none"/>
        </w:rPr>
        <w:t xml:space="preserve"> that while compliance with CIT, PIT, and </w:t>
      </w:r>
      <w:r w:rsidR="005F4F48">
        <w:rPr>
          <w:rFonts w:ascii="Baskerville Old Face" w:eastAsia="Times New Roman" w:hAnsi="Baskerville Old Face" w:cs="Times New Roman"/>
          <w:kern w:val="0"/>
          <w:sz w:val="24"/>
          <w:szCs w:val="24"/>
          <w14:ligatures w14:val="none"/>
        </w:rPr>
        <w:t>Pay-As-You-Earn (</w:t>
      </w:r>
      <w:r w:rsidRPr="00586D50">
        <w:rPr>
          <w:rFonts w:ascii="Baskerville Old Face" w:eastAsia="Times New Roman" w:hAnsi="Baskerville Old Face" w:cs="Times New Roman"/>
          <w:kern w:val="0"/>
          <w:sz w:val="24"/>
          <w:szCs w:val="24"/>
          <w14:ligatures w14:val="none"/>
        </w:rPr>
        <w:t>PAYE</w:t>
      </w:r>
      <w:r w:rsidR="005F4F48">
        <w:rPr>
          <w:rFonts w:ascii="Baskerville Old Face" w:eastAsia="Times New Roman" w:hAnsi="Baskerville Old Face" w:cs="Times New Roman"/>
          <w:kern w:val="0"/>
          <w:sz w:val="24"/>
          <w:szCs w:val="24"/>
          <w14:ligatures w14:val="none"/>
        </w:rPr>
        <w:t>)</w:t>
      </w:r>
      <w:r w:rsidRPr="00586D50">
        <w:rPr>
          <w:rFonts w:ascii="Baskerville Old Face" w:eastAsia="Times New Roman" w:hAnsi="Baskerville Old Face" w:cs="Times New Roman"/>
          <w:kern w:val="0"/>
          <w:sz w:val="24"/>
          <w:szCs w:val="24"/>
          <w14:ligatures w14:val="none"/>
        </w:rPr>
        <w:t xml:space="preserve"> is relatively strong and improving, WHT and GST remain key challenges in several offices, warranting targeted compliance improvement strategies to boost overall tax administration effectiveness.</w:t>
      </w:r>
    </w:p>
    <w:p w14:paraId="5B1BC4E5" w14:textId="61332C91" w:rsidR="0071721B" w:rsidRPr="002465E3" w:rsidRDefault="0071721B" w:rsidP="0071721B">
      <w:pPr>
        <w:pStyle w:val="Caption"/>
        <w:keepNext/>
        <w:rPr>
          <w:rFonts w:ascii="Baskerville Old Face" w:hAnsi="Baskerville Old Face"/>
          <w:b/>
          <w:bCs/>
          <w:sz w:val="24"/>
          <w:szCs w:val="24"/>
        </w:rPr>
      </w:pPr>
      <w:bookmarkStart w:id="66" w:name="_Toc198044031"/>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13</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Annual Filing Rate by Tax Office and Tax Type, 2024</w:t>
      </w:r>
      <w:bookmarkEnd w:id="66"/>
    </w:p>
    <w:tbl>
      <w:tblPr>
        <w:tblStyle w:val="GridTable4-Accent2"/>
        <w:tblW w:w="8905" w:type="dxa"/>
        <w:tblLook w:val="04A0" w:firstRow="1" w:lastRow="0" w:firstColumn="1" w:lastColumn="0" w:noHBand="0" w:noVBand="1"/>
      </w:tblPr>
      <w:tblGrid>
        <w:gridCol w:w="4135"/>
        <w:gridCol w:w="990"/>
        <w:gridCol w:w="990"/>
        <w:gridCol w:w="990"/>
        <w:gridCol w:w="925"/>
        <w:gridCol w:w="875"/>
      </w:tblGrid>
      <w:tr w:rsidR="00C910D1" w:rsidRPr="009C6086" w14:paraId="0AF0AA52" w14:textId="77777777" w:rsidTr="00562DD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678D4F08" w14:textId="77777777" w:rsidR="009C6086" w:rsidRPr="009C6086" w:rsidRDefault="009C6086">
            <w:pPr>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TAX OFFICE</w:t>
            </w:r>
          </w:p>
        </w:tc>
        <w:tc>
          <w:tcPr>
            <w:tcW w:w="990" w:type="dxa"/>
            <w:noWrap/>
            <w:hideMark/>
          </w:tcPr>
          <w:p w14:paraId="331DDC25" w14:textId="77777777" w:rsidR="009C6086" w:rsidRPr="009C6086" w:rsidRDefault="009C6086">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PAYE</w:t>
            </w:r>
          </w:p>
        </w:tc>
        <w:tc>
          <w:tcPr>
            <w:tcW w:w="990" w:type="dxa"/>
            <w:noWrap/>
            <w:hideMark/>
          </w:tcPr>
          <w:p w14:paraId="1B93430C" w14:textId="77777777" w:rsidR="009C6086" w:rsidRPr="009C6086" w:rsidRDefault="009C6086">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WHT</w:t>
            </w:r>
          </w:p>
        </w:tc>
        <w:tc>
          <w:tcPr>
            <w:tcW w:w="990" w:type="dxa"/>
            <w:noWrap/>
            <w:hideMark/>
          </w:tcPr>
          <w:p w14:paraId="7B7FE166" w14:textId="77777777" w:rsidR="009C6086" w:rsidRPr="009C6086" w:rsidRDefault="009C6086">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CIT</w:t>
            </w:r>
          </w:p>
        </w:tc>
        <w:tc>
          <w:tcPr>
            <w:tcW w:w="925" w:type="dxa"/>
            <w:noWrap/>
            <w:hideMark/>
          </w:tcPr>
          <w:p w14:paraId="73F6EF2D" w14:textId="77777777" w:rsidR="009C6086" w:rsidRPr="009C6086" w:rsidRDefault="009C6086">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PIT</w:t>
            </w:r>
          </w:p>
        </w:tc>
        <w:tc>
          <w:tcPr>
            <w:tcW w:w="875" w:type="dxa"/>
            <w:noWrap/>
            <w:hideMark/>
          </w:tcPr>
          <w:p w14:paraId="63428B8E" w14:textId="77777777" w:rsidR="009C6086" w:rsidRPr="009C6086" w:rsidRDefault="009C6086">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sz w:val="24"/>
                <w:szCs w:val="24"/>
                <w14:ligatures w14:val="none"/>
              </w:rPr>
            </w:pPr>
            <w:r w:rsidRPr="009C6086">
              <w:rPr>
                <w:rFonts w:ascii="Baskerville Old Face" w:hAnsi="Baskerville Old Face" w:cs="Times New Roman"/>
                <w:color w:val="auto"/>
                <w:kern w:val="0"/>
                <w:sz w:val="24"/>
                <w:szCs w:val="24"/>
                <w14:ligatures w14:val="none"/>
              </w:rPr>
              <w:t>GST</w:t>
            </w:r>
          </w:p>
        </w:tc>
      </w:tr>
      <w:tr w:rsidR="00C910D1" w:rsidRPr="009C6086" w14:paraId="60C42332" w14:textId="77777777" w:rsidTr="00562DD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DC2B633"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Bo Taxpayers Office</w:t>
            </w:r>
          </w:p>
        </w:tc>
        <w:tc>
          <w:tcPr>
            <w:tcW w:w="990" w:type="dxa"/>
            <w:noWrap/>
            <w:hideMark/>
          </w:tcPr>
          <w:p w14:paraId="41D49506"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59.8%</w:t>
            </w:r>
          </w:p>
        </w:tc>
        <w:tc>
          <w:tcPr>
            <w:tcW w:w="990" w:type="dxa"/>
            <w:noWrap/>
            <w:hideMark/>
          </w:tcPr>
          <w:p w14:paraId="1365E07F"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26.0%</w:t>
            </w:r>
          </w:p>
        </w:tc>
        <w:tc>
          <w:tcPr>
            <w:tcW w:w="990" w:type="dxa"/>
            <w:noWrap/>
            <w:hideMark/>
          </w:tcPr>
          <w:p w14:paraId="46622F65" w14:textId="5D7CC29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86</w:t>
            </w:r>
            <w:r>
              <w:rPr>
                <w:rFonts w:ascii="Baskerville Old Face" w:hAnsi="Baskerville Old Face" w:cs="Times New Roman"/>
                <w:kern w:val="0"/>
                <w:sz w:val="24"/>
                <w:szCs w:val="24"/>
                <w14:ligatures w14:val="none"/>
              </w:rPr>
              <w:t>.9%</w:t>
            </w:r>
          </w:p>
        </w:tc>
        <w:tc>
          <w:tcPr>
            <w:tcW w:w="925" w:type="dxa"/>
            <w:noWrap/>
            <w:hideMark/>
          </w:tcPr>
          <w:p w14:paraId="3FC10591"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92.4%</w:t>
            </w:r>
          </w:p>
        </w:tc>
        <w:tc>
          <w:tcPr>
            <w:tcW w:w="875" w:type="dxa"/>
            <w:noWrap/>
            <w:hideMark/>
          </w:tcPr>
          <w:p w14:paraId="6AFF5747"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66.0%</w:t>
            </w:r>
          </w:p>
        </w:tc>
      </w:tr>
      <w:tr w:rsidR="00C910D1" w:rsidRPr="009C6086" w14:paraId="66EA2E32" w14:textId="77777777" w:rsidTr="00562DD7">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57A383CD"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Extractive Industry Revenue Unit</w:t>
            </w:r>
          </w:p>
        </w:tc>
        <w:tc>
          <w:tcPr>
            <w:tcW w:w="990" w:type="dxa"/>
            <w:noWrap/>
            <w:hideMark/>
          </w:tcPr>
          <w:p w14:paraId="37042AD0"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64.8%</w:t>
            </w:r>
          </w:p>
        </w:tc>
        <w:tc>
          <w:tcPr>
            <w:tcW w:w="990" w:type="dxa"/>
            <w:noWrap/>
            <w:hideMark/>
          </w:tcPr>
          <w:p w14:paraId="35EB3126"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50.5%</w:t>
            </w:r>
          </w:p>
        </w:tc>
        <w:tc>
          <w:tcPr>
            <w:tcW w:w="990" w:type="dxa"/>
            <w:noWrap/>
            <w:hideMark/>
          </w:tcPr>
          <w:p w14:paraId="1AC95281"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82.1%</w:t>
            </w:r>
          </w:p>
        </w:tc>
        <w:tc>
          <w:tcPr>
            <w:tcW w:w="925" w:type="dxa"/>
            <w:noWrap/>
            <w:hideMark/>
          </w:tcPr>
          <w:p w14:paraId="386ECE38"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100.0%</w:t>
            </w:r>
          </w:p>
        </w:tc>
        <w:tc>
          <w:tcPr>
            <w:tcW w:w="875" w:type="dxa"/>
            <w:noWrap/>
            <w:hideMark/>
          </w:tcPr>
          <w:p w14:paraId="0DEA0C65"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43.6%</w:t>
            </w:r>
          </w:p>
        </w:tc>
      </w:tr>
      <w:tr w:rsidR="00C910D1" w:rsidRPr="009C6086" w14:paraId="70757D19" w14:textId="77777777" w:rsidTr="00562DD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0FB1426"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Freetown Central</w:t>
            </w:r>
          </w:p>
        </w:tc>
        <w:tc>
          <w:tcPr>
            <w:tcW w:w="990" w:type="dxa"/>
            <w:noWrap/>
            <w:hideMark/>
          </w:tcPr>
          <w:p w14:paraId="7B40C36D"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57.5%</w:t>
            </w:r>
          </w:p>
        </w:tc>
        <w:tc>
          <w:tcPr>
            <w:tcW w:w="990" w:type="dxa"/>
            <w:noWrap/>
            <w:hideMark/>
          </w:tcPr>
          <w:p w14:paraId="7E9633B1"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29.8%</w:t>
            </w:r>
          </w:p>
        </w:tc>
        <w:tc>
          <w:tcPr>
            <w:tcW w:w="990" w:type="dxa"/>
            <w:noWrap/>
            <w:hideMark/>
          </w:tcPr>
          <w:p w14:paraId="6349FA52"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77.0%</w:t>
            </w:r>
          </w:p>
        </w:tc>
        <w:tc>
          <w:tcPr>
            <w:tcW w:w="925" w:type="dxa"/>
            <w:noWrap/>
            <w:hideMark/>
          </w:tcPr>
          <w:p w14:paraId="281500B8"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74.1%</w:t>
            </w:r>
          </w:p>
        </w:tc>
        <w:tc>
          <w:tcPr>
            <w:tcW w:w="875" w:type="dxa"/>
            <w:noWrap/>
            <w:hideMark/>
          </w:tcPr>
          <w:p w14:paraId="48C96005"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46.0%</w:t>
            </w:r>
          </w:p>
        </w:tc>
      </w:tr>
      <w:tr w:rsidR="00C910D1" w:rsidRPr="009C6086" w14:paraId="0CEF12A7" w14:textId="77777777" w:rsidTr="00562DD7">
        <w:trPr>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664D2DC1"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Freetown East</w:t>
            </w:r>
          </w:p>
        </w:tc>
        <w:tc>
          <w:tcPr>
            <w:tcW w:w="990" w:type="dxa"/>
            <w:noWrap/>
            <w:hideMark/>
          </w:tcPr>
          <w:p w14:paraId="39E120C0"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50.5%</w:t>
            </w:r>
          </w:p>
        </w:tc>
        <w:tc>
          <w:tcPr>
            <w:tcW w:w="990" w:type="dxa"/>
            <w:noWrap/>
            <w:hideMark/>
          </w:tcPr>
          <w:p w14:paraId="0CB24536"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15.3%</w:t>
            </w:r>
          </w:p>
        </w:tc>
        <w:tc>
          <w:tcPr>
            <w:tcW w:w="990" w:type="dxa"/>
            <w:noWrap/>
            <w:hideMark/>
          </w:tcPr>
          <w:p w14:paraId="2E15EBD4"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76.5%</w:t>
            </w:r>
          </w:p>
        </w:tc>
        <w:tc>
          <w:tcPr>
            <w:tcW w:w="925" w:type="dxa"/>
            <w:noWrap/>
            <w:hideMark/>
          </w:tcPr>
          <w:p w14:paraId="1A04FB3C"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81.0%</w:t>
            </w:r>
          </w:p>
        </w:tc>
        <w:tc>
          <w:tcPr>
            <w:tcW w:w="875" w:type="dxa"/>
            <w:noWrap/>
            <w:hideMark/>
          </w:tcPr>
          <w:p w14:paraId="4C26F0C2"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46.6%</w:t>
            </w:r>
          </w:p>
        </w:tc>
      </w:tr>
      <w:tr w:rsidR="00C910D1" w:rsidRPr="009C6086" w14:paraId="01E45BF9" w14:textId="77777777" w:rsidTr="00562D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AAB51C8"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Freetown West</w:t>
            </w:r>
          </w:p>
        </w:tc>
        <w:tc>
          <w:tcPr>
            <w:tcW w:w="990" w:type="dxa"/>
            <w:noWrap/>
            <w:hideMark/>
          </w:tcPr>
          <w:p w14:paraId="296D3994"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48.5%</w:t>
            </w:r>
          </w:p>
        </w:tc>
        <w:tc>
          <w:tcPr>
            <w:tcW w:w="990" w:type="dxa"/>
            <w:noWrap/>
            <w:hideMark/>
          </w:tcPr>
          <w:p w14:paraId="5E46A706"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32.0%</w:t>
            </w:r>
          </w:p>
        </w:tc>
        <w:tc>
          <w:tcPr>
            <w:tcW w:w="990" w:type="dxa"/>
            <w:noWrap/>
            <w:hideMark/>
          </w:tcPr>
          <w:p w14:paraId="57827D3A"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72.6%</w:t>
            </w:r>
          </w:p>
        </w:tc>
        <w:tc>
          <w:tcPr>
            <w:tcW w:w="925" w:type="dxa"/>
            <w:noWrap/>
            <w:hideMark/>
          </w:tcPr>
          <w:p w14:paraId="440AF110"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67.8%</w:t>
            </w:r>
          </w:p>
        </w:tc>
        <w:tc>
          <w:tcPr>
            <w:tcW w:w="875" w:type="dxa"/>
            <w:noWrap/>
            <w:hideMark/>
          </w:tcPr>
          <w:p w14:paraId="72CEC83A"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50.0%</w:t>
            </w:r>
          </w:p>
        </w:tc>
      </w:tr>
      <w:tr w:rsidR="00C910D1" w:rsidRPr="009C6086" w14:paraId="4E6371D1" w14:textId="77777777" w:rsidTr="00562DD7">
        <w:trPr>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30A91F86"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Kenema Taxpayers Office</w:t>
            </w:r>
          </w:p>
        </w:tc>
        <w:tc>
          <w:tcPr>
            <w:tcW w:w="990" w:type="dxa"/>
            <w:noWrap/>
            <w:hideMark/>
          </w:tcPr>
          <w:p w14:paraId="632B16C5"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65.3%</w:t>
            </w:r>
          </w:p>
        </w:tc>
        <w:tc>
          <w:tcPr>
            <w:tcW w:w="990" w:type="dxa"/>
            <w:noWrap/>
            <w:hideMark/>
          </w:tcPr>
          <w:p w14:paraId="0715722A"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30.4%</w:t>
            </w:r>
          </w:p>
        </w:tc>
        <w:tc>
          <w:tcPr>
            <w:tcW w:w="990" w:type="dxa"/>
            <w:noWrap/>
            <w:hideMark/>
          </w:tcPr>
          <w:p w14:paraId="5CC96CA1"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83.8%</w:t>
            </w:r>
          </w:p>
        </w:tc>
        <w:tc>
          <w:tcPr>
            <w:tcW w:w="925" w:type="dxa"/>
            <w:noWrap/>
            <w:hideMark/>
          </w:tcPr>
          <w:p w14:paraId="36593F3F"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93.7%</w:t>
            </w:r>
          </w:p>
        </w:tc>
        <w:tc>
          <w:tcPr>
            <w:tcW w:w="875" w:type="dxa"/>
            <w:noWrap/>
            <w:hideMark/>
          </w:tcPr>
          <w:p w14:paraId="18DC16CD"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52.8%</w:t>
            </w:r>
          </w:p>
        </w:tc>
      </w:tr>
      <w:tr w:rsidR="00C910D1" w:rsidRPr="009C6086" w14:paraId="23B7C844" w14:textId="77777777" w:rsidTr="00562D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5812335E"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Kono Taxpayers Office</w:t>
            </w:r>
          </w:p>
        </w:tc>
        <w:tc>
          <w:tcPr>
            <w:tcW w:w="990" w:type="dxa"/>
            <w:noWrap/>
            <w:hideMark/>
          </w:tcPr>
          <w:p w14:paraId="4D499230"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71.1%</w:t>
            </w:r>
          </w:p>
        </w:tc>
        <w:tc>
          <w:tcPr>
            <w:tcW w:w="990" w:type="dxa"/>
            <w:noWrap/>
            <w:hideMark/>
          </w:tcPr>
          <w:p w14:paraId="1A7A0AA4"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36.8%</w:t>
            </w:r>
          </w:p>
        </w:tc>
        <w:tc>
          <w:tcPr>
            <w:tcW w:w="990" w:type="dxa"/>
            <w:noWrap/>
            <w:hideMark/>
          </w:tcPr>
          <w:p w14:paraId="56F6E8D4"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93.3%</w:t>
            </w:r>
          </w:p>
        </w:tc>
        <w:tc>
          <w:tcPr>
            <w:tcW w:w="925" w:type="dxa"/>
            <w:noWrap/>
            <w:hideMark/>
          </w:tcPr>
          <w:p w14:paraId="594EF025"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93.4%</w:t>
            </w:r>
          </w:p>
        </w:tc>
        <w:tc>
          <w:tcPr>
            <w:tcW w:w="875" w:type="dxa"/>
            <w:noWrap/>
            <w:hideMark/>
          </w:tcPr>
          <w:p w14:paraId="445FA132"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34.3%</w:t>
            </w:r>
          </w:p>
        </w:tc>
      </w:tr>
      <w:tr w:rsidR="00C910D1" w:rsidRPr="009C6086" w14:paraId="53D7208F" w14:textId="77777777" w:rsidTr="00562DD7">
        <w:trPr>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5C8AAF05"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Large Taxpayers Office</w:t>
            </w:r>
          </w:p>
        </w:tc>
        <w:tc>
          <w:tcPr>
            <w:tcW w:w="990" w:type="dxa"/>
            <w:noWrap/>
            <w:hideMark/>
          </w:tcPr>
          <w:p w14:paraId="4F69363F"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91.7%</w:t>
            </w:r>
          </w:p>
        </w:tc>
        <w:tc>
          <w:tcPr>
            <w:tcW w:w="990" w:type="dxa"/>
            <w:noWrap/>
            <w:hideMark/>
          </w:tcPr>
          <w:p w14:paraId="1252EA27"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68.4%</w:t>
            </w:r>
          </w:p>
        </w:tc>
        <w:tc>
          <w:tcPr>
            <w:tcW w:w="990" w:type="dxa"/>
            <w:noWrap/>
            <w:hideMark/>
          </w:tcPr>
          <w:p w14:paraId="11ED96CA"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89.1%</w:t>
            </w:r>
          </w:p>
        </w:tc>
        <w:tc>
          <w:tcPr>
            <w:tcW w:w="925" w:type="dxa"/>
            <w:noWrap/>
            <w:hideMark/>
          </w:tcPr>
          <w:p w14:paraId="62BE74D5"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91.7%</w:t>
            </w:r>
          </w:p>
        </w:tc>
        <w:tc>
          <w:tcPr>
            <w:tcW w:w="875" w:type="dxa"/>
            <w:noWrap/>
            <w:hideMark/>
          </w:tcPr>
          <w:p w14:paraId="3F950B16"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89.8%</w:t>
            </w:r>
          </w:p>
        </w:tc>
      </w:tr>
      <w:tr w:rsidR="00C910D1" w:rsidRPr="009C6086" w14:paraId="6FF66D42" w14:textId="77777777" w:rsidTr="00562DD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135" w:type="dxa"/>
            <w:noWrap/>
            <w:hideMark/>
          </w:tcPr>
          <w:p w14:paraId="7F08F86B"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Makeni Taxpayers Office</w:t>
            </w:r>
          </w:p>
        </w:tc>
        <w:tc>
          <w:tcPr>
            <w:tcW w:w="990" w:type="dxa"/>
            <w:noWrap/>
            <w:hideMark/>
          </w:tcPr>
          <w:p w14:paraId="162F2559"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74.5%</w:t>
            </w:r>
          </w:p>
        </w:tc>
        <w:tc>
          <w:tcPr>
            <w:tcW w:w="990" w:type="dxa"/>
            <w:noWrap/>
            <w:hideMark/>
          </w:tcPr>
          <w:p w14:paraId="29B88034"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37.9%</w:t>
            </w:r>
          </w:p>
        </w:tc>
        <w:tc>
          <w:tcPr>
            <w:tcW w:w="990" w:type="dxa"/>
            <w:noWrap/>
            <w:hideMark/>
          </w:tcPr>
          <w:p w14:paraId="261B1F90"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81.9%</w:t>
            </w:r>
          </w:p>
        </w:tc>
        <w:tc>
          <w:tcPr>
            <w:tcW w:w="925" w:type="dxa"/>
            <w:noWrap/>
            <w:hideMark/>
          </w:tcPr>
          <w:p w14:paraId="79969487"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93.6%</w:t>
            </w:r>
          </w:p>
        </w:tc>
        <w:tc>
          <w:tcPr>
            <w:tcW w:w="875" w:type="dxa"/>
            <w:noWrap/>
            <w:hideMark/>
          </w:tcPr>
          <w:p w14:paraId="20CCE83F"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69.8%</w:t>
            </w:r>
          </w:p>
        </w:tc>
      </w:tr>
      <w:tr w:rsidR="00C910D1" w:rsidRPr="009C6086" w14:paraId="7C11615B" w14:textId="77777777" w:rsidTr="00562DD7">
        <w:trPr>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5BCA7BE7"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Medium Taxpayers Office</w:t>
            </w:r>
          </w:p>
        </w:tc>
        <w:tc>
          <w:tcPr>
            <w:tcW w:w="990" w:type="dxa"/>
            <w:noWrap/>
            <w:hideMark/>
          </w:tcPr>
          <w:p w14:paraId="020041BC"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73.5%</w:t>
            </w:r>
          </w:p>
        </w:tc>
        <w:tc>
          <w:tcPr>
            <w:tcW w:w="990" w:type="dxa"/>
            <w:noWrap/>
            <w:hideMark/>
          </w:tcPr>
          <w:p w14:paraId="5EE68397"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43.6%</w:t>
            </w:r>
          </w:p>
        </w:tc>
        <w:tc>
          <w:tcPr>
            <w:tcW w:w="990" w:type="dxa"/>
            <w:noWrap/>
            <w:hideMark/>
          </w:tcPr>
          <w:p w14:paraId="4C531DD6"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84.3%</w:t>
            </w:r>
          </w:p>
        </w:tc>
        <w:tc>
          <w:tcPr>
            <w:tcW w:w="925" w:type="dxa"/>
            <w:noWrap/>
            <w:hideMark/>
          </w:tcPr>
          <w:p w14:paraId="2BAC6D64"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79.5%</w:t>
            </w:r>
          </w:p>
        </w:tc>
        <w:tc>
          <w:tcPr>
            <w:tcW w:w="875" w:type="dxa"/>
            <w:noWrap/>
            <w:hideMark/>
          </w:tcPr>
          <w:p w14:paraId="10ED5638"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81.7%</w:t>
            </w:r>
          </w:p>
        </w:tc>
      </w:tr>
      <w:tr w:rsidR="00C910D1" w:rsidRPr="009C6086" w14:paraId="13460BCB" w14:textId="77777777" w:rsidTr="00562DD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1D0D70C"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New Registration Office (NRO)</w:t>
            </w:r>
          </w:p>
        </w:tc>
        <w:tc>
          <w:tcPr>
            <w:tcW w:w="990" w:type="dxa"/>
            <w:noWrap/>
            <w:hideMark/>
          </w:tcPr>
          <w:p w14:paraId="03D6ABEC"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45.5%</w:t>
            </w:r>
          </w:p>
        </w:tc>
        <w:tc>
          <w:tcPr>
            <w:tcW w:w="990" w:type="dxa"/>
            <w:noWrap/>
            <w:hideMark/>
          </w:tcPr>
          <w:p w14:paraId="5D8E37ED"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15.7%</w:t>
            </w:r>
          </w:p>
        </w:tc>
        <w:tc>
          <w:tcPr>
            <w:tcW w:w="990" w:type="dxa"/>
            <w:noWrap/>
            <w:hideMark/>
          </w:tcPr>
          <w:p w14:paraId="34046BF8"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33.3%</w:t>
            </w:r>
          </w:p>
        </w:tc>
        <w:tc>
          <w:tcPr>
            <w:tcW w:w="925" w:type="dxa"/>
            <w:noWrap/>
            <w:hideMark/>
          </w:tcPr>
          <w:p w14:paraId="28AEE003"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3.9%</w:t>
            </w:r>
          </w:p>
        </w:tc>
        <w:tc>
          <w:tcPr>
            <w:tcW w:w="875" w:type="dxa"/>
            <w:noWrap/>
            <w:hideMark/>
          </w:tcPr>
          <w:p w14:paraId="57D4A18A" w14:textId="77777777" w:rsidR="009C6086" w:rsidRPr="009C6086" w:rsidRDefault="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 </w:t>
            </w:r>
          </w:p>
        </w:tc>
      </w:tr>
      <w:tr w:rsidR="00C910D1" w:rsidRPr="009C6086" w14:paraId="157E7457" w14:textId="77777777" w:rsidTr="00562DD7">
        <w:trPr>
          <w:trHeight w:val="2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013F2A5D" w14:textId="77777777" w:rsidR="009C6086" w:rsidRPr="009C6086" w:rsidRDefault="009C6086">
            <w:pPr>
              <w:rPr>
                <w:rFonts w:ascii="Baskerville Old Face" w:hAnsi="Baskerville Old Face" w:cs="Times New Roman"/>
                <w:b w:val="0"/>
                <w:bCs w:val="0"/>
                <w:kern w:val="0"/>
                <w:sz w:val="24"/>
                <w:szCs w:val="24"/>
                <w14:ligatures w14:val="none"/>
              </w:rPr>
            </w:pPr>
            <w:r w:rsidRPr="009C6086">
              <w:rPr>
                <w:rFonts w:ascii="Baskerville Old Face" w:hAnsi="Baskerville Old Face" w:cs="Times New Roman"/>
                <w:b w:val="0"/>
                <w:bCs w:val="0"/>
                <w:kern w:val="0"/>
                <w:sz w:val="24"/>
                <w:szCs w:val="24"/>
                <w14:ligatures w14:val="none"/>
              </w:rPr>
              <w:t>WAMA Individual Taxpayer Office</w:t>
            </w:r>
          </w:p>
        </w:tc>
        <w:tc>
          <w:tcPr>
            <w:tcW w:w="990" w:type="dxa"/>
            <w:noWrap/>
            <w:hideMark/>
          </w:tcPr>
          <w:p w14:paraId="6F48ED6D"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50.3%</w:t>
            </w:r>
          </w:p>
        </w:tc>
        <w:tc>
          <w:tcPr>
            <w:tcW w:w="990" w:type="dxa"/>
            <w:noWrap/>
            <w:hideMark/>
          </w:tcPr>
          <w:p w14:paraId="5BC95EEA"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9.8%</w:t>
            </w:r>
          </w:p>
        </w:tc>
        <w:tc>
          <w:tcPr>
            <w:tcW w:w="990" w:type="dxa"/>
            <w:noWrap/>
            <w:hideMark/>
          </w:tcPr>
          <w:p w14:paraId="574B272D"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90.2%</w:t>
            </w:r>
          </w:p>
        </w:tc>
        <w:tc>
          <w:tcPr>
            <w:tcW w:w="925" w:type="dxa"/>
            <w:noWrap/>
            <w:hideMark/>
          </w:tcPr>
          <w:p w14:paraId="792ABFF6"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28.8%</w:t>
            </w:r>
          </w:p>
        </w:tc>
        <w:tc>
          <w:tcPr>
            <w:tcW w:w="875" w:type="dxa"/>
            <w:noWrap/>
            <w:hideMark/>
          </w:tcPr>
          <w:p w14:paraId="78133FAB" w14:textId="77777777" w:rsidR="009C6086" w:rsidRPr="009C6086" w:rsidRDefault="009C6086" w:rsidP="009C6086">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sz w:val="24"/>
                <w:szCs w:val="24"/>
                <w14:ligatures w14:val="none"/>
              </w:rPr>
            </w:pPr>
            <w:r w:rsidRPr="009C6086">
              <w:rPr>
                <w:rFonts w:ascii="Baskerville Old Face" w:hAnsi="Baskerville Old Face" w:cs="Times New Roman"/>
                <w:kern w:val="0"/>
                <w:sz w:val="24"/>
                <w:szCs w:val="24"/>
                <w14:ligatures w14:val="none"/>
              </w:rPr>
              <w:t>33.1%</w:t>
            </w:r>
          </w:p>
        </w:tc>
      </w:tr>
      <w:tr w:rsidR="00C910D1" w:rsidRPr="009C6086" w14:paraId="732D37E5" w14:textId="77777777" w:rsidTr="00562DD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F41F2C4" w14:textId="1F3EBE88" w:rsidR="009C6086" w:rsidRPr="009C6086" w:rsidRDefault="00514095">
            <w:pPr>
              <w:rPr>
                <w:rFonts w:ascii="Baskerville Old Face" w:hAnsi="Baskerville Old Face" w:cs="Times New Roman"/>
                <w:kern w:val="0"/>
                <w:sz w:val="24"/>
                <w:szCs w:val="24"/>
                <w14:ligatures w14:val="none"/>
              </w:rPr>
            </w:pPr>
            <w:r>
              <w:rPr>
                <w:rFonts w:ascii="Baskerville Old Face" w:hAnsi="Baskerville Old Face" w:cs="Times New Roman"/>
                <w:kern w:val="0"/>
                <w:sz w:val="24"/>
                <w:szCs w:val="24"/>
                <w14:ligatures w14:val="none"/>
              </w:rPr>
              <w:t>Annual</w:t>
            </w:r>
            <w:r w:rsidR="002D3C30">
              <w:rPr>
                <w:rFonts w:ascii="Baskerville Old Face" w:hAnsi="Baskerville Old Face" w:cs="Times New Roman"/>
                <w:kern w:val="0"/>
                <w:sz w:val="24"/>
                <w:szCs w:val="24"/>
                <w14:ligatures w14:val="none"/>
              </w:rPr>
              <w:t xml:space="preserve"> Filing Rate</w:t>
            </w:r>
          </w:p>
        </w:tc>
        <w:tc>
          <w:tcPr>
            <w:tcW w:w="990" w:type="dxa"/>
            <w:noWrap/>
            <w:hideMark/>
          </w:tcPr>
          <w:p w14:paraId="100B15C8"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sz w:val="24"/>
                <w:szCs w:val="24"/>
                <w14:ligatures w14:val="none"/>
              </w:rPr>
            </w:pPr>
            <w:r w:rsidRPr="009C6086">
              <w:rPr>
                <w:rFonts w:ascii="Baskerville Old Face" w:hAnsi="Baskerville Old Face" w:cs="Times New Roman"/>
                <w:b/>
                <w:bCs/>
                <w:kern w:val="0"/>
                <w:sz w:val="24"/>
                <w:szCs w:val="24"/>
                <w14:ligatures w14:val="none"/>
              </w:rPr>
              <w:t>67.6%</w:t>
            </w:r>
          </w:p>
        </w:tc>
        <w:tc>
          <w:tcPr>
            <w:tcW w:w="990" w:type="dxa"/>
            <w:noWrap/>
            <w:hideMark/>
          </w:tcPr>
          <w:p w14:paraId="144F6590"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sz w:val="24"/>
                <w:szCs w:val="24"/>
                <w14:ligatures w14:val="none"/>
              </w:rPr>
            </w:pPr>
            <w:r w:rsidRPr="009C6086">
              <w:rPr>
                <w:rFonts w:ascii="Baskerville Old Face" w:hAnsi="Baskerville Old Face" w:cs="Times New Roman"/>
                <w:b/>
                <w:bCs/>
                <w:kern w:val="0"/>
                <w:sz w:val="24"/>
                <w:szCs w:val="24"/>
                <w14:ligatures w14:val="none"/>
              </w:rPr>
              <w:t>34.1%</w:t>
            </w:r>
          </w:p>
        </w:tc>
        <w:tc>
          <w:tcPr>
            <w:tcW w:w="990" w:type="dxa"/>
            <w:noWrap/>
            <w:hideMark/>
          </w:tcPr>
          <w:p w14:paraId="44F7F8DD"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sz w:val="24"/>
                <w:szCs w:val="24"/>
                <w14:ligatures w14:val="none"/>
              </w:rPr>
            </w:pPr>
            <w:r w:rsidRPr="009C6086">
              <w:rPr>
                <w:rFonts w:ascii="Baskerville Old Face" w:hAnsi="Baskerville Old Face" w:cs="Times New Roman"/>
                <w:b/>
                <w:bCs/>
                <w:kern w:val="0"/>
                <w:sz w:val="24"/>
                <w:szCs w:val="24"/>
                <w14:ligatures w14:val="none"/>
              </w:rPr>
              <w:t>79.8%</w:t>
            </w:r>
          </w:p>
        </w:tc>
        <w:tc>
          <w:tcPr>
            <w:tcW w:w="925" w:type="dxa"/>
            <w:noWrap/>
            <w:hideMark/>
          </w:tcPr>
          <w:p w14:paraId="78130EEC"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sz w:val="24"/>
                <w:szCs w:val="24"/>
                <w14:ligatures w14:val="none"/>
              </w:rPr>
            </w:pPr>
            <w:r w:rsidRPr="009C6086">
              <w:rPr>
                <w:rFonts w:ascii="Baskerville Old Face" w:hAnsi="Baskerville Old Face" w:cs="Times New Roman"/>
                <w:b/>
                <w:bCs/>
                <w:kern w:val="0"/>
                <w:sz w:val="24"/>
                <w:szCs w:val="24"/>
                <w14:ligatures w14:val="none"/>
              </w:rPr>
              <w:t>78.2%</w:t>
            </w:r>
          </w:p>
        </w:tc>
        <w:tc>
          <w:tcPr>
            <w:tcW w:w="875" w:type="dxa"/>
            <w:noWrap/>
            <w:hideMark/>
          </w:tcPr>
          <w:p w14:paraId="0E306F5F" w14:textId="77777777" w:rsidR="009C6086" w:rsidRPr="009C6086" w:rsidRDefault="009C6086" w:rsidP="009C6086">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kern w:val="0"/>
                <w:sz w:val="24"/>
                <w:szCs w:val="24"/>
                <w14:ligatures w14:val="none"/>
              </w:rPr>
            </w:pPr>
            <w:r w:rsidRPr="009C6086">
              <w:rPr>
                <w:rFonts w:ascii="Baskerville Old Face" w:hAnsi="Baskerville Old Face" w:cs="Times New Roman"/>
                <w:b/>
                <w:bCs/>
                <w:kern w:val="0"/>
                <w:sz w:val="24"/>
                <w:szCs w:val="24"/>
                <w14:ligatures w14:val="none"/>
              </w:rPr>
              <w:t>63.4%</w:t>
            </w:r>
          </w:p>
        </w:tc>
      </w:tr>
    </w:tbl>
    <w:p w14:paraId="3D6CDEC7" w14:textId="5EF6CEB5" w:rsidR="00FD12A1" w:rsidRPr="00FD12A1" w:rsidRDefault="00FD12A1" w:rsidP="00FD12A1">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50075BBC" w14:textId="42F25093" w:rsidR="00095653" w:rsidRDefault="00517ADA" w:rsidP="00095653">
      <w:pPr>
        <w:spacing w:line="276" w:lineRule="auto"/>
        <w:jc w:val="both"/>
        <w:rPr>
          <w:rFonts w:ascii="Baskerville Old Face" w:hAnsi="Baskerville Old Face"/>
          <w:sz w:val="24"/>
          <w:szCs w:val="24"/>
        </w:rPr>
      </w:pPr>
      <w:bookmarkStart w:id="67" w:name="_Hlk195169117"/>
      <w:r w:rsidRPr="00D5278E">
        <w:rPr>
          <w:rFonts w:ascii="Baskerville Old Face" w:hAnsi="Baskerville Old Face" w:cs="Times New Roman"/>
          <w:kern w:val="0"/>
          <w:sz w:val="24"/>
          <w:szCs w:val="24"/>
          <w:lang w:val="en-GB"/>
          <w14:ligatures w14:val="none"/>
        </w:rPr>
        <w:t xml:space="preserve">Figure </w:t>
      </w:r>
      <w:r w:rsidR="0068040E">
        <w:rPr>
          <w:rFonts w:ascii="Baskerville Old Face" w:hAnsi="Baskerville Old Face" w:cs="Times New Roman"/>
          <w:kern w:val="0"/>
          <w:sz w:val="24"/>
          <w:szCs w:val="24"/>
          <w:lang w:val="en-GB"/>
          <w14:ligatures w14:val="none"/>
        </w:rPr>
        <w:t>9</w:t>
      </w:r>
      <w:r w:rsidRPr="00D5278E">
        <w:rPr>
          <w:rFonts w:ascii="Baskerville Old Face" w:hAnsi="Baskerville Old Face" w:cs="Times New Roman"/>
          <w:kern w:val="0"/>
          <w:sz w:val="24"/>
          <w:szCs w:val="24"/>
          <w:lang w:val="en-GB"/>
          <w14:ligatures w14:val="none"/>
        </w:rPr>
        <w:t xml:space="preserve"> </w:t>
      </w:r>
      <w:r w:rsidR="002D3C30" w:rsidRPr="00D5278E">
        <w:rPr>
          <w:rFonts w:ascii="Baskerville Old Face" w:hAnsi="Baskerville Old Face" w:cs="Times New Roman"/>
          <w:kern w:val="0"/>
          <w:sz w:val="24"/>
          <w:szCs w:val="24"/>
          <w:lang w:val="en-GB"/>
          <w14:ligatures w14:val="none"/>
        </w:rPr>
        <w:t>compares</w:t>
      </w:r>
      <w:r w:rsidRPr="00D5278E">
        <w:rPr>
          <w:rFonts w:ascii="Baskerville Old Face" w:hAnsi="Baskerville Old Face" w:cs="Times New Roman"/>
          <w:kern w:val="0"/>
          <w:sz w:val="24"/>
          <w:szCs w:val="24"/>
          <w:lang w:val="en-GB"/>
          <w14:ligatures w14:val="none"/>
        </w:rPr>
        <w:t xml:space="preserve"> </w:t>
      </w:r>
      <w:bookmarkEnd w:id="67"/>
      <w:r w:rsidRPr="00D5278E">
        <w:rPr>
          <w:rFonts w:ascii="Baskerville Old Face" w:hAnsi="Baskerville Old Face" w:cs="Times New Roman"/>
          <w:kern w:val="0"/>
          <w:sz w:val="24"/>
          <w:szCs w:val="24"/>
          <w:lang w:val="en-GB"/>
          <w14:ligatures w14:val="none"/>
        </w:rPr>
        <w:t>the average filing compliance rate across three tax types</w:t>
      </w:r>
      <w:r w:rsidR="002D3C30" w:rsidRPr="00D5278E">
        <w:rPr>
          <w:rFonts w:ascii="Baskerville Old Face" w:hAnsi="Baskerville Old Face" w:cs="Times New Roman"/>
          <w:kern w:val="0"/>
          <w:sz w:val="24"/>
          <w:szCs w:val="24"/>
          <w:lang w:val="en-GB"/>
          <w14:ligatures w14:val="none"/>
        </w:rPr>
        <w:t xml:space="preserve"> in 2024 and 2023</w:t>
      </w:r>
      <w:r w:rsidRPr="00D5278E">
        <w:rPr>
          <w:rFonts w:ascii="Baskerville Old Face" w:hAnsi="Baskerville Old Face" w:cs="Times New Roman"/>
          <w:kern w:val="0"/>
          <w:sz w:val="24"/>
          <w:szCs w:val="24"/>
          <w:lang w:val="en-GB"/>
          <w14:ligatures w14:val="none"/>
        </w:rPr>
        <w:t xml:space="preserve">. </w:t>
      </w:r>
      <w:r w:rsidR="00095653" w:rsidRPr="00D5278E">
        <w:rPr>
          <w:rFonts w:ascii="Baskerville Old Face" w:hAnsi="Baskerville Old Face" w:cs="Times New Roman"/>
          <w:kern w:val="0"/>
          <w:sz w:val="24"/>
          <w:szCs w:val="24"/>
          <w:lang w:val="en-GB"/>
          <w14:ligatures w14:val="none"/>
        </w:rPr>
        <w:t>T</w:t>
      </w:r>
      <w:r w:rsidR="00095653" w:rsidRPr="00D5278E">
        <w:rPr>
          <w:rFonts w:ascii="Baskerville Old Face" w:hAnsi="Baskerville Old Face"/>
          <w:sz w:val="24"/>
          <w:szCs w:val="24"/>
        </w:rPr>
        <w:t xml:space="preserve">he </w:t>
      </w:r>
      <w:r w:rsidR="002D3C30" w:rsidRPr="00D5278E">
        <w:rPr>
          <w:rFonts w:ascii="Baskerville Old Face" w:hAnsi="Baskerville Old Face"/>
          <w:sz w:val="24"/>
          <w:szCs w:val="24"/>
        </w:rPr>
        <w:t>filing</w:t>
      </w:r>
      <w:r w:rsidR="00095653" w:rsidRPr="00D5278E">
        <w:rPr>
          <w:rFonts w:ascii="Baskerville Old Face" w:hAnsi="Baskerville Old Face"/>
          <w:sz w:val="24"/>
          <w:szCs w:val="24"/>
        </w:rPr>
        <w:t xml:space="preserve"> rate shows a mixed trend between 2023 and 2024. GST maintained a consistent compliance rate of 63% across both years, indicating no significant improvement or decline in taxpayer behavior in this category. PAYE showed a notable increase in compliance, rising from 61% in 2023 to 68% in 2024, suggesting improved employer adherence to their tax obligations. In contrast, Withholding Tax compliance experienced a slight decline, dropping from 36% in 2023 to 34% in 2024, which may reflect persistent challenges in enforcement or taxpayer understanding </w:t>
      </w:r>
      <w:r w:rsidR="005813A3">
        <w:rPr>
          <w:rFonts w:ascii="Baskerville Old Face" w:hAnsi="Baskerville Old Face"/>
          <w:sz w:val="24"/>
          <w:szCs w:val="24"/>
        </w:rPr>
        <w:t>of</w:t>
      </w:r>
      <w:r w:rsidR="00095653" w:rsidRPr="00D5278E">
        <w:rPr>
          <w:rFonts w:ascii="Baskerville Old Face" w:hAnsi="Baskerville Old Face"/>
          <w:sz w:val="24"/>
          <w:szCs w:val="24"/>
        </w:rPr>
        <w:t xml:space="preserve"> this </w:t>
      </w:r>
      <w:r w:rsidR="00FB22FA">
        <w:rPr>
          <w:rFonts w:ascii="Baskerville Old Face" w:hAnsi="Baskerville Old Face"/>
          <w:sz w:val="24"/>
          <w:szCs w:val="24"/>
        </w:rPr>
        <w:t>tax type</w:t>
      </w:r>
      <w:r w:rsidR="00095653" w:rsidRPr="00D5278E">
        <w:rPr>
          <w:rFonts w:ascii="Baskerville Old Face" w:hAnsi="Baskerville Old Face"/>
          <w:sz w:val="24"/>
          <w:szCs w:val="24"/>
        </w:rPr>
        <w:t>. Overall, while PAYE compliance improved, the stagnation in GST and decline in Withholding Tax point to the need for targeted interventions to boost compliance across all tax types.</w:t>
      </w:r>
    </w:p>
    <w:p w14:paraId="3FC3989A" w14:textId="77777777" w:rsidR="002465E3" w:rsidRDefault="002465E3" w:rsidP="0068040E">
      <w:pPr>
        <w:pStyle w:val="Caption"/>
        <w:rPr>
          <w:rFonts w:ascii="Baskerville Old Face" w:hAnsi="Baskerville Old Face"/>
          <w:b/>
          <w:bCs/>
          <w:sz w:val="24"/>
          <w:szCs w:val="24"/>
        </w:rPr>
      </w:pPr>
    </w:p>
    <w:p w14:paraId="2C69ECBE" w14:textId="77777777" w:rsidR="002465E3" w:rsidRDefault="002465E3" w:rsidP="0068040E">
      <w:pPr>
        <w:pStyle w:val="Caption"/>
        <w:rPr>
          <w:rFonts w:ascii="Baskerville Old Face" w:hAnsi="Baskerville Old Face"/>
          <w:b/>
          <w:bCs/>
          <w:sz w:val="24"/>
          <w:szCs w:val="24"/>
        </w:rPr>
      </w:pPr>
    </w:p>
    <w:p w14:paraId="412D8CAF" w14:textId="77777777" w:rsidR="002465E3" w:rsidRDefault="002465E3" w:rsidP="0068040E">
      <w:pPr>
        <w:pStyle w:val="Caption"/>
        <w:rPr>
          <w:rFonts w:ascii="Baskerville Old Face" w:hAnsi="Baskerville Old Face"/>
          <w:b/>
          <w:bCs/>
          <w:sz w:val="24"/>
          <w:szCs w:val="24"/>
        </w:rPr>
      </w:pPr>
    </w:p>
    <w:p w14:paraId="03D2A31E" w14:textId="77777777" w:rsidR="002465E3" w:rsidRDefault="002465E3" w:rsidP="0068040E">
      <w:pPr>
        <w:pStyle w:val="Caption"/>
        <w:rPr>
          <w:rFonts w:ascii="Baskerville Old Face" w:hAnsi="Baskerville Old Face"/>
          <w:b/>
          <w:bCs/>
          <w:sz w:val="24"/>
          <w:szCs w:val="24"/>
        </w:rPr>
      </w:pPr>
    </w:p>
    <w:p w14:paraId="1E990CE0" w14:textId="77777777" w:rsidR="002465E3" w:rsidRDefault="002465E3" w:rsidP="0068040E">
      <w:pPr>
        <w:pStyle w:val="Caption"/>
        <w:rPr>
          <w:rFonts w:ascii="Baskerville Old Face" w:hAnsi="Baskerville Old Face"/>
          <w:b/>
          <w:bCs/>
          <w:sz w:val="24"/>
          <w:szCs w:val="24"/>
        </w:rPr>
      </w:pPr>
    </w:p>
    <w:p w14:paraId="53C0FE58" w14:textId="77777777" w:rsidR="002465E3" w:rsidRDefault="002465E3" w:rsidP="0068040E">
      <w:pPr>
        <w:pStyle w:val="Caption"/>
        <w:rPr>
          <w:rFonts w:ascii="Baskerville Old Face" w:hAnsi="Baskerville Old Face"/>
          <w:b/>
          <w:bCs/>
          <w:sz w:val="24"/>
          <w:szCs w:val="24"/>
        </w:rPr>
      </w:pPr>
    </w:p>
    <w:p w14:paraId="14B35F75" w14:textId="77777777" w:rsidR="002465E3" w:rsidRDefault="002465E3" w:rsidP="0068040E">
      <w:pPr>
        <w:pStyle w:val="Caption"/>
        <w:rPr>
          <w:rFonts w:ascii="Baskerville Old Face" w:hAnsi="Baskerville Old Face"/>
          <w:b/>
          <w:bCs/>
          <w:sz w:val="24"/>
          <w:szCs w:val="24"/>
        </w:rPr>
      </w:pPr>
    </w:p>
    <w:p w14:paraId="71D74CAF" w14:textId="2DEA6863" w:rsidR="0068040E" w:rsidRPr="002465E3" w:rsidRDefault="0068040E" w:rsidP="0068040E">
      <w:pPr>
        <w:pStyle w:val="Caption"/>
        <w:rPr>
          <w:rFonts w:ascii="Baskerville Old Face" w:hAnsi="Baskerville Old Face" w:cs="Times New Roman"/>
          <w:b/>
          <w:bCs/>
          <w:i w:val="0"/>
          <w:iCs w:val="0"/>
          <w:kern w:val="0"/>
          <w:sz w:val="36"/>
          <w:szCs w:val="36"/>
          <w:lang w:val="en-GB"/>
          <w14:ligatures w14:val="none"/>
        </w:rPr>
      </w:pPr>
      <w:bookmarkStart w:id="68" w:name="_Toc198044055"/>
      <w:r w:rsidRPr="002465E3">
        <w:rPr>
          <w:rFonts w:ascii="Baskerville Old Face" w:hAnsi="Baskerville Old Face"/>
          <w:b/>
          <w:bCs/>
          <w:sz w:val="24"/>
          <w:szCs w:val="24"/>
        </w:rPr>
        <w:lastRenderedPageBreak/>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9</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Annual Compliance Rate by Tax Type in 2024 and 2023</w:t>
      </w:r>
      <w:bookmarkEnd w:id="68"/>
    </w:p>
    <w:p w14:paraId="43BE302F" w14:textId="0E74D68C" w:rsidR="003F5C0E" w:rsidRPr="003F5C0E" w:rsidRDefault="003F5C0E" w:rsidP="004D5FD6">
      <w:pPr>
        <w:rPr>
          <w:rFonts w:ascii="Baskerville Old Face" w:hAnsi="Baskerville Old Face" w:cs="Times New Roman"/>
          <w:kern w:val="0"/>
          <w:sz w:val="24"/>
          <w:szCs w:val="24"/>
          <w:lang w:val="en-GB"/>
          <w14:ligatures w14:val="none"/>
        </w:rPr>
      </w:pPr>
      <w:r>
        <w:rPr>
          <w:noProof/>
        </w:rPr>
        <w:drawing>
          <wp:inline distT="0" distB="0" distL="0" distR="0" wp14:anchorId="33576EBC" wp14:editId="633BBFE4">
            <wp:extent cx="6417733" cy="2982595"/>
            <wp:effectExtent l="0" t="0" r="2540" b="8255"/>
            <wp:docPr id="75639871" name="Chart 1">
              <a:extLst xmlns:a="http://schemas.openxmlformats.org/drawingml/2006/main">
                <a:ext uri="{FF2B5EF4-FFF2-40B4-BE49-F238E27FC236}">
                  <a16:creationId xmlns:a16="http://schemas.microsoft.com/office/drawing/2014/main" id="{75C46CCD-2007-850D-70D6-060E32A9C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683943" w14:textId="77777777" w:rsidR="00C8533F" w:rsidRPr="00FD12A1" w:rsidRDefault="00C8533F" w:rsidP="00C8533F">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3967DBBA" w14:textId="2AC01E5B" w:rsidR="0003123A" w:rsidRPr="00520DD2" w:rsidRDefault="00520DD2" w:rsidP="00C03BAC">
      <w:pPr>
        <w:pStyle w:val="Heading2"/>
        <w:rPr>
          <w:rFonts w:ascii="Baskerville Old Face" w:hAnsi="Baskerville Old Face"/>
          <w:b/>
          <w:bCs/>
        </w:rPr>
      </w:pPr>
      <w:bookmarkStart w:id="69" w:name="_Toc198043938"/>
      <w:r w:rsidRPr="00520DD2">
        <w:rPr>
          <w:rFonts w:ascii="Baskerville Old Face" w:hAnsi="Baskerville Old Face"/>
          <w:b/>
          <w:bCs/>
        </w:rPr>
        <w:t xml:space="preserve">4.3 </w:t>
      </w:r>
      <w:r w:rsidR="0003123A" w:rsidRPr="00520DD2">
        <w:rPr>
          <w:rFonts w:ascii="Baskerville Old Face" w:hAnsi="Baskerville Old Face"/>
          <w:b/>
          <w:bCs/>
        </w:rPr>
        <w:t>DTD PLANNED AND COMPLETED TAX AUDIT</w:t>
      </w:r>
      <w:bookmarkEnd w:id="69"/>
    </w:p>
    <w:p w14:paraId="60654543" w14:textId="21E24466" w:rsidR="0003123A" w:rsidRPr="00F860D3" w:rsidRDefault="0003123A" w:rsidP="003E0000">
      <w:pPr>
        <w:spacing w:line="276" w:lineRule="auto"/>
        <w:jc w:val="both"/>
        <w:rPr>
          <w:rFonts w:ascii="Baskerville Old Face" w:hAnsi="Baskerville Old Face" w:cs="Times New Roman"/>
          <w:sz w:val="24"/>
          <w:szCs w:val="24"/>
        </w:rPr>
      </w:pPr>
      <w:r w:rsidRPr="00F860D3">
        <w:rPr>
          <w:rFonts w:ascii="Baskerville Old Face" w:hAnsi="Baskerville Old Face" w:cs="Times New Roman"/>
          <w:sz w:val="24"/>
          <w:szCs w:val="24"/>
        </w:rPr>
        <w:t xml:space="preserve">The DTD conducts three categories of tax audits, targeting large taxpayers, medium taxpayers, and entities in the extractive industry. These audits are conducted through field audits, desk audits, or a combination of both </w:t>
      </w:r>
      <w:r w:rsidR="00136FFF">
        <w:rPr>
          <w:rFonts w:ascii="Baskerville Old Face" w:hAnsi="Baskerville Old Face" w:cs="Times New Roman"/>
          <w:sz w:val="24"/>
          <w:szCs w:val="24"/>
        </w:rPr>
        <w:t>approaches</w:t>
      </w:r>
      <w:r w:rsidRPr="00F860D3">
        <w:rPr>
          <w:rFonts w:ascii="Baskerville Old Face" w:hAnsi="Baskerville Old Face" w:cs="Times New Roman"/>
          <w:sz w:val="24"/>
          <w:szCs w:val="24"/>
        </w:rPr>
        <w:t>. The Design and Monitoring (D&amp;M) Unit within the DTD assumes the responsibility of risk profiling and formulating an audit plan, which delineates the selection of taxpayers subject to audit by respective units within the DTD.</w:t>
      </w:r>
    </w:p>
    <w:p w14:paraId="281EFB40" w14:textId="60CD3D8E" w:rsidR="0003123A" w:rsidRDefault="0003123A" w:rsidP="003E0000">
      <w:pPr>
        <w:spacing w:line="276" w:lineRule="auto"/>
        <w:jc w:val="both"/>
        <w:rPr>
          <w:rFonts w:ascii="Baskerville Old Face" w:hAnsi="Baskerville Old Face" w:cs="Times New Roman"/>
          <w:sz w:val="24"/>
          <w:szCs w:val="24"/>
        </w:rPr>
      </w:pPr>
      <w:r w:rsidRPr="002D07CC">
        <w:rPr>
          <w:rFonts w:ascii="Baskerville Old Face" w:hAnsi="Baskerville Old Face" w:cs="Times New Roman"/>
          <w:sz w:val="24"/>
          <w:szCs w:val="24"/>
        </w:rPr>
        <w:t xml:space="preserve">Table </w:t>
      </w:r>
      <w:r w:rsidR="002D07CC">
        <w:rPr>
          <w:rFonts w:ascii="Baskerville Old Face" w:hAnsi="Baskerville Old Face" w:cs="Times New Roman"/>
          <w:sz w:val="24"/>
          <w:szCs w:val="24"/>
        </w:rPr>
        <w:t>1</w:t>
      </w:r>
      <w:r w:rsidR="00315B21">
        <w:rPr>
          <w:rFonts w:ascii="Baskerville Old Face" w:hAnsi="Baskerville Old Face" w:cs="Times New Roman"/>
          <w:sz w:val="24"/>
          <w:szCs w:val="24"/>
        </w:rPr>
        <w:t>4</w:t>
      </w:r>
      <w:r w:rsidRPr="00F860D3">
        <w:rPr>
          <w:rFonts w:ascii="Baskerville Old Face" w:hAnsi="Baskerville Old Face" w:cs="Times New Roman"/>
          <w:sz w:val="24"/>
          <w:szCs w:val="24"/>
        </w:rPr>
        <w:t xml:space="preserve"> outlines the number </w:t>
      </w:r>
      <w:r>
        <w:rPr>
          <w:rFonts w:ascii="Baskerville Old Face" w:hAnsi="Baskerville Old Face" w:cs="Times New Roman"/>
          <w:sz w:val="24"/>
          <w:szCs w:val="24"/>
        </w:rPr>
        <w:t xml:space="preserve">of </w:t>
      </w:r>
      <w:r w:rsidRPr="00F860D3">
        <w:rPr>
          <w:rFonts w:ascii="Baskerville Old Face" w:hAnsi="Baskerville Old Face" w:cs="Times New Roman"/>
          <w:sz w:val="24"/>
          <w:szCs w:val="24"/>
        </w:rPr>
        <w:t>planned DTD audits for the fiscal year 202</w:t>
      </w:r>
      <w:r w:rsidR="00B93F20">
        <w:rPr>
          <w:rFonts w:ascii="Baskerville Old Face" w:hAnsi="Baskerville Old Face" w:cs="Times New Roman"/>
          <w:sz w:val="24"/>
          <w:szCs w:val="24"/>
        </w:rPr>
        <w:t>4</w:t>
      </w:r>
      <w:r w:rsidRPr="00F860D3">
        <w:rPr>
          <w:rFonts w:ascii="Baskerville Old Face" w:hAnsi="Baskerville Old Face" w:cs="Times New Roman"/>
          <w:sz w:val="24"/>
          <w:szCs w:val="24"/>
        </w:rPr>
        <w:t>. A total of 5</w:t>
      </w:r>
      <w:r w:rsidR="006426D4">
        <w:rPr>
          <w:rFonts w:ascii="Baskerville Old Face" w:hAnsi="Baskerville Old Face" w:cs="Times New Roman"/>
          <w:sz w:val="24"/>
          <w:szCs w:val="24"/>
        </w:rPr>
        <w:t>99</w:t>
      </w:r>
      <w:r w:rsidRPr="00F860D3">
        <w:rPr>
          <w:rFonts w:ascii="Baskerville Old Face" w:hAnsi="Baskerville Old Face" w:cs="Times New Roman"/>
          <w:sz w:val="24"/>
          <w:szCs w:val="24"/>
        </w:rPr>
        <w:t xml:space="preserve"> audits were scheduled, comprising 50</w:t>
      </w:r>
      <w:r w:rsidR="006426D4">
        <w:rPr>
          <w:rFonts w:ascii="Baskerville Old Face" w:hAnsi="Baskerville Old Face" w:cs="Times New Roman"/>
          <w:sz w:val="24"/>
          <w:szCs w:val="24"/>
        </w:rPr>
        <w:t>8</w:t>
      </w:r>
      <w:r w:rsidRPr="00F860D3">
        <w:rPr>
          <w:rFonts w:ascii="Baskerville Old Face" w:hAnsi="Baskerville Old Face" w:cs="Times New Roman"/>
          <w:sz w:val="24"/>
          <w:szCs w:val="24"/>
        </w:rPr>
        <w:t xml:space="preserve"> field audits and </w:t>
      </w:r>
      <w:r w:rsidR="006426D4">
        <w:rPr>
          <w:rFonts w:ascii="Baskerville Old Face" w:hAnsi="Baskerville Old Face" w:cs="Times New Roman"/>
          <w:sz w:val="24"/>
          <w:szCs w:val="24"/>
        </w:rPr>
        <w:t>91</w:t>
      </w:r>
      <w:r w:rsidRPr="00F860D3">
        <w:rPr>
          <w:rFonts w:ascii="Baskerville Old Face" w:hAnsi="Baskerville Old Face" w:cs="Times New Roman"/>
          <w:sz w:val="24"/>
          <w:szCs w:val="24"/>
        </w:rPr>
        <w:t xml:space="preserve"> desk audits or issue-specific audits. Notably, the MTO was tasked with auditing the largest number of taxpayers, amounting to 3</w:t>
      </w:r>
      <w:r w:rsidR="006426D4">
        <w:rPr>
          <w:rFonts w:ascii="Baskerville Old Face" w:hAnsi="Baskerville Old Face" w:cs="Times New Roman"/>
          <w:sz w:val="24"/>
          <w:szCs w:val="24"/>
        </w:rPr>
        <w:t>60</w:t>
      </w:r>
      <w:r w:rsidRPr="00F860D3">
        <w:rPr>
          <w:rFonts w:ascii="Baskerville Old Face" w:hAnsi="Baskerville Old Face" w:cs="Times New Roman"/>
          <w:sz w:val="24"/>
          <w:szCs w:val="24"/>
        </w:rPr>
        <w:t xml:space="preserve"> entities. </w:t>
      </w:r>
      <w:r w:rsidRPr="004E0538">
        <w:rPr>
          <w:rFonts w:ascii="Baskerville Old Face" w:hAnsi="Baskerville Old Face" w:cs="Times New Roman"/>
          <w:sz w:val="24"/>
          <w:szCs w:val="24"/>
        </w:rPr>
        <w:t>The actual number of audits completed in 202</w:t>
      </w:r>
      <w:r w:rsidR="004E0538" w:rsidRPr="004E0538">
        <w:rPr>
          <w:rFonts w:ascii="Baskerville Old Face" w:hAnsi="Baskerville Old Face" w:cs="Times New Roman"/>
          <w:sz w:val="24"/>
          <w:szCs w:val="24"/>
        </w:rPr>
        <w:t>3</w:t>
      </w:r>
      <w:r w:rsidRPr="004E0538">
        <w:rPr>
          <w:rFonts w:ascii="Baskerville Old Face" w:hAnsi="Baskerville Old Face" w:cs="Times New Roman"/>
          <w:sz w:val="24"/>
          <w:szCs w:val="24"/>
        </w:rPr>
        <w:t xml:space="preserve"> amounted to </w:t>
      </w:r>
      <w:r w:rsidR="004E0538" w:rsidRPr="004E0538">
        <w:rPr>
          <w:rFonts w:ascii="Baskerville Old Face" w:hAnsi="Baskerville Old Face" w:cs="Times New Roman"/>
          <w:sz w:val="24"/>
          <w:szCs w:val="24"/>
        </w:rPr>
        <w:t>577</w:t>
      </w:r>
      <w:r w:rsidRPr="004E0538">
        <w:rPr>
          <w:rFonts w:ascii="Baskerville Old Face" w:hAnsi="Baskerville Old Face" w:cs="Times New Roman"/>
          <w:sz w:val="24"/>
          <w:szCs w:val="24"/>
        </w:rPr>
        <w:t xml:space="preserve">, reflecting a </w:t>
      </w:r>
      <w:r w:rsidR="004E0538" w:rsidRPr="004E0538">
        <w:rPr>
          <w:rFonts w:ascii="Baskerville Old Face" w:hAnsi="Baskerville Old Face" w:cs="Times New Roman"/>
          <w:sz w:val="24"/>
          <w:szCs w:val="24"/>
        </w:rPr>
        <w:t>3</w:t>
      </w:r>
      <w:r w:rsidRPr="004E0538">
        <w:rPr>
          <w:rFonts w:ascii="Baskerville Old Face" w:hAnsi="Baskerville Old Face" w:cs="Times New Roman"/>
          <w:sz w:val="24"/>
          <w:szCs w:val="24"/>
        </w:rPr>
        <w:t>.</w:t>
      </w:r>
      <w:r w:rsidR="004E0538" w:rsidRPr="004E0538">
        <w:rPr>
          <w:rFonts w:ascii="Baskerville Old Face" w:hAnsi="Baskerville Old Face" w:cs="Times New Roman"/>
          <w:sz w:val="24"/>
          <w:szCs w:val="24"/>
        </w:rPr>
        <w:t>8</w:t>
      </w:r>
      <w:r w:rsidRPr="004E0538">
        <w:rPr>
          <w:rFonts w:ascii="Baskerville Old Face" w:hAnsi="Baskerville Old Face" w:cs="Times New Roman"/>
          <w:sz w:val="24"/>
          <w:szCs w:val="24"/>
        </w:rPr>
        <w:t>% variance from the planned audits for 202</w:t>
      </w:r>
      <w:r w:rsidR="004E0538" w:rsidRPr="004E0538">
        <w:rPr>
          <w:rFonts w:ascii="Baskerville Old Face" w:hAnsi="Baskerville Old Face" w:cs="Times New Roman"/>
          <w:sz w:val="24"/>
          <w:szCs w:val="24"/>
        </w:rPr>
        <w:t>4</w:t>
      </w:r>
      <w:r w:rsidRPr="004E0538">
        <w:rPr>
          <w:rFonts w:ascii="Baskerville Old Face" w:hAnsi="Baskerville Old Face" w:cs="Times New Roman"/>
          <w:sz w:val="24"/>
          <w:szCs w:val="24"/>
        </w:rPr>
        <w:t>.</w:t>
      </w:r>
    </w:p>
    <w:p w14:paraId="7BA1ADF7" w14:textId="58FE9BDD" w:rsidR="0071721B" w:rsidRPr="002465E3" w:rsidRDefault="0071721B" w:rsidP="0071721B">
      <w:pPr>
        <w:pStyle w:val="Caption"/>
        <w:keepNext/>
        <w:rPr>
          <w:rFonts w:ascii="Baskerville Old Face" w:hAnsi="Baskerville Old Face"/>
          <w:b/>
          <w:bCs/>
          <w:sz w:val="24"/>
          <w:szCs w:val="24"/>
        </w:rPr>
      </w:pPr>
      <w:bookmarkStart w:id="70" w:name="_Toc198044032"/>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14</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DTD Planned Tax Audit 2024</w:t>
      </w:r>
      <w:bookmarkEnd w:id="70"/>
    </w:p>
    <w:tbl>
      <w:tblPr>
        <w:tblStyle w:val="GridTable6ColourfulAccent2"/>
        <w:tblW w:w="9445" w:type="dxa"/>
        <w:tblLook w:val="04A0" w:firstRow="1" w:lastRow="0" w:firstColumn="1" w:lastColumn="0" w:noHBand="0" w:noVBand="1"/>
      </w:tblPr>
      <w:tblGrid>
        <w:gridCol w:w="4811"/>
        <w:gridCol w:w="1205"/>
        <w:gridCol w:w="1178"/>
        <w:gridCol w:w="1102"/>
        <w:gridCol w:w="1149"/>
      </w:tblGrid>
      <w:tr w:rsidR="00B93F20" w:rsidRPr="00B93F20" w14:paraId="174BCE08" w14:textId="77777777" w:rsidTr="00B93F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11" w:type="dxa"/>
            <w:noWrap/>
            <w:hideMark/>
          </w:tcPr>
          <w:p w14:paraId="7FE9D222" w14:textId="77777777" w:rsidR="00B93F20" w:rsidRPr="00B93F20" w:rsidRDefault="00B93F20" w:rsidP="00B93F20">
            <w:pPr>
              <w:jc w:val="both"/>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AUDIT</w:t>
            </w:r>
          </w:p>
        </w:tc>
        <w:tc>
          <w:tcPr>
            <w:tcW w:w="1205" w:type="dxa"/>
            <w:noWrap/>
            <w:hideMark/>
          </w:tcPr>
          <w:p w14:paraId="482F5CEF" w14:textId="77777777" w:rsidR="00B93F20" w:rsidRPr="00B93F20" w:rsidRDefault="00B93F20" w:rsidP="00B93F20">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LTO</w:t>
            </w:r>
          </w:p>
        </w:tc>
        <w:tc>
          <w:tcPr>
            <w:tcW w:w="1178" w:type="dxa"/>
            <w:noWrap/>
            <w:hideMark/>
          </w:tcPr>
          <w:p w14:paraId="5C0D1CF5" w14:textId="77777777" w:rsidR="00B93F20" w:rsidRPr="00B93F20" w:rsidRDefault="00B93F20" w:rsidP="00B93F20">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MTO</w:t>
            </w:r>
          </w:p>
        </w:tc>
        <w:tc>
          <w:tcPr>
            <w:tcW w:w="1102" w:type="dxa"/>
            <w:noWrap/>
            <w:hideMark/>
          </w:tcPr>
          <w:p w14:paraId="7E1CBE90" w14:textId="77777777" w:rsidR="00B93F20" w:rsidRPr="00B93F20" w:rsidRDefault="00B93F20" w:rsidP="00B93F20">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EIRU</w:t>
            </w:r>
          </w:p>
        </w:tc>
        <w:tc>
          <w:tcPr>
            <w:tcW w:w="1149" w:type="dxa"/>
            <w:noWrap/>
            <w:hideMark/>
          </w:tcPr>
          <w:p w14:paraId="2FC7992B" w14:textId="77777777" w:rsidR="00B93F20" w:rsidRPr="00B93F20" w:rsidRDefault="00B93F20" w:rsidP="00B93F20">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TOTAL</w:t>
            </w:r>
          </w:p>
        </w:tc>
      </w:tr>
      <w:tr w:rsidR="00B93F20" w:rsidRPr="00B93F20" w14:paraId="5488E16C" w14:textId="77777777" w:rsidTr="00B93F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11" w:type="dxa"/>
            <w:noWrap/>
            <w:hideMark/>
          </w:tcPr>
          <w:p w14:paraId="522BC05A" w14:textId="77777777" w:rsidR="00B93F20" w:rsidRPr="00B93F20" w:rsidRDefault="00B93F20" w:rsidP="00B93F20">
            <w:pPr>
              <w:jc w:val="both"/>
              <w:rPr>
                <w:rFonts w:ascii="Baskerville Old Face" w:hAnsi="Baskerville Old Face" w:cs="Times New Roman"/>
                <w:b w:val="0"/>
                <w:bCs w:val="0"/>
                <w:color w:val="auto"/>
                <w:sz w:val="24"/>
                <w:szCs w:val="24"/>
              </w:rPr>
            </w:pPr>
            <w:r w:rsidRPr="00B93F20">
              <w:rPr>
                <w:rFonts w:ascii="Baskerville Old Face" w:hAnsi="Baskerville Old Face" w:cs="Times New Roman"/>
                <w:b w:val="0"/>
                <w:bCs w:val="0"/>
                <w:color w:val="auto"/>
                <w:sz w:val="24"/>
                <w:szCs w:val="24"/>
              </w:rPr>
              <w:t xml:space="preserve">Number of field audits to be completed </w:t>
            </w:r>
          </w:p>
        </w:tc>
        <w:tc>
          <w:tcPr>
            <w:tcW w:w="1205" w:type="dxa"/>
            <w:noWrap/>
            <w:hideMark/>
          </w:tcPr>
          <w:p w14:paraId="737F266B" w14:textId="77777777" w:rsidR="00B93F20" w:rsidRPr="00B93F20"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154</w:t>
            </w:r>
          </w:p>
        </w:tc>
        <w:tc>
          <w:tcPr>
            <w:tcW w:w="1178" w:type="dxa"/>
            <w:noWrap/>
            <w:hideMark/>
          </w:tcPr>
          <w:p w14:paraId="6FF1BC06" w14:textId="77777777" w:rsidR="00B93F20" w:rsidRPr="00B93F20"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310</w:t>
            </w:r>
          </w:p>
        </w:tc>
        <w:tc>
          <w:tcPr>
            <w:tcW w:w="1102" w:type="dxa"/>
            <w:noWrap/>
            <w:hideMark/>
          </w:tcPr>
          <w:p w14:paraId="27C7146A" w14:textId="77777777" w:rsidR="00B93F20" w:rsidRPr="00B93F20"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44</w:t>
            </w:r>
          </w:p>
        </w:tc>
        <w:tc>
          <w:tcPr>
            <w:tcW w:w="1149" w:type="dxa"/>
            <w:noWrap/>
            <w:hideMark/>
          </w:tcPr>
          <w:p w14:paraId="1B66DF15" w14:textId="77777777" w:rsidR="00B93F20" w:rsidRPr="00B93F20"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508</w:t>
            </w:r>
          </w:p>
        </w:tc>
      </w:tr>
      <w:tr w:rsidR="00B93F20" w:rsidRPr="00B93F20" w14:paraId="20CECD5A" w14:textId="77777777" w:rsidTr="00B93F20">
        <w:trPr>
          <w:trHeight w:val="288"/>
        </w:trPr>
        <w:tc>
          <w:tcPr>
            <w:cnfStyle w:val="001000000000" w:firstRow="0" w:lastRow="0" w:firstColumn="1" w:lastColumn="0" w:oddVBand="0" w:evenVBand="0" w:oddHBand="0" w:evenHBand="0" w:firstRowFirstColumn="0" w:firstRowLastColumn="0" w:lastRowFirstColumn="0" w:lastRowLastColumn="0"/>
            <w:tcW w:w="4811" w:type="dxa"/>
            <w:noWrap/>
            <w:hideMark/>
          </w:tcPr>
          <w:p w14:paraId="223CE04D" w14:textId="05541E3D" w:rsidR="00B93F20" w:rsidRPr="00B93F20" w:rsidRDefault="00B93F20" w:rsidP="00B93F20">
            <w:pPr>
              <w:jc w:val="both"/>
              <w:rPr>
                <w:rFonts w:ascii="Baskerville Old Face" w:hAnsi="Baskerville Old Face" w:cs="Times New Roman"/>
                <w:b w:val="0"/>
                <w:bCs w:val="0"/>
                <w:color w:val="auto"/>
                <w:sz w:val="24"/>
                <w:szCs w:val="24"/>
              </w:rPr>
            </w:pPr>
            <w:r w:rsidRPr="00B93F20">
              <w:rPr>
                <w:rFonts w:ascii="Baskerville Old Face" w:hAnsi="Baskerville Old Face" w:cs="Times New Roman"/>
                <w:b w:val="0"/>
                <w:bCs w:val="0"/>
                <w:color w:val="auto"/>
                <w:sz w:val="24"/>
                <w:szCs w:val="24"/>
              </w:rPr>
              <w:t>Desk audit</w:t>
            </w:r>
            <w:r w:rsidR="004C3575">
              <w:rPr>
                <w:rFonts w:ascii="Baskerville Old Face" w:hAnsi="Baskerville Old Face" w:cs="Times New Roman"/>
                <w:b w:val="0"/>
                <w:bCs w:val="0"/>
                <w:color w:val="auto"/>
                <w:sz w:val="24"/>
                <w:szCs w:val="24"/>
              </w:rPr>
              <w:t xml:space="preserve"> or</w:t>
            </w:r>
            <w:r w:rsidRPr="00B93F20">
              <w:rPr>
                <w:rFonts w:ascii="Baskerville Old Face" w:hAnsi="Baskerville Old Face" w:cs="Times New Roman"/>
                <w:b w:val="0"/>
                <w:bCs w:val="0"/>
                <w:color w:val="auto"/>
                <w:sz w:val="24"/>
                <w:szCs w:val="24"/>
              </w:rPr>
              <w:t xml:space="preserve"> specific audit </w:t>
            </w:r>
          </w:p>
        </w:tc>
        <w:tc>
          <w:tcPr>
            <w:tcW w:w="1205" w:type="dxa"/>
            <w:noWrap/>
            <w:hideMark/>
          </w:tcPr>
          <w:p w14:paraId="1475AB50"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25</w:t>
            </w:r>
          </w:p>
        </w:tc>
        <w:tc>
          <w:tcPr>
            <w:tcW w:w="1178" w:type="dxa"/>
            <w:noWrap/>
            <w:hideMark/>
          </w:tcPr>
          <w:p w14:paraId="0139DE87"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50</w:t>
            </w:r>
          </w:p>
        </w:tc>
        <w:tc>
          <w:tcPr>
            <w:tcW w:w="1102" w:type="dxa"/>
            <w:noWrap/>
            <w:hideMark/>
          </w:tcPr>
          <w:p w14:paraId="241A98F1"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16</w:t>
            </w:r>
          </w:p>
        </w:tc>
        <w:tc>
          <w:tcPr>
            <w:tcW w:w="1149" w:type="dxa"/>
            <w:noWrap/>
            <w:hideMark/>
          </w:tcPr>
          <w:p w14:paraId="2B6A1C5C"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91</w:t>
            </w:r>
          </w:p>
        </w:tc>
      </w:tr>
      <w:tr w:rsidR="00B93F20" w:rsidRPr="00B93F20" w14:paraId="7606499E" w14:textId="77777777" w:rsidTr="00B93F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11" w:type="dxa"/>
            <w:noWrap/>
            <w:hideMark/>
          </w:tcPr>
          <w:p w14:paraId="38A8C24F" w14:textId="77777777" w:rsidR="00B93F20" w:rsidRPr="00FB68AD" w:rsidRDefault="00B93F20" w:rsidP="00B93F20">
            <w:pPr>
              <w:jc w:val="both"/>
              <w:rPr>
                <w:rFonts w:ascii="Baskerville Old Face" w:hAnsi="Baskerville Old Face" w:cs="Times New Roman"/>
                <w:color w:val="auto"/>
                <w:sz w:val="24"/>
                <w:szCs w:val="24"/>
              </w:rPr>
            </w:pPr>
            <w:r w:rsidRPr="00FB68AD">
              <w:rPr>
                <w:rFonts w:ascii="Baskerville Old Face" w:hAnsi="Baskerville Old Face" w:cs="Times New Roman"/>
                <w:color w:val="auto"/>
                <w:sz w:val="24"/>
                <w:szCs w:val="24"/>
              </w:rPr>
              <w:t>Total audit to be completed in 2024</w:t>
            </w:r>
          </w:p>
        </w:tc>
        <w:tc>
          <w:tcPr>
            <w:tcW w:w="1205" w:type="dxa"/>
            <w:noWrap/>
            <w:hideMark/>
          </w:tcPr>
          <w:p w14:paraId="3D333345" w14:textId="77777777" w:rsidR="00B93F20" w:rsidRPr="00FB68AD"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sz w:val="24"/>
                <w:szCs w:val="24"/>
              </w:rPr>
            </w:pPr>
            <w:r w:rsidRPr="00FB68AD">
              <w:rPr>
                <w:rFonts w:ascii="Baskerville Old Face" w:hAnsi="Baskerville Old Face" w:cs="Times New Roman"/>
                <w:b/>
                <w:bCs/>
                <w:color w:val="auto"/>
                <w:sz w:val="24"/>
                <w:szCs w:val="24"/>
              </w:rPr>
              <w:t>179</w:t>
            </w:r>
          </w:p>
        </w:tc>
        <w:tc>
          <w:tcPr>
            <w:tcW w:w="1178" w:type="dxa"/>
            <w:noWrap/>
            <w:hideMark/>
          </w:tcPr>
          <w:p w14:paraId="7042A2B3" w14:textId="77777777" w:rsidR="00B93F20" w:rsidRPr="00FB68AD"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sz w:val="24"/>
                <w:szCs w:val="24"/>
              </w:rPr>
            </w:pPr>
            <w:r w:rsidRPr="00FB68AD">
              <w:rPr>
                <w:rFonts w:ascii="Baskerville Old Face" w:hAnsi="Baskerville Old Face" w:cs="Times New Roman"/>
                <w:b/>
                <w:bCs/>
                <w:color w:val="auto"/>
                <w:sz w:val="24"/>
                <w:szCs w:val="24"/>
              </w:rPr>
              <w:t>360</w:t>
            </w:r>
          </w:p>
        </w:tc>
        <w:tc>
          <w:tcPr>
            <w:tcW w:w="1102" w:type="dxa"/>
            <w:noWrap/>
            <w:hideMark/>
          </w:tcPr>
          <w:p w14:paraId="4768958D" w14:textId="77777777" w:rsidR="00B93F20" w:rsidRPr="00FB68AD"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sz w:val="24"/>
                <w:szCs w:val="24"/>
              </w:rPr>
            </w:pPr>
            <w:r w:rsidRPr="00FB68AD">
              <w:rPr>
                <w:rFonts w:ascii="Baskerville Old Face" w:hAnsi="Baskerville Old Face" w:cs="Times New Roman"/>
                <w:b/>
                <w:bCs/>
                <w:color w:val="auto"/>
                <w:sz w:val="24"/>
                <w:szCs w:val="24"/>
              </w:rPr>
              <w:t>60</w:t>
            </w:r>
          </w:p>
        </w:tc>
        <w:tc>
          <w:tcPr>
            <w:tcW w:w="1149" w:type="dxa"/>
            <w:noWrap/>
            <w:hideMark/>
          </w:tcPr>
          <w:p w14:paraId="123E2B0D" w14:textId="77777777" w:rsidR="00B93F20" w:rsidRPr="00FB68AD" w:rsidRDefault="00B93F20" w:rsidP="00B93F2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sz w:val="24"/>
                <w:szCs w:val="24"/>
              </w:rPr>
            </w:pPr>
            <w:r w:rsidRPr="00FB68AD">
              <w:rPr>
                <w:rFonts w:ascii="Baskerville Old Face" w:hAnsi="Baskerville Old Face" w:cs="Times New Roman"/>
                <w:b/>
                <w:bCs/>
                <w:color w:val="auto"/>
                <w:sz w:val="24"/>
                <w:szCs w:val="24"/>
              </w:rPr>
              <w:t>599</w:t>
            </w:r>
          </w:p>
        </w:tc>
      </w:tr>
      <w:tr w:rsidR="00B93F20" w:rsidRPr="00B93F20" w14:paraId="46915ADC" w14:textId="77777777" w:rsidTr="00B93F20">
        <w:trPr>
          <w:trHeight w:val="288"/>
        </w:trPr>
        <w:tc>
          <w:tcPr>
            <w:cnfStyle w:val="001000000000" w:firstRow="0" w:lastRow="0" w:firstColumn="1" w:lastColumn="0" w:oddVBand="0" w:evenVBand="0" w:oddHBand="0" w:evenHBand="0" w:firstRowFirstColumn="0" w:firstRowLastColumn="0" w:lastRowFirstColumn="0" w:lastRowLastColumn="0"/>
            <w:tcW w:w="4811" w:type="dxa"/>
            <w:noWrap/>
            <w:hideMark/>
          </w:tcPr>
          <w:p w14:paraId="6A431F91" w14:textId="77777777" w:rsidR="00B93F20" w:rsidRPr="00B93F20" w:rsidRDefault="00B93F20" w:rsidP="00B93F20">
            <w:pPr>
              <w:jc w:val="both"/>
              <w:rPr>
                <w:rFonts w:ascii="Baskerville Old Face" w:hAnsi="Baskerville Old Face" w:cs="Times New Roman"/>
                <w:b w:val="0"/>
                <w:bCs w:val="0"/>
                <w:color w:val="auto"/>
                <w:sz w:val="24"/>
                <w:szCs w:val="24"/>
              </w:rPr>
            </w:pPr>
            <w:r w:rsidRPr="00B93F20">
              <w:rPr>
                <w:rFonts w:ascii="Baskerville Old Face" w:hAnsi="Baskerville Old Face" w:cs="Times New Roman"/>
                <w:b w:val="0"/>
                <w:bCs w:val="0"/>
                <w:color w:val="auto"/>
                <w:sz w:val="24"/>
                <w:szCs w:val="24"/>
              </w:rPr>
              <w:t>Total field audit completed in 2023</w:t>
            </w:r>
          </w:p>
        </w:tc>
        <w:tc>
          <w:tcPr>
            <w:tcW w:w="1205" w:type="dxa"/>
            <w:noWrap/>
            <w:hideMark/>
          </w:tcPr>
          <w:p w14:paraId="2C1EF08B"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166</w:t>
            </w:r>
          </w:p>
        </w:tc>
        <w:tc>
          <w:tcPr>
            <w:tcW w:w="1178" w:type="dxa"/>
            <w:noWrap/>
            <w:hideMark/>
          </w:tcPr>
          <w:p w14:paraId="39FEC96E"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352</w:t>
            </w:r>
          </w:p>
        </w:tc>
        <w:tc>
          <w:tcPr>
            <w:tcW w:w="1102" w:type="dxa"/>
            <w:noWrap/>
            <w:hideMark/>
          </w:tcPr>
          <w:p w14:paraId="7E825EFE"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59</w:t>
            </w:r>
          </w:p>
        </w:tc>
        <w:tc>
          <w:tcPr>
            <w:tcW w:w="1149" w:type="dxa"/>
            <w:noWrap/>
            <w:hideMark/>
          </w:tcPr>
          <w:p w14:paraId="6A8334E6" w14:textId="77777777" w:rsidR="00B93F20" w:rsidRPr="00B93F20" w:rsidRDefault="00B93F20" w:rsidP="00B93F2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93F20">
              <w:rPr>
                <w:rFonts w:ascii="Baskerville Old Face" w:hAnsi="Baskerville Old Face" w:cs="Times New Roman"/>
                <w:color w:val="auto"/>
                <w:sz w:val="24"/>
                <w:szCs w:val="24"/>
              </w:rPr>
              <w:t>577</w:t>
            </w:r>
          </w:p>
        </w:tc>
      </w:tr>
    </w:tbl>
    <w:p w14:paraId="1B565EB6" w14:textId="77777777" w:rsidR="0003123A" w:rsidRPr="00BD27B1" w:rsidRDefault="0003123A" w:rsidP="0003123A">
      <w:pPr>
        <w:rPr>
          <w:rFonts w:ascii="Baskerville Old Face" w:hAnsi="Baskerville Old Face" w:cs="Times New Roman"/>
          <w:i/>
          <w:iCs/>
          <w:sz w:val="20"/>
          <w:szCs w:val="20"/>
        </w:rPr>
      </w:pPr>
      <w:r w:rsidRPr="00BD27B1">
        <w:rPr>
          <w:rFonts w:ascii="Baskerville Old Face" w:hAnsi="Baskerville Old Face" w:cs="Times New Roman"/>
          <w:i/>
          <w:iCs/>
          <w:sz w:val="20"/>
          <w:szCs w:val="20"/>
        </w:rPr>
        <w:t>Source: DTD</w:t>
      </w:r>
    </w:p>
    <w:p w14:paraId="1493A6DF" w14:textId="77777777" w:rsidR="00FB68AD" w:rsidRDefault="00FB68AD" w:rsidP="0003123A">
      <w:pPr>
        <w:rPr>
          <w:rFonts w:ascii="Baskerville Old Face" w:hAnsi="Baskerville Old Face" w:cs="Times New Roman"/>
          <w:b/>
          <w:bCs/>
          <w:sz w:val="24"/>
          <w:szCs w:val="24"/>
        </w:rPr>
      </w:pPr>
      <w:bookmarkStart w:id="71" w:name="_Hlk159703467"/>
    </w:p>
    <w:p w14:paraId="59312DAA" w14:textId="77777777" w:rsidR="00FB68AD" w:rsidRDefault="00FB68AD" w:rsidP="0003123A">
      <w:pPr>
        <w:rPr>
          <w:rFonts w:ascii="Baskerville Old Face" w:hAnsi="Baskerville Old Face" w:cs="Times New Roman"/>
          <w:b/>
          <w:bCs/>
          <w:sz w:val="24"/>
          <w:szCs w:val="24"/>
        </w:rPr>
      </w:pPr>
    </w:p>
    <w:p w14:paraId="5B7C2FA0" w14:textId="05C15800" w:rsidR="0003123A" w:rsidRPr="00520DD2" w:rsidRDefault="00520DD2" w:rsidP="00C03BAC">
      <w:pPr>
        <w:pStyle w:val="Heading3"/>
        <w:rPr>
          <w:rFonts w:ascii="Baskerville Old Face" w:hAnsi="Baskerville Old Face"/>
          <w:b/>
          <w:bCs/>
        </w:rPr>
      </w:pPr>
      <w:bookmarkStart w:id="72" w:name="_Toc198043939"/>
      <w:r w:rsidRPr="00520DD2">
        <w:rPr>
          <w:rFonts w:ascii="Baskerville Old Face" w:hAnsi="Baskerville Old Face"/>
          <w:b/>
          <w:bCs/>
        </w:rPr>
        <w:lastRenderedPageBreak/>
        <w:t xml:space="preserve">4.3.1 </w:t>
      </w:r>
      <w:r w:rsidR="0003123A" w:rsidRPr="00520DD2">
        <w:rPr>
          <w:rFonts w:ascii="Baskerville Old Face" w:hAnsi="Baskerville Old Face"/>
          <w:b/>
          <w:bCs/>
        </w:rPr>
        <w:t xml:space="preserve">LTO Completed Tax Audit </w:t>
      </w:r>
      <w:r w:rsidR="00C917BD" w:rsidRPr="00520DD2">
        <w:rPr>
          <w:rFonts w:ascii="Baskerville Old Face" w:hAnsi="Baskerville Old Face"/>
          <w:b/>
          <w:bCs/>
        </w:rPr>
        <w:t>and Liability</w:t>
      </w:r>
      <w:r w:rsidR="00FB68AD" w:rsidRPr="00520DD2">
        <w:rPr>
          <w:rFonts w:ascii="Baskerville Old Face" w:hAnsi="Baskerville Old Face"/>
          <w:b/>
          <w:bCs/>
        </w:rPr>
        <w:t>,</w:t>
      </w:r>
      <w:r w:rsidR="00C917BD" w:rsidRPr="00520DD2">
        <w:rPr>
          <w:rFonts w:ascii="Baskerville Old Face" w:hAnsi="Baskerville Old Face"/>
          <w:b/>
          <w:bCs/>
        </w:rPr>
        <w:t xml:space="preserve"> </w:t>
      </w:r>
      <w:r w:rsidR="0003123A" w:rsidRPr="00520DD2">
        <w:rPr>
          <w:rFonts w:ascii="Baskerville Old Face" w:hAnsi="Baskerville Old Face"/>
          <w:b/>
          <w:bCs/>
        </w:rPr>
        <w:t>202</w:t>
      </w:r>
      <w:r w:rsidR="00440D43" w:rsidRPr="00520DD2">
        <w:rPr>
          <w:rFonts w:ascii="Baskerville Old Face" w:hAnsi="Baskerville Old Face"/>
          <w:b/>
          <w:bCs/>
        </w:rPr>
        <w:t>4</w:t>
      </w:r>
      <w:r w:rsidR="0003123A" w:rsidRPr="00520DD2">
        <w:rPr>
          <w:rFonts w:ascii="Baskerville Old Face" w:hAnsi="Baskerville Old Face"/>
          <w:b/>
          <w:bCs/>
        </w:rPr>
        <w:t xml:space="preserve"> and 202</w:t>
      </w:r>
      <w:r w:rsidR="00440D43" w:rsidRPr="00520DD2">
        <w:rPr>
          <w:rFonts w:ascii="Baskerville Old Face" w:hAnsi="Baskerville Old Face"/>
          <w:b/>
          <w:bCs/>
        </w:rPr>
        <w:t>3</w:t>
      </w:r>
      <w:bookmarkEnd w:id="72"/>
    </w:p>
    <w:p w14:paraId="202F7D43" w14:textId="6ACBC55D" w:rsidR="009174FE" w:rsidRDefault="00076196" w:rsidP="003E0000">
      <w:pPr>
        <w:spacing w:line="276" w:lineRule="auto"/>
        <w:jc w:val="both"/>
        <w:rPr>
          <w:rFonts w:ascii="Baskerville Old Face" w:hAnsi="Baskerville Old Face" w:cs="Times New Roman"/>
          <w:sz w:val="24"/>
          <w:szCs w:val="24"/>
        </w:rPr>
      </w:pPr>
      <w:bookmarkStart w:id="73" w:name="_Hlk159703795"/>
      <w:bookmarkEnd w:id="71"/>
      <w:r w:rsidRPr="00975391">
        <w:rPr>
          <w:rFonts w:ascii="Baskerville Old Face" w:hAnsi="Baskerville Old Face" w:cs="Times New Roman"/>
          <w:sz w:val="24"/>
          <w:szCs w:val="24"/>
        </w:rPr>
        <w:t xml:space="preserve">Table </w:t>
      </w:r>
      <w:r w:rsidR="002D07CC" w:rsidRPr="00975391">
        <w:rPr>
          <w:rFonts w:ascii="Baskerville Old Face" w:hAnsi="Baskerville Old Face" w:cs="Times New Roman"/>
          <w:sz w:val="24"/>
          <w:szCs w:val="24"/>
        </w:rPr>
        <w:t>1</w:t>
      </w:r>
      <w:r w:rsidR="004D7EC6" w:rsidRPr="00975391">
        <w:rPr>
          <w:rFonts w:ascii="Baskerville Old Face" w:hAnsi="Baskerville Old Face" w:cs="Times New Roman"/>
          <w:sz w:val="24"/>
          <w:szCs w:val="24"/>
        </w:rPr>
        <w:t>5</w:t>
      </w:r>
      <w:r w:rsidRPr="00076196">
        <w:rPr>
          <w:rFonts w:ascii="Baskerville Old Face" w:hAnsi="Baskerville Old Face" w:cs="Times New Roman"/>
          <w:sz w:val="24"/>
          <w:szCs w:val="24"/>
        </w:rPr>
        <w:t xml:space="preserve"> illustrates the tax audit liabilities</w:t>
      </w:r>
      <w:r w:rsidR="004272CF">
        <w:rPr>
          <w:rFonts w:ascii="Baskerville Old Face" w:hAnsi="Baskerville Old Face" w:cs="Times New Roman"/>
          <w:sz w:val="24"/>
          <w:szCs w:val="24"/>
        </w:rPr>
        <w:t xml:space="preserve"> of </w:t>
      </w:r>
      <w:r w:rsidR="005813A3">
        <w:rPr>
          <w:rFonts w:ascii="Baskerville Old Face" w:hAnsi="Baskerville Old Face" w:cs="Times New Roman"/>
          <w:sz w:val="24"/>
          <w:szCs w:val="24"/>
        </w:rPr>
        <w:t xml:space="preserve">the </w:t>
      </w:r>
      <w:r w:rsidR="00F04DC2">
        <w:rPr>
          <w:rFonts w:ascii="Baskerville Old Face" w:hAnsi="Baskerville Old Face" w:cs="Times New Roman"/>
          <w:sz w:val="24"/>
          <w:szCs w:val="24"/>
        </w:rPr>
        <w:t>Large Taxpayer Office (</w:t>
      </w:r>
      <w:r w:rsidR="004272CF">
        <w:rPr>
          <w:rFonts w:ascii="Baskerville Old Face" w:hAnsi="Baskerville Old Face" w:cs="Times New Roman"/>
          <w:sz w:val="24"/>
          <w:szCs w:val="24"/>
        </w:rPr>
        <w:t>LTO</w:t>
      </w:r>
      <w:r w:rsidR="00F04DC2">
        <w:rPr>
          <w:rFonts w:ascii="Baskerville Old Face" w:hAnsi="Baskerville Old Face" w:cs="Times New Roman"/>
          <w:sz w:val="24"/>
          <w:szCs w:val="24"/>
        </w:rPr>
        <w:t>)</w:t>
      </w:r>
      <w:r w:rsidR="004272CF">
        <w:rPr>
          <w:rFonts w:ascii="Baskerville Old Face" w:hAnsi="Baskerville Old Face" w:cs="Times New Roman"/>
          <w:sz w:val="24"/>
          <w:szCs w:val="24"/>
        </w:rPr>
        <w:t xml:space="preserve"> </w:t>
      </w:r>
      <w:proofErr w:type="spellStart"/>
      <w:r w:rsidRPr="00076196">
        <w:rPr>
          <w:rFonts w:ascii="Baskerville Old Face" w:hAnsi="Baskerville Old Face" w:cs="Times New Roman"/>
          <w:sz w:val="24"/>
          <w:szCs w:val="24"/>
        </w:rPr>
        <w:t>categori</w:t>
      </w:r>
      <w:r w:rsidR="00553A9C">
        <w:rPr>
          <w:rFonts w:ascii="Baskerville Old Face" w:hAnsi="Baskerville Old Face" w:cs="Times New Roman"/>
          <w:sz w:val="24"/>
          <w:szCs w:val="24"/>
        </w:rPr>
        <w:t>s</w:t>
      </w:r>
      <w:r w:rsidRPr="00076196">
        <w:rPr>
          <w:rFonts w:ascii="Baskerville Old Face" w:hAnsi="Baskerville Old Face" w:cs="Times New Roman"/>
          <w:sz w:val="24"/>
          <w:szCs w:val="24"/>
        </w:rPr>
        <w:t>ed</w:t>
      </w:r>
      <w:proofErr w:type="spellEnd"/>
      <w:r w:rsidRPr="00076196">
        <w:rPr>
          <w:rFonts w:ascii="Baskerville Old Face" w:hAnsi="Baskerville Old Face" w:cs="Times New Roman"/>
          <w:sz w:val="24"/>
          <w:szCs w:val="24"/>
        </w:rPr>
        <w:t xml:space="preserve"> by tax type, along with the number of audits conducted and taxpayers audited in 202</w:t>
      </w:r>
      <w:r w:rsidR="002E588F">
        <w:rPr>
          <w:rFonts w:ascii="Baskerville Old Face" w:hAnsi="Baskerville Old Face" w:cs="Times New Roman"/>
          <w:sz w:val="24"/>
          <w:szCs w:val="24"/>
        </w:rPr>
        <w:t>4</w:t>
      </w:r>
      <w:r w:rsidRPr="00076196">
        <w:rPr>
          <w:rFonts w:ascii="Baskerville Old Face" w:hAnsi="Baskerville Old Face" w:cs="Times New Roman"/>
          <w:sz w:val="24"/>
          <w:szCs w:val="24"/>
        </w:rPr>
        <w:t xml:space="preserve"> and 202</w:t>
      </w:r>
      <w:r w:rsidR="002E588F">
        <w:rPr>
          <w:rFonts w:ascii="Baskerville Old Face" w:hAnsi="Baskerville Old Face" w:cs="Times New Roman"/>
          <w:sz w:val="24"/>
          <w:szCs w:val="24"/>
        </w:rPr>
        <w:t>3</w:t>
      </w:r>
      <w:r w:rsidRPr="00076196">
        <w:rPr>
          <w:rFonts w:ascii="Baskerville Old Face" w:hAnsi="Baskerville Old Face" w:cs="Times New Roman"/>
          <w:sz w:val="24"/>
          <w:szCs w:val="24"/>
        </w:rPr>
        <w:t xml:space="preserve">. </w:t>
      </w:r>
      <w:bookmarkStart w:id="74" w:name="_Hlk195696262"/>
      <w:r w:rsidRPr="00076196">
        <w:rPr>
          <w:rFonts w:ascii="Baskerville Old Face" w:hAnsi="Baskerville Old Face" w:cs="Times New Roman"/>
          <w:sz w:val="24"/>
          <w:szCs w:val="24"/>
        </w:rPr>
        <w:t>In 202</w:t>
      </w:r>
      <w:r w:rsidR="002E588F">
        <w:rPr>
          <w:rFonts w:ascii="Baskerville Old Face" w:hAnsi="Baskerville Old Face" w:cs="Times New Roman"/>
          <w:sz w:val="24"/>
          <w:szCs w:val="24"/>
        </w:rPr>
        <w:t>4</w:t>
      </w:r>
      <w:r w:rsidRPr="00076196">
        <w:rPr>
          <w:rFonts w:ascii="Baskerville Old Face" w:hAnsi="Baskerville Old Face" w:cs="Times New Roman"/>
          <w:sz w:val="24"/>
          <w:szCs w:val="24"/>
        </w:rPr>
        <w:t xml:space="preserve">, a total of </w:t>
      </w:r>
      <w:r w:rsidR="002E588F">
        <w:rPr>
          <w:rFonts w:ascii="Baskerville Old Face" w:hAnsi="Baskerville Old Face" w:cs="Times New Roman"/>
          <w:sz w:val="24"/>
          <w:szCs w:val="24"/>
        </w:rPr>
        <w:t>120</w:t>
      </w:r>
      <w:r w:rsidRPr="00076196">
        <w:rPr>
          <w:rFonts w:ascii="Baskerville Old Face" w:hAnsi="Baskerville Old Face" w:cs="Times New Roman"/>
          <w:sz w:val="24"/>
          <w:szCs w:val="24"/>
        </w:rPr>
        <w:t xml:space="preserve"> audits were completed, involving </w:t>
      </w:r>
      <w:r w:rsidR="002E588F">
        <w:rPr>
          <w:rFonts w:ascii="Baskerville Old Face" w:hAnsi="Baskerville Old Face" w:cs="Times New Roman"/>
          <w:sz w:val="24"/>
          <w:szCs w:val="24"/>
        </w:rPr>
        <w:t>109</w:t>
      </w:r>
      <w:r w:rsidRPr="00076196">
        <w:rPr>
          <w:rFonts w:ascii="Baskerville Old Face" w:hAnsi="Baskerville Old Face" w:cs="Times New Roman"/>
          <w:sz w:val="24"/>
          <w:szCs w:val="24"/>
        </w:rPr>
        <w:t xml:space="preserve"> taxpayers, as opposed to </w:t>
      </w:r>
      <w:r w:rsidR="002E588F">
        <w:rPr>
          <w:rFonts w:ascii="Baskerville Old Face" w:hAnsi="Baskerville Old Face" w:cs="Times New Roman"/>
          <w:sz w:val="24"/>
          <w:szCs w:val="24"/>
        </w:rPr>
        <w:t>96</w:t>
      </w:r>
      <w:r w:rsidRPr="00076196">
        <w:rPr>
          <w:rFonts w:ascii="Baskerville Old Face" w:hAnsi="Baskerville Old Face" w:cs="Times New Roman"/>
          <w:sz w:val="24"/>
          <w:szCs w:val="24"/>
        </w:rPr>
        <w:t xml:space="preserve"> completed audits and </w:t>
      </w:r>
      <w:r w:rsidR="002E588F">
        <w:rPr>
          <w:rFonts w:ascii="Baskerville Old Face" w:hAnsi="Baskerville Old Face" w:cs="Times New Roman"/>
          <w:sz w:val="24"/>
          <w:szCs w:val="24"/>
        </w:rPr>
        <w:t>88</w:t>
      </w:r>
      <w:r w:rsidRPr="00076196">
        <w:rPr>
          <w:rFonts w:ascii="Baskerville Old Face" w:hAnsi="Baskerville Old Face" w:cs="Times New Roman"/>
          <w:sz w:val="24"/>
          <w:szCs w:val="24"/>
        </w:rPr>
        <w:t xml:space="preserve"> audited taxpayers in 202</w:t>
      </w:r>
      <w:r w:rsidR="002E588F">
        <w:rPr>
          <w:rFonts w:ascii="Baskerville Old Face" w:hAnsi="Baskerville Old Face" w:cs="Times New Roman"/>
          <w:sz w:val="24"/>
          <w:szCs w:val="24"/>
        </w:rPr>
        <w:t>3</w:t>
      </w:r>
      <w:r w:rsidRPr="00076196">
        <w:rPr>
          <w:rFonts w:ascii="Baskerville Old Face" w:hAnsi="Baskerville Old Face" w:cs="Times New Roman"/>
          <w:sz w:val="24"/>
          <w:szCs w:val="24"/>
        </w:rPr>
        <w:t>. The number of completed audits in 202</w:t>
      </w:r>
      <w:r w:rsidR="006D1FF9">
        <w:rPr>
          <w:rFonts w:ascii="Baskerville Old Face" w:hAnsi="Baskerville Old Face" w:cs="Times New Roman"/>
          <w:sz w:val="24"/>
          <w:szCs w:val="24"/>
        </w:rPr>
        <w:t>4</w:t>
      </w:r>
      <w:r w:rsidRPr="00076196">
        <w:rPr>
          <w:rFonts w:ascii="Baskerville Old Face" w:hAnsi="Baskerville Old Face" w:cs="Times New Roman"/>
          <w:sz w:val="24"/>
          <w:szCs w:val="24"/>
        </w:rPr>
        <w:t xml:space="preserve"> fell short of the targeted audits by </w:t>
      </w:r>
      <w:r w:rsidR="006D1FF9">
        <w:rPr>
          <w:rFonts w:ascii="Baskerville Old Face" w:hAnsi="Baskerville Old Face" w:cs="Times New Roman"/>
          <w:sz w:val="24"/>
          <w:szCs w:val="24"/>
        </w:rPr>
        <w:t>59</w:t>
      </w:r>
      <w:r w:rsidRPr="00076196">
        <w:rPr>
          <w:rFonts w:ascii="Baskerville Old Face" w:hAnsi="Baskerville Old Face" w:cs="Times New Roman"/>
          <w:sz w:val="24"/>
          <w:szCs w:val="24"/>
        </w:rPr>
        <w:t xml:space="preserve"> and </w:t>
      </w:r>
      <w:r w:rsidR="005813A3">
        <w:rPr>
          <w:rFonts w:ascii="Baskerville Old Face" w:hAnsi="Baskerville Old Face" w:cs="Times New Roman"/>
          <w:sz w:val="24"/>
          <w:szCs w:val="24"/>
        </w:rPr>
        <w:t>show</w:t>
      </w:r>
      <w:r w:rsidRPr="00076196">
        <w:rPr>
          <w:rFonts w:ascii="Baskerville Old Face" w:hAnsi="Baskerville Old Face" w:cs="Times New Roman"/>
          <w:sz w:val="24"/>
          <w:szCs w:val="24"/>
        </w:rPr>
        <w:t xml:space="preserve"> a decrease of </w:t>
      </w:r>
      <w:r w:rsidR="006D1FF9">
        <w:rPr>
          <w:rFonts w:ascii="Baskerville Old Face" w:hAnsi="Baskerville Old Face" w:cs="Times New Roman"/>
          <w:sz w:val="24"/>
          <w:szCs w:val="24"/>
        </w:rPr>
        <w:t>21</w:t>
      </w:r>
      <w:r w:rsidRPr="00076196">
        <w:rPr>
          <w:rFonts w:ascii="Baskerville Old Face" w:hAnsi="Baskerville Old Face" w:cs="Times New Roman"/>
          <w:sz w:val="24"/>
          <w:szCs w:val="24"/>
        </w:rPr>
        <w:t xml:space="preserve"> taxpayers audited compared to the previous year. The LTO Audit Unit identified a total combined tax liability of </w:t>
      </w:r>
      <w:proofErr w:type="spellStart"/>
      <w:r w:rsidRPr="00076196">
        <w:rPr>
          <w:rFonts w:ascii="Baskerville Old Face" w:hAnsi="Baskerville Old Face" w:cs="Times New Roman"/>
          <w:sz w:val="24"/>
          <w:szCs w:val="24"/>
        </w:rPr>
        <w:t>NLe</w:t>
      </w:r>
      <w:proofErr w:type="spellEnd"/>
      <w:r w:rsidRPr="00076196">
        <w:rPr>
          <w:rFonts w:ascii="Baskerville Old Face" w:hAnsi="Baskerville Old Face" w:cs="Times New Roman"/>
          <w:sz w:val="24"/>
          <w:szCs w:val="24"/>
        </w:rPr>
        <w:t xml:space="preserve"> 5</w:t>
      </w:r>
      <w:r w:rsidR="006D1FF9">
        <w:rPr>
          <w:rFonts w:ascii="Baskerville Old Face" w:hAnsi="Baskerville Old Face" w:cs="Times New Roman"/>
          <w:sz w:val="24"/>
          <w:szCs w:val="24"/>
        </w:rPr>
        <w:t>9</w:t>
      </w:r>
      <w:r w:rsidRPr="00076196">
        <w:rPr>
          <w:rFonts w:ascii="Baskerville Old Face" w:hAnsi="Baskerville Old Face" w:cs="Times New Roman"/>
          <w:sz w:val="24"/>
          <w:szCs w:val="24"/>
        </w:rPr>
        <w:t>.6</w:t>
      </w:r>
      <w:r w:rsidR="006D1FF9">
        <w:rPr>
          <w:rFonts w:ascii="Baskerville Old Face" w:hAnsi="Baskerville Old Face" w:cs="Times New Roman"/>
          <w:sz w:val="24"/>
          <w:szCs w:val="24"/>
        </w:rPr>
        <w:t>26</w:t>
      </w:r>
      <w:r w:rsidRPr="00076196">
        <w:rPr>
          <w:rFonts w:ascii="Baskerville Old Face" w:hAnsi="Baskerville Old Face" w:cs="Times New Roman"/>
          <w:sz w:val="24"/>
          <w:szCs w:val="24"/>
        </w:rPr>
        <w:t xml:space="preserve"> million for 202</w:t>
      </w:r>
      <w:r w:rsidR="006D1FF9">
        <w:rPr>
          <w:rFonts w:ascii="Baskerville Old Face" w:hAnsi="Baskerville Old Face" w:cs="Times New Roman"/>
          <w:sz w:val="24"/>
          <w:szCs w:val="24"/>
        </w:rPr>
        <w:t>4</w:t>
      </w:r>
      <w:r w:rsidRPr="00076196">
        <w:rPr>
          <w:rFonts w:ascii="Baskerville Old Face" w:hAnsi="Baskerville Old Face" w:cs="Times New Roman"/>
          <w:sz w:val="24"/>
          <w:szCs w:val="24"/>
        </w:rPr>
        <w:t xml:space="preserve">, in contrast to </w:t>
      </w:r>
      <w:proofErr w:type="spellStart"/>
      <w:r w:rsidRPr="00076196">
        <w:rPr>
          <w:rFonts w:ascii="Baskerville Old Face" w:hAnsi="Baskerville Old Face" w:cs="Times New Roman"/>
          <w:sz w:val="24"/>
          <w:szCs w:val="24"/>
        </w:rPr>
        <w:t>NLe</w:t>
      </w:r>
      <w:proofErr w:type="spellEnd"/>
      <w:r w:rsidRPr="00076196">
        <w:rPr>
          <w:rFonts w:ascii="Baskerville Old Face" w:hAnsi="Baskerville Old Face" w:cs="Times New Roman"/>
          <w:sz w:val="24"/>
          <w:szCs w:val="24"/>
        </w:rPr>
        <w:t xml:space="preserve"> </w:t>
      </w:r>
      <w:r w:rsidR="006D1FF9">
        <w:rPr>
          <w:rFonts w:ascii="Baskerville Old Face" w:hAnsi="Baskerville Old Face" w:cs="Times New Roman"/>
          <w:sz w:val="24"/>
          <w:szCs w:val="24"/>
        </w:rPr>
        <w:t>42.558</w:t>
      </w:r>
      <w:r w:rsidRPr="00076196">
        <w:rPr>
          <w:rFonts w:ascii="Baskerville Old Face" w:hAnsi="Baskerville Old Face" w:cs="Times New Roman"/>
          <w:sz w:val="24"/>
          <w:szCs w:val="24"/>
        </w:rPr>
        <w:t xml:space="preserve"> million recorded in 202</w:t>
      </w:r>
      <w:r w:rsidR="006D1FF9">
        <w:rPr>
          <w:rFonts w:ascii="Baskerville Old Face" w:hAnsi="Baskerville Old Face" w:cs="Times New Roman"/>
          <w:sz w:val="24"/>
          <w:szCs w:val="24"/>
        </w:rPr>
        <w:t>3 (excluding interest and penalty)</w:t>
      </w:r>
      <w:r w:rsidRPr="00076196">
        <w:rPr>
          <w:rFonts w:ascii="Baskerville Old Face" w:hAnsi="Baskerville Old Face" w:cs="Times New Roman"/>
          <w:sz w:val="24"/>
          <w:szCs w:val="24"/>
        </w:rPr>
        <w:t xml:space="preserve">. </w:t>
      </w:r>
      <w:bookmarkEnd w:id="74"/>
      <w:r w:rsidR="009174FE" w:rsidRPr="009174FE">
        <w:rPr>
          <w:rFonts w:ascii="Baskerville Old Face" w:hAnsi="Baskerville Old Face" w:cs="Times New Roman"/>
          <w:sz w:val="24"/>
          <w:szCs w:val="24"/>
        </w:rPr>
        <w:t xml:space="preserve">In 2024, GST accounted for the highest tax amount, followed by withholding tax and PAYE. In contrast, in 2023, GST also topped the </w:t>
      </w:r>
      <w:r w:rsidR="004272CF" w:rsidRPr="009174FE">
        <w:rPr>
          <w:rFonts w:ascii="Baskerville Old Face" w:hAnsi="Baskerville Old Face" w:cs="Times New Roman"/>
          <w:sz w:val="24"/>
          <w:szCs w:val="24"/>
        </w:rPr>
        <w:t>list but</w:t>
      </w:r>
      <w:r w:rsidR="009174FE" w:rsidRPr="009174FE">
        <w:rPr>
          <w:rFonts w:ascii="Baskerville Old Face" w:hAnsi="Baskerville Old Face" w:cs="Times New Roman"/>
          <w:sz w:val="24"/>
          <w:szCs w:val="24"/>
        </w:rPr>
        <w:t xml:space="preserve"> was followed by corporation tax.</w:t>
      </w:r>
    </w:p>
    <w:p w14:paraId="10C0E8E7" w14:textId="0DC09BFC" w:rsidR="0071721B" w:rsidRPr="002465E3" w:rsidRDefault="0071721B" w:rsidP="0071721B">
      <w:pPr>
        <w:pStyle w:val="Caption"/>
        <w:keepNext/>
        <w:rPr>
          <w:rFonts w:ascii="Baskerville Old Face" w:hAnsi="Baskerville Old Face"/>
          <w:b/>
          <w:bCs/>
          <w:sz w:val="24"/>
          <w:szCs w:val="24"/>
        </w:rPr>
      </w:pPr>
      <w:bookmarkStart w:id="75" w:name="_Toc198044033"/>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15</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xml:space="preserve">: LTO Tax Audit Liability 2024 and 2023 in </w:t>
      </w:r>
      <w:proofErr w:type="spellStart"/>
      <w:r w:rsidRPr="002465E3">
        <w:rPr>
          <w:rFonts w:ascii="Baskerville Old Face" w:hAnsi="Baskerville Old Face"/>
          <w:b/>
          <w:bCs/>
          <w:sz w:val="24"/>
          <w:szCs w:val="24"/>
        </w:rPr>
        <w:t>NLe</w:t>
      </w:r>
      <w:bookmarkEnd w:id="75"/>
      <w:proofErr w:type="spellEnd"/>
    </w:p>
    <w:tbl>
      <w:tblPr>
        <w:tblStyle w:val="GridTable4-Accent1"/>
        <w:tblW w:w="9355" w:type="dxa"/>
        <w:tblLook w:val="04A0" w:firstRow="1" w:lastRow="0" w:firstColumn="1" w:lastColumn="0" w:noHBand="0" w:noVBand="1"/>
      </w:tblPr>
      <w:tblGrid>
        <w:gridCol w:w="5125"/>
        <w:gridCol w:w="2070"/>
        <w:gridCol w:w="2160"/>
      </w:tblGrid>
      <w:tr w:rsidR="002D559B" w:rsidRPr="002D559B" w14:paraId="72177ED2" w14:textId="77777777" w:rsidTr="002D55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4C780771" w14:textId="17A8B546" w:rsidR="002D559B" w:rsidRPr="002D559B" w:rsidRDefault="002D559B" w:rsidP="002D559B">
            <w:pPr>
              <w:jc w:val="both"/>
              <w:rPr>
                <w:rFonts w:ascii="Baskerville Old Face" w:hAnsi="Baskerville Old Face" w:cs="Times New Roman"/>
              </w:rPr>
            </w:pPr>
            <w:r w:rsidRPr="00B65276">
              <w:rPr>
                <w:rFonts w:ascii="Baskerville Old Face" w:hAnsi="Baskerville Old Face" w:cs="Times New Roman"/>
                <w:color w:val="auto"/>
              </w:rPr>
              <w:t>LTO Audit Liability</w:t>
            </w:r>
          </w:p>
        </w:tc>
        <w:tc>
          <w:tcPr>
            <w:tcW w:w="2070" w:type="dxa"/>
            <w:noWrap/>
            <w:hideMark/>
          </w:tcPr>
          <w:p w14:paraId="33C2687F" w14:textId="77777777" w:rsidR="002D559B" w:rsidRPr="002D559B" w:rsidRDefault="002D559B" w:rsidP="002D559B">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2D559B">
              <w:rPr>
                <w:rFonts w:ascii="Baskerville Old Face" w:hAnsi="Baskerville Old Face" w:cs="Times New Roman"/>
                <w:color w:val="auto"/>
              </w:rPr>
              <w:t>2024</w:t>
            </w:r>
          </w:p>
        </w:tc>
        <w:tc>
          <w:tcPr>
            <w:tcW w:w="2160" w:type="dxa"/>
            <w:noWrap/>
            <w:hideMark/>
          </w:tcPr>
          <w:p w14:paraId="442F9FEF" w14:textId="77777777" w:rsidR="002D559B" w:rsidRPr="002D559B" w:rsidRDefault="002D559B" w:rsidP="002D559B">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2D559B">
              <w:rPr>
                <w:rFonts w:ascii="Baskerville Old Face" w:hAnsi="Baskerville Old Face" w:cs="Times New Roman"/>
                <w:color w:val="auto"/>
              </w:rPr>
              <w:t>2023</w:t>
            </w:r>
          </w:p>
        </w:tc>
      </w:tr>
      <w:tr w:rsidR="002D559B" w:rsidRPr="002D559B" w14:paraId="08FB4E08"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0A6926D1"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Corporation Tax</w:t>
            </w:r>
          </w:p>
        </w:tc>
        <w:tc>
          <w:tcPr>
            <w:tcW w:w="2070" w:type="dxa"/>
            <w:noWrap/>
            <w:hideMark/>
          </w:tcPr>
          <w:p w14:paraId="7F02E262" w14:textId="13BB75F3"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7,141,512</w:t>
            </w:r>
          </w:p>
        </w:tc>
        <w:tc>
          <w:tcPr>
            <w:tcW w:w="2160" w:type="dxa"/>
            <w:noWrap/>
            <w:hideMark/>
          </w:tcPr>
          <w:p w14:paraId="2CB3CE3A" w14:textId="785A3BB1"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14,551,735</w:t>
            </w:r>
          </w:p>
        </w:tc>
      </w:tr>
      <w:tr w:rsidR="002D559B" w:rsidRPr="002D559B" w14:paraId="7CD82AEE"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2BED3CE8"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Personal Income Tax</w:t>
            </w:r>
          </w:p>
        </w:tc>
        <w:tc>
          <w:tcPr>
            <w:tcW w:w="2070" w:type="dxa"/>
            <w:noWrap/>
            <w:hideMark/>
          </w:tcPr>
          <w:p w14:paraId="47466C5E" w14:textId="75FB3C4D"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214,182</w:t>
            </w:r>
          </w:p>
        </w:tc>
        <w:tc>
          <w:tcPr>
            <w:tcW w:w="2160" w:type="dxa"/>
            <w:noWrap/>
            <w:hideMark/>
          </w:tcPr>
          <w:p w14:paraId="73B8350D" w14:textId="755618B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545,438</w:t>
            </w:r>
          </w:p>
        </w:tc>
      </w:tr>
      <w:tr w:rsidR="002D559B" w:rsidRPr="002D559B" w14:paraId="0C08D401"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0BF3EC5E"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Withholding Tax</w:t>
            </w:r>
          </w:p>
        </w:tc>
        <w:tc>
          <w:tcPr>
            <w:tcW w:w="2070" w:type="dxa"/>
            <w:noWrap/>
            <w:hideMark/>
          </w:tcPr>
          <w:p w14:paraId="27BF8806" w14:textId="0F6BD3B4"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17,166,494</w:t>
            </w:r>
          </w:p>
        </w:tc>
        <w:tc>
          <w:tcPr>
            <w:tcW w:w="2160" w:type="dxa"/>
            <w:noWrap/>
            <w:hideMark/>
          </w:tcPr>
          <w:p w14:paraId="79D218A8" w14:textId="00CE65F9"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8,546,000</w:t>
            </w:r>
          </w:p>
        </w:tc>
      </w:tr>
      <w:tr w:rsidR="002D559B" w:rsidRPr="002D559B" w14:paraId="7C1D6A16"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49B9DE4A"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PAYE</w:t>
            </w:r>
          </w:p>
        </w:tc>
        <w:tc>
          <w:tcPr>
            <w:tcW w:w="2070" w:type="dxa"/>
            <w:noWrap/>
            <w:hideMark/>
          </w:tcPr>
          <w:p w14:paraId="7A919200" w14:textId="456F11E1"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14,909,676</w:t>
            </w:r>
          </w:p>
        </w:tc>
        <w:tc>
          <w:tcPr>
            <w:tcW w:w="2160" w:type="dxa"/>
            <w:noWrap/>
            <w:hideMark/>
          </w:tcPr>
          <w:p w14:paraId="3D9AF107" w14:textId="15D8269D"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3,886,594</w:t>
            </w:r>
          </w:p>
        </w:tc>
      </w:tr>
      <w:tr w:rsidR="002D559B" w:rsidRPr="002D559B" w14:paraId="41B071BB"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0F7BD850"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Payroll Tax</w:t>
            </w:r>
          </w:p>
        </w:tc>
        <w:tc>
          <w:tcPr>
            <w:tcW w:w="2070" w:type="dxa"/>
            <w:noWrap/>
            <w:hideMark/>
          </w:tcPr>
          <w:p w14:paraId="1D263487" w14:textId="6E754691"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208,500</w:t>
            </w:r>
          </w:p>
        </w:tc>
        <w:tc>
          <w:tcPr>
            <w:tcW w:w="2160" w:type="dxa"/>
            <w:noWrap/>
            <w:hideMark/>
          </w:tcPr>
          <w:p w14:paraId="5DB9F31C" w14:textId="2604DEAE"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220,000</w:t>
            </w:r>
          </w:p>
        </w:tc>
      </w:tr>
      <w:tr w:rsidR="002D559B" w:rsidRPr="002D559B" w14:paraId="7A27366F"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2907F6BD"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GST</w:t>
            </w:r>
          </w:p>
        </w:tc>
        <w:tc>
          <w:tcPr>
            <w:tcW w:w="2070" w:type="dxa"/>
            <w:noWrap/>
            <w:hideMark/>
          </w:tcPr>
          <w:p w14:paraId="31918867" w14:textId="4E144534"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19,985,608</w:t>
            </w:r>
          </w:p>
        </w:tc>
        <w:tc>
          <w:tcPr>
            <w:tcW w:w="2160" w:type="dxa"/>
            <w:noWrap/>
            <w:hideMark/>
          </w:tcPr>
          <w:p w14:paraId="372AA5CB" w14:textId="41E43838"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14,807,931</w:t>
            </w:r>
          </w:p>
        </w:tc>
      </w:tr>
      <w:tr w:rsidR="002D559B" w:rsidRPr="002D559B" w14:paraId="41CC8A92"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4D602A6C" w14:textId="77777777" w:rsidR="002D559B" w:rsidRPr="002D559B" w:rsidRDefault="002D559B" w:rsidP="002D559B">
            <w:pPr>
              <w:jc w:val="both"/>
              <w:rPr>
                <w:rFonts w:ascii="Baskerville Old Face" w:hAnsi="Baskerville Old Face" w:cs="Times New Roman"/>
              </w:rPr>
            </w:pPr>
            <w:r w:rsidRPr="002D559B">
              <w:rPr>
                <w:rFonts w:ascii="Baskerville Old Face" w:hAnsi="Baskerville Old Face" w:cs="Times New Roman"/>
              </w:rPr>
              <w:t xml:space="preserve">TOTAL </w:t>
            </w:r>
          </w:p>
        </w:tc>
        <w:tc>
          <w:tcPr>
            <w:tcW w:w="2070" w:type="dxa"/>
            <w:noWrap/>
            <w:hideMark/>
          </w:tcPr>
          <w:p w14:paraId="7D4852DD" w14:textId="189EB0BC"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2D559B">
              <w:rPr>
                <w:rFonts w:ascii="Baskerville Old Face" w:hAnsi="Baskerville Old Face" w:cs="Times New Roman"/>
                <w:b/>
                <w:bCs/>
              </w:rPr>
              <w:t>59,625,972</w:t>
            </w:r>
          </w:p>
        </w:tc>
        <w:tc>
          <w:tcPr>
            <w:tcW w:w="2160" w:type="dxa"/>
            <w:noWrap/>
            <w:hideMark/>
          </w:tcPr>
          <w:p w14:paraId="5A9FDC1F" w14:textId="5815A00C"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2D559B">
              <w:rPr>
                <w:rFonts w:ascii="Baskerville Old Face" w:hAnsi="Baskerville Old Face" w:cs="Times New Roman"/>
                <w:b/>
                <w:bCs/>
              </w:rPr>
              <w:t>42,557,698</w:t>
            </w:r>
          </w:p>
        </w:tc>
      </w:tr>
      <w:tr w:rsidR="002D559B" w:rsidRPr="002D559B" w14:paraId="57708BE7"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5EECDFCC"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 xml:space="preserve">No. of taxpayers </w:t>
            </w:r>
          </w:p>
        </w:tc>
        <w:tc>
          <w:tcPr>
            <w:tcW w:w="2070" w:type="dxa"/>
            <w:noWrap/>
            <w:hideMark/>
          </w:tcPr>
          <w:p w14:paraId="4052905E" w14:textId="1D84146D"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109</w:t>
            </w:r>
          </w:p>
        </w:tc>
        <w:tc>
          <w:tcPr>
            <w:tcW w:w="2160" w:type="dxa"/>
            <w:noWrap/>
            <w:hideMark/>
          </w:tcPr>
          <w:p w14:paraId="3A793845" w14:textId="7777777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88</w:t>
            </w:r>
          </w:p>
        </w:tc>
      </w:tr>
      <w:tr w:rsidR="002D559B" w:rsidRPr="002D559B" w14:paraId="246B12DE"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13B3F8C8" w14:textId="77777777" w:rsidR="002D559B" w:rsidRPr="002D559B" w:rsidRDefault="002D559B" w:rsidP="002D559B">
            <w:pPr>
              <w:jc w:val="both"/>
              <w:rPr>
                <w:rFonts w:ascii="Baskerville Old Face" w:hAnsi="Baskerville Old Face" w:cs="Times New Roman"/>
                <w:b w:val="0"/>
                <w:bCs w:val="0"/>
              </w:rPr>
            </w:pPr>
            <w:r w:rsidRPr="002D559B">
              <w:rPr>
                <w:rFonts w:ascii="Baskerville Old Face" w:hAnsi="Baskerville Old Face" w:cs="Times New Roman"/>
                <w:b w:val="0"/>
                <w:bCs w:val="0"/>
              </w:rPr>
              <w:t xml:space="preserve">No. of completed audits </w:t>
            </w:r>
          </w:p>
        </w:tc>
        <w:tc>
          <w:tcPr>
            <w:tcW w:w="2070" w:type="dxa"/>
            <w:noWrap/>
            <w:hideMark/>
          </w:tcPr>
          <w:p w14:paraId="7A5BDEA7" w14:textId="5EBD2B55"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120</w:t>
            </w:r>
          </w:p>
        </w:tc>
        <w:tc>
          <w:tcPr>
            <w:tcW w:w="2160" w:type="dxa"/>
            <w:noWrap/>
            <w:hideMark/>
          </w:tcPr>
          <w:p w14:paraId="3179B03E" w14:textId="77777777"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2D559B">
              <w:rPr>
                <w:rFonts w:ascii="Baskerville Old Face" w:hAnsi="Baskerville Old Face" w:cs="Times New Roman"/>
              </w:rPr>
              <w:t>96</w:t>
            </w:r>
          </w:p>
        </w:tc>
      </w:tr>
    </w:tbl>
    <w:p w14:paraId="4C914197" w14:textId="5EF60E34" w:rsidR="00076196" w:rsidRPr="00BD27B1" w:rsidRDefault="00076196" w:rsidP="0007619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LTO, </w:t>
      </w:r>
      <w:r w:rsidRPr="00BD27B1">
        <w:rPr>
          <w:rFonts w:ascii="Baskerville Old Face" w:hAnsi="Baskerville Old Face" w:cs="Times New Roman"/>
          <w:i/>
          <w:iCs/>
          <w:sz w:val="20"/>
          <w:szCs w:val="20"/>
        </w:rPr>
        <w:t>DTD</w:t>
      </w:r>
    </w:p>
    <w:p w14:paraId="463C0037" w14:textId="048E6F2A" w:rsidR="0003123A" w:rsidRPr="00520DD2" w:rsidRDefault="00520DD2" w:rsidP="00C03BAC">
      <w:pPr>
        <w:pStyle w:val="Heading3"/>
        <w:rPr>
          <w:rFonts w:ascii="Baskerville Old Face" w:hAnsi="Baskerville Old Face"/>
          <w:b/>
          <w:bCs/>
        </w:rPr>
      </w:pPr>
      <w:bookmarkStart w:id="76" w:name="_Toc198043940"/>
      <w:r w:rsidRPr="00520DD2">
        <w:rPr>
          <w:rFonts w:ascii="Baskerville Old Face" w:hAnsi="Baskerville Old Face"/>
          <w:b/>
          <w:bCs/>
        </w:rPr>
        <w:t xml:space="preserve">4.3.2 </w:t>
      </w:r>
      <w:r w:rsidR="00975391" w:rsidRPr="00520DD2">
        <w:rPr>
          <w:rFonts w:ascii="Baskerville Old Face" w:hAnsi="Baskerville Old Face"/>
          <w:b/>
          <w:bCs/>
        </w:rPr>
        <w:t>S</w:t>
      </w:r>
      <w:r w:rsidR="0003123A" w:rsidRPr="00520DD2">
        <w:rPr>
          <w:rFonts w:ascii="Baskerville Old Face" w:hAnsi="Baskerville Old Face"/>
          <w:b/>
          <w:bCs/>
        </w:rPr>
        <w:t xml:space="preserve">MTO Completed Tax Audit </w:t>
      </w:r>
      <w:r w:rsidR="00C917BD" w:rsidRPr="00520DD2">
        <w:rPr>
          <w:rFonts w:ascii="Baskerville Old Face" w:hAnsi="Baskerville Old Face"/>
          <w:b/>
          <w:bCs/>
        </w:rPr>
        <w:t>and Liability</w:t>
      </w:r>
      <w:r w:rsidR="004272CF" w:rsidRPr="00520DD2">
        <w:rPr>
          <w:rFonts w:ascii="Baskerville Old Face" w:hAnsi="Baskerville Old Face"/>
          <w:b/>
          <w:bCs/>
        </w:rPr>
        <w:t>,</w:t>
      </w:r>
      <w:r w:rsidR="00C917BD" w:rsidRPr="00520DD2">
        <w:rPr>
          <w:rFonts w:ascii="Baskerville Old Face" w:hAnsi="Baskerville Old Face"/>
          <w:b/>
          <w:bCs/>
        </w:rPr>
        <w:t xml:space="preserve"> </w:t>
      </w:r>
      <w:r w:rsidR="0003123A" w:rsidRPr="00520DD2">
        <w:rPr>
          <w:rFonts w:ascii="Baskerville Old Face" w:hAnsi="Baskerville Old Face"/>
          <w:b/>
          <w:bCs/>
        </w:rPr>
        <w:t>202</w:t>
      </w:r>
      <w:r w:rsidR="008004D5" w:rsidRPr="00520DD2">
        <w:rPr>
          <w:rFonts w:ascii="Baskerville Old Face" w:hAnsi="Baskerville Old Face"/>
          <w:b/>
          <w:bCs/>
        </w:rPr>
        <w:t>4</w:t>
      </w:r>
      <w:r w:rsidR="0003123A" w:rsidRPr="00520DD2">
        <w:rPr>
          <w:rFonts w:ascii="Baskerville Old Face" w:hAnsi="Baskerville Old Face"/>
          <w:b/>
          <w:bCs/>
        </w:rPr>
        <w:t xml:space="preserve"> and 202</w:t>
      </w:r>
      <w:r w:rsidR="008004D5" w:rsidRPr="00520DD2">
        <w:rPr>
          <w:rFonts w:ascii="Baskerville Old Face" w:hAnsi="Baskerville Old Face"/>
          <w:b/>
          <w:bCs/>
        </w:rPr>
        <w:t>3</w:t>
      </w:r>
      <w:bookmarkEnd w:id="76"/>
    </w:p>
    <w:bookmarkEnd w:id="73"/>
    <w:p w14:paraId="6ED5F42E" w14:textId="265F7992" w:rsidR="00551C06" w:rsidRPr="00551C06" w:rsidRDefault="00B34CEE" w:rsidP="003E0000">
      <w:pPr>
        <w:spacing w:line="276" w:lineRule="auto"/>
        <w:jc w:val="both"/>
        <w:rPr>
          <w:rFonts w:ascii="Baskerville Old Face" w:hAnsi="Baskerville Old Face" w:cs="Times New Roman"/>
          <w:sz w:val="24"/>
          <w:szCs w:val="24"/>
        </w:rPr>
      </w:pPr>
      <w:r w:rsidRPr="00975391">
        <w:rPr>
          <w:rFonts w:ascii="Baskerville Old Face" w:hAnsi="Baskerville Old Face" w:cs="Times New Roman"/>
          <w:sz w:val="24"/>
          <w:szCs w:val="24"/>
        </w:rPr>
        <w:t xml:space="preserve">Table </w:t>
      </w:r>
      <w:r w:rsidR="008F3E3F" w:rsidRPr="00975391">
        <w:rPr>
          <w:rFonts w:ascii="Baskerville Old Face" w:hAnsi="Baskerville Old Face" w:cs="Times New Roman"/>
          <w:sz w:val="24"/>
          <w:szCs w:val="24"/>
        </w:rPr>
        <w:t>1</w:t>
      </w:r>
      <w:r w:rsidR="004C6042">
        <w:rPr>
          <w:rFonts w:ascii="Baskerville Old Face" w:hAnsi="Baskerville Old Face" w:cs="Times New Roman"/>
          <w:sz w:val="24"/>
          <w:szCs w:val="24"/>
        </w:rPr>
        <w:t>6</w:t>
      </w:r>
      <w:r w:rsidRPr="00B34CEE">
        <w:rPr>
          <w:rFonts w:ascii="Baskerville Old Face" w:hAnsi="Baskerville Old Face" w:cs="Times New Roman"/>
          <w:sz w:val="24"/>
          <w:szCs w:val="24"/>
        </w:rPr>
        <w:t xml:space="preserve"> displays the tax audit liability </w:t>
      </w:r>
      <w:r w:rsidR="004272CF">
        <w:rPr>
          <w:rFonts w:ascii="Baskerville Old Face" w:hAnsi="Baskerville Old Face" w:cs="Times New Roman"/>
          <w:sz w:val="24"/>
          <w:szCs w:val="24"/>
        </w:rPr>
        <w:t xml:space="preserve">of </w:t>
      </w:r>
      <w:r w:rsidR="005813A3">
        <w:rPr>
          <w:rFonts w:ascii="Baskerville Old Face" w:hAnsi="Baskerville Old Face" w:cs="Times New Roman"/>
          <w:sz w:val="24"/>
          <w:szCs w:val="24"/>
        </w:rPr>
        <w:t xml:space="preserve">the </w:t>
      </w:r>
      <w:r w:rsidR="0019371E">
        <w:rPr>
          <w:rFonts w:ascii="Baskerville Old Face" w:hAnsi="Baskerville Old Face" w:cs="Times New Roman"/>
          <w:sz w:val="24"/>
          <w:szCs w:val="24"/>
        </w:rPr>
        <w:t>Small and Medium Taxpayer Office (</w:t>
      </w:r>
      <w:r w:rsidR="004272CF">
        <w:rPr>
          <w:rFonts w:ascii="Baskerville Old Face" w:hAnsi="Baskerville Old Face" w:cs="Times New Roman"/>
          <w:sz w:val="24"/>
          <w:szCs w:val="24"/>
        </w:rPr>
        <w:t>SMTO</w:t>
      </w:r>
      <w:r w:rsidR="0019371E">
        <w:rPr>
          <w:rFonts w:ascii="Baskerville Old Face" w:hAnsi="Baskerville Old Face" w:cs="Times New Roman"/>
          <w:sz w:val="24"/>
          <w:szCs w:val="24"/>
        </w:rPr>
        <w:t>)</w:t>
      </w:r>
      <w:r w:rsidR="004272CF">
        <w:rPr>
          <w:rFonts w:ascii="Baskerville Old Face" w:hAnsi="Baskerville Old Face" w:cs="Times New Roman"/>
          <w:sz w:val="24"/>
          <w:szCs w:val="24"/>
        </w:rPr>
        <w:t xml:space="preserve"> </w:t>
      </w:r>
      <w:r w:rsidRPr="00B34CEE">
        <w:rPr>
          <w:rFonts w:ascii="Baskerville Old Face" w:hAnsi="Baskerville Old Face" w:cs="Times New Roman"/>
          <w:sz w:val="24"/>
          <w:szCs w:val="24"/>
        </w:rPr>
        <w:t>by tax category, alongside the number of audits conducted and taxpayers audited in 202</w:t>
      </w:r>
      <w:r w:rsidR="008004D5">
        <w:rPr>
          <w:rFonts w:ascii="Baskerville Old Face" w:hAnsi="Baskerville Old Face" w:cs="Times New Roman"/>
          <w:sz w:val="24"/>
          <w:szCs w:val="24"/>
        </w:rPr>
        <w:t>4</w:t>
      </w:r>
      <w:r w:rsidRPr="00B34CEE">
        <w:rPr>
          <w:rFonts w:ascii="Baskerville Old Face" w:hAnsi="Baskerville Old Face" w:cs="Times New Roman"/>
          <w:sz w:val="24"/>
          <w:szCs w:val="24"/>
        </w:rPr>
        <w:t xml:space="preserve"> and 202</w:t>
      </w:r>
      <w:r w:rsidR="008004D5">
        <w:rPr>
          <w:rFonts w:ascii="Baskerville Old Face" w:hAnsi="Baskerville Old Face" w:cs="Times New Roman"/>
          <w:sz w:val="24"/>
          <w:szCs w:val="24"/>
        </w:rPr>
        <w:t>3</w:t>
      </w:r>
      <w:r w:rsidRPr="00B34CEE">
        <w:rPr>
          <w:rFonts w:ascii="Baskerville Old Face" w:hAnsi="Baskerville Old Face" w:cs="Times New Roman"/>
          <w:sz w:val="24"/>
          <w:szCs w:val="24"/>
        </w:rPr>
        <w:t>. In 202</w:t>
      </w:r>
      <w:r w:rsidR="008004D5">
        <w:rPr>
          <w:rFonts w:ascii="Baskerville Old Face" w:hAnsi="Baskerville Old Face" w:cs="Times New Roman"/>
          <w:sz w:val="24"/>
          <w:szCs w:val="24"/>
        </w:rPr>
        <w:t>4</w:t>
      </w:r>
      <w:r w:rsidRPr="00B34CEE">
        <w:rPr>
          <w:rFonts w:ascii="Baskerville Old Face" w:hAnsi="Baskerville Old Face" w:cs="Times New Roman"/>
          <w:sz w:val="24"/>
          <w:szCs w:val="24"/>
        </w:rPr>
        <w:t xml:space="preserve">, there were a total of </w:t>
      </w:r>
      <w:r w:rsidR="008004D5">
        <w:rPr>
          <w:rFonts w:ascii="Baskerville Old Face" w:hAnsi="Baskerville Old Face" w:cs="Times New Roman"/>
          <w:sz w:val="24"/>
          <w:szCs w:val="24"/>
        </w:rPr>
        <w:t>69</w:t>
      </w:r>
      <w:r w:rsidRPr="00B34CEE">
        <w:rPr>
          <w:rFonts w:ascii="Baskerville Old Face" w:hAnsi="Baskerville Old Face" w:cs="Times New Roman"/>
          <w:sz w:val="24"/>
          <w:szCs w:val="24"/>
        </w:rPr>
        <w:t xml:space="preserve"> completed audits involving </w:t>
      </w:r>
      <w:r w:rsidR="008004D5">
        <w:rPr>
          <w:rFonts w:ascii="Baskerville Old Face" w:hAnsi="Baskerville Old Face" w:cs="Times New Roman"/>
          <w:sz w:val="24"/>
          <w:szCs w:val="24"/>
        </w:rPr>
        <w:t>68</w:t>
      </w:r>
      <w:r w:rsidRPr="00B34CEE">
        <w:rPr>
          <w:rFonts w:ascii="Baskerville Old Face" w:hAnsi="Baskerville Old Face" w:cs="Times New Roman"/>
          <w:sz w:val="24"/>
          <w:szCs w:val="24"/>
        </w:rPr>
        <w:t xml:space="preserve"> taxpayers, whereas in 202</w:t>
      </w:r>
      <w:r w:rsidR="008004D5">
        <w:rPr>
          <w:rFonts w:ascii="Baskerville Old Face" w:hAnsi="Baskerville Old Face" w:cs="Times New Roman"/>
          <w:sz w:val="24"/>
          <w:szCs w:val="24"/>
        </w:rPr>
        <w:t>3</w:t>
      </w:r>
      <w:r w:rsidRPr="00B34CEE">
        <w:rPr>
          <w:rFonts w:ascii="Baskerville Old Face" w:hAnsi="Baskerville Old Face" w:cs="Times New Roman"/>
          <w:sz w:val="24"/>
          <w:szCs w:val="24"/>
        </w:rPr>
        <w:t xml:space="preserve">, there were </w:t>
      </w:r>
      <w:r w:rsidR="008004D5">
        <w:rPr>
          <w:rFonts w:ascii="Baskerville Old Face" w:hAnsi="Baskerville Old Face" w:cs="Times New Roman"/>
          <w:sz w:val="24"/>
          <w:szCs w:val="24"/>
        </w:rPr>
        <w:t>124</w:t>
      </w:r>
      <w:r w:rsidRPr="00B34CEE">
        <w:rPr>
          <w:rFonts w:ascii="Baskerville Old Face" w:hAnsi="Baskerville Old Face" w:cs="Times New Roman"/>
          <w:sz w:val="24"/>
          <w:szCs w:val="24"/>
        </w:rPr>
        <w:t xml:space="preserve"> audits </w:t>
      </w:r>
      <w:proofErr w:type="spellStart"/>
      <w:r w:rsidRPr="00B34CEE">
        <w:rPr>
          <w:rFonts w:ascii="Baskerville Old Face" w:hAnsi="Baskerville Old Face" w:cs="Times New Roman"/>
          <w:sz w:val="24"/>
          <w:szCs w:val="24"/>
        </w:rPr>
        <w:t>finali</w:t>
      </w:r>
      <w:r w:rsidR="008004D5">
        <w:rPr>
          <w:rFonts w:ascii="Baskerville Old Face" w:hAnsi="Baskerville Old Face" w:cs="Times New Roman"/>
          <w:sz w:val="24"/>
          <w:szCs w:val="24"/>
        </w:rPr>
        <w:t>s</w:t>
      </w:r>
      <w:r w:rsidRPr="00B34CEE">
        <w:rPr>
          <w:rFonts w:ascii="Baskerville Old Face" w:hAnsi="Baskerville Old Face" w:cs="Times New Roman"/>
          <w:sz w:val="24"/>
          <w:szCs w:val="24"/>
        </w:rPr>
        <w:t>ed</w:t>
      </w:r>
      <w:proofErr w:type="spellEnd"/>
      <w:r w:rsidRPr="00B34CEE">
        <w:rPr>
          <w:rFonts w:ascii="Baskerville Old Face" w:hAnsi="Baskerville Old Face" w:cs="Times New Roman"/>
          <w:sz w:val="24"/>
          <w:szCs w:val="24"/>
        </w:rPr>
        <w:t xml:space="preserve">, involving </w:t>
      </w:r>
      <w:r w:rsidR="008004D5">
        <w:rPr>
          <w:rFonts w:ascii="Baskerville Old Face" w:hAnsi="Baskerville Old Face" w:cs="Times New Roman"/>
          <w:sz w:val="24"/>
          <w:szCs w:val="24"/>
        </w:rPr>
        <w:t>111</w:t>
      </w:r>
      <w:r w:rsidRPr="00B34CEE">
        <w:rPr>
          <w:rFonts w:ascii="Baskerville Old Face" w:hAnsi="Baskerville Old Face" w:cs="Times New Roman"/>
          <w:sz w:val="24"/>
          <w:szCs w:val="24"/>
        </w:rPr>
        <w:t xml:space="preserve"> taxpayers. The completed audits in 202</w:t>
      </w:r>
      <w:r w:rsidR="008004D5">
        <w:rPr>
          <w:rFonts w:ascii="Baskerville Old Face" w:hAnsi="Baskerville Old Face" w:cs="Times New Roman"/>
          <w:sz w:val="24"/>
          <w:szCs w:val="24"/>
        </w:rPr>
        <w:t>4</w:t>
      </w:r>
      <w:r w:rsidRPr="00B34CEE">
        <w:rPr>
          <w:rFonts w:ascii="Baskerville Old Face" w:hAnsi="Baskerville Old Face" w:cs="Times New Roman"/>
          <w:sz w:val="24"/>
          <w:szCs w:val="24"/>
        </w:rPr>
        <w:t xml:space="preserve"> fell short of the targeted audits by 2</w:t>
      </w:r>
      <w:r w:rsidR="008004D5">
        <w:rPr>
          <w:rFonts w:ascii="Baskerville Old Face" w:hAnsi="Baskerville Old Face" w:cs="Times New Roman"/>
          <w:sz w:val="24"/>
          <w:szCs w:val="24"/>
        </w:rPr>
        <w:t>91</w:t>
      </w:r>
      <w:r w:rsidRPr="00B34CEE">
        <w:rPr>
          <w:rFonts w:ascii="Baskerville Old Face" w:hAnsi="Baskerville Old Face" w:cs="Times New Roman"/>
          <w:sz w:val="24"/>
          <w:szCs w:val="24"/>
        </w:rPr>
        <w:t xml:space="preserve"> and shows a decrease of </w:t>
      </w:r>
      <w:r w:rsidR="008004D5">
        <w:rPr>
          <w:rFonts w:ascii="Baskerville Old Face" w:hAnsi="Baskerville Old Face" w:cs="Times New Roman"/>
          <w:sz w:val="24"/>
          <w:szCs w:val="24"/>
        </w:rPr>
        <w:t>43</w:t>
      </w:r>
      <w:r w:rsidRPr="00B34CEE">
        <w:rPr>
          <w:rFonts w:ascii="Baskerville Old Face" w:hAnsi="Baskerville Old Face" w:cs="Times New Roman"/>
          <w:sz w:val="24"/>
          <w:szCs w:val="24"/>
        </w:rPr>
        <w:t xml:space="preserve"> audited taxpayers compared to the preceding year. The SMTO Audit Unit identified a combined tax liability of </w:t>
      </w:r>
      <w:proofErr w:type="spellStart"/>
      <w:r w:rsidRPr="00B34CEE">
        <w:rPr>
          <w:rFonts w:ascii="Baskerville Old Face" w:hAnsi="Baskerville Old Face" w:cs="Times New Roman"/>
          <w:sz w:val="24"/>
          <w:szCs w:val="24"/>
        </w:rPr>
        <w:t>NLe</w:t>
      </w:r>
      <w:proofErr w:type="spellEnd"/>
      <w:r w:rsidRPr="00B34CEE">
        <w:rPr>
          <w:rFonts w:ascii="Baskerville Old Face" w:hAnsi="Baskerville Old Face" w:cs="Times New Roman"/>
          <w:sz w:val="24"/>
          <w:szCs w:val="24"/>
        </w:rPr>
        <w:t xml:space="preserve"> </w:t>
      </w:r>
      <w:r w:rsidR="008004D5">
        <w:rPr>
          <w:rFonts w:ascii="Baskerville Old Face" w:hAnsi="Baskerville Old Face" w:cs="Times New Roman"/>
          <w:sz w:val="24"/>
          <w:szCs w:val="24"/>
        </w:rPr>
        <w:t>9</w:t>
      </w:r>
      <w:r w:rsidRPr="00B34CEE">
        <w:rPr>
          <w:rFonts w:ascii="Baskerville Old Face" w:hAnsi="Baskerville Old Face" w:cs="Times New Roman"/>
          <w:sz w:val="24"/>
          <w:szCs w:val="24"/>
        </w:rPr>
        <w:t>.</w:t>
      </w:r>
      <w:r w:rsidR="008004D5">
        <w:rPr>
          <w:rFonts w:ascii="Baskerville Old Face" w:hAnsi="Baskerville Old Face" w:cs="Times New Roman"/>
          <w:sz w:val="24"/>
          <w:szCs w:val="24"/>
        </w:rPr>
        <w:t>538</w:t>
      </w:r>
      <w:r w:rsidRPr="00B34CEE">
        <w:rPr>
          <w:rFonts w:ascii="Baskerville Old Face" w:hAnsi="Baskerville Old Face" w:cs="Times New Roman"/>
          <w:sz w:val="24"/>
          <w:szCs w:val="24"/>
        </w:rPr>
        <w:t xml:space="preserve"> million for 202</w:t>
      </w:r>
      <w:r w:rsidR="008004D5">
        <w:rPr>
          <w:rFonts w:ascii="Baskerville Old Face" w:hAnsi="Baskerville Old Face" w:cs="Times New Roman"/>
          <w:sz w:val="24"/>
          <w:szCs w:val="24"/>
        </w:rPr>
        <w:t>4</w:t>
      </w:r>
      <w:r w:rsidRPr="00B34CEE">
        <w:rPr>
          <w:rFonts w:ascii="Baskerville Old Face" w:hAnsi="Baskerville Old Face" w:cs="Times New Roman"/>
          <w:sz w:val="24"/>
          <w:szCs w:val="24"/>
        </w:rPr>
        <w:t xml:space="preserve">, compared to </w:t>
      </w:r>
      <w:proofErr w:type="spellStart"/>
      <w:r w:rsidRPr="00B34CEE">
        <w:rPr>
          <w:rFonts w:ascii="Baskerville Old Face" w:hAnsi="Baskerville Old Face" w:cs="Times New Roman"/>
          <w:sz w:val="24"/>
          <w:szCs w:val="24"/>
        </w:rPr>
        <w:t>NLe</w:t>
      </w:r>
      <w:proofErr w:type="spellEnd"/>
      <w:r w:rsidRPr="00B34CEE">
        <w:rPr>
          <w:rFonts w:ascii="Baskerville Old Face" w:hAnsi="Baskerville Old Face" w:cs="Times New Roman"/>
          <w:sz w:val="24"/>
          <w:szCs w:val="24"/>
        </w:rPr>
        <w:t xml:space="preserve"> </w:t>
      </w:r>
      <w:r w:rsidR="008004D5">
        <w:rPr>
          <w:rFonts w:ascii="Baskerville Old Face" w:hAnsi="Baskerville Old Face" w:cs="Times New Roman"/>
          <w:sz w:val="24"/>
          <w:szCs w:val="24"/>
        </w:rPr>
        <w:t>10</w:t>
      </w:r>
      <w:r w:rsidRPr="00B34CEE">
        <w:rPr>
          <w:rFonts w:ascii="Baskerville Old Face" w:hAnsi="Baskerville Old Face" w:cs="Times New Roman"/>
          <w:sz w:val="24"/>
          <w:szCs w:val="24"/>
        </w:rPr>
        <w:t>.06</w:t>
      </w:r>
      <w:r w:rsidR="008004D5">
        <w:rPr>
          <w:rFonts w:ascii="Baskerville Old Face" w:hAnsi="Baskerville Old Face" w:cs="Times New Roman"/>
          <w:sz w:val="24"/>
          <w:szCs w:val="24"/>
        </w:rPr>
        <w:t>2</w:t>
      </w:r>
      <w:r w:rsidRPr="00B34CEE">
        <w:rPr>
          <w:rFonts w:ascii="Baskerville Old Face" w:hAnsi="Baskerville Old Face" w:cs="Times New Roman"/>
          <w:sz w:val="24"/>
          <w:szCs w:val="24"/>
        </w:rPr>
        <w:t xml:space="preserve"> million in 202</w:t>
      </w:r>
      <w:r w:rsidR="008004D5">
        <w:rPr>
          <w:rFonts w:ascii="Baskerville Old Face" w:hAnsi="Baskerville Old Face" w:cs="Times New Roman"/>
          <w:sz w:val="24"/>
          <w:szCs w:val="24"/>
        </w:rPr>
        <w:t>3</w:t>
      </w:r>
      <w:r w:rsidRPr="00B34CEE">
        <w:rPr>
          <w:rFonts w:ascii="Baskerville Old Face" w:hAnsi="Baskerville Old Face" w:cs="Times New Roman"/>
          <w:sz w:val="24"/>
          <w:szCs w:val="24"/>
        </w:rPr>
        <w:t xml:space="preserve">. </w:t>
      </w:r>
      <w:r>
        <w:rPr>
          <w:rFonts w:ascii="Baskerville Old Face" w:hAnsi="Baskerville Old Face" w:cs="Times New Roman"/>
          <w:sz w:val="24"/>
          <w:szCs w:val="24"/>
        </w:rPr>
        <w:t>C</w:t>
      </w:r>
      <w:r w:rsidRPr="00B34CEE">
        <w:rPr>
          <w:rFonts w:ascii="Baskerville Old Face" w:hAnsi="Baskerville Old Face" w:cs="Times New Roman"/>
          <w:sz w:val="24"/>
          <w:szCs w:val="24"/>
        </w:rPr>
        <w:t>orporation</w:t>
      </w:r>
      <w:r w:rsidR="008004D5">
        <w:rPr>
          <w:rFonts w:ascii="Baskerville Old Face" w:hAnsi="Baskerville Old Face" w:cs="Times New Roman"/>
          <w:sz w:val="24"/>
          <w:szCs w:val="24"/>
        </w:rPr>
        <w:t>/Trades</w:t>
      </w:r>
      <w:r w:rsidRPr="00B34CEE">
        <w:rPr>
          <w:rFonts w:ascii="Baskerville Old Face" w:hAnsi="Baskerville Old Face" w:cs="Times New Roman"/>
          <w:sz w:val="24"/>
          <w:szCs w:val="24"/>
        </w:rPr>
        <w:t xml:space="preserve"> tax accounted for the highest sum in 202</w:t>
      </w:r>
      <w:r w:rsidR="008004D5">
        <w:rPr>
          <w:rFonts w:ascii="Baskerville Old Face" w:hAnsi="Baskerville Old Face" w:cs="Times New Roman"/>
          <w:sz w:val="24"/>
          <w:szCs w:val="24"/>
        </w:rPr>
        <w:t>4</w:t>
      </w:r>
      <w:r w:rsidRPr="00B34CEE">
        <w:rPr>
          <w:rFonts w:ascii="Baskerville Old Face" w:hAnsi="Baskerville Old Face" w:cs="Times New Roman"/>
          <w:sz w:val="24"/>
          <w:szCs w:val="24"/>
        </w:rPr>
        <w:t xml:space="preserve">, followed by </w:t>
      </w:r>
      <w:r w:rsidR="008004D5" w:rsidRPr="00B34CEE">
        <w:rPr>
          <w:rFonts w:ascii="Baskerville Old Face" w:hAnsi="Baskerville Old Face" w:cs="Times New Roman"/>
          <w:sz w:val="24"/>
          <w:szCs w:val="24"/>
        </w:rPr>
        <w:t>withholding</w:t>
      </w:r>
      <w:r w:rsidR="008004D5">
        <w:rPr>
          <w:rFonts w:ascii="Baskerville Old Face" w:hAnsi="Baskerville Old Face" w:cs="Times New Roman"/>
          <w:sz w:val="24"/>
          <w:szCs w:val="24"/>
        </w:rPr>
        <w:t xml:space="preserve"> tax and then PAYE</w:t>
      </w:r>
      <w:r w:rsidRPr="00B34CEE">
        <w:rPr>
          <w:rFonts w:ascii="Baskerville Old Face" w:hAnsi="Baskerville Old Face" w:cs="Times New Roman"/>
          <w:sz w:val="24"/>
          <w:szCs w:val="24"/>
        </w:rPr>
        <w:t>.</w:t>
      </w:r>
    </w:p>
    <w:p w14:paraId="260BC1AD" w14:textId="77777777" w:rsidR="0071721B" w:rsidRDefault="0071721B" w:rsidP="00551C06">
      <w:pPr>
        <w:spacing w:line="240" w:lineRule="auto"/>
        <w:jc w:val="both"/>
        <w:rPr>
          <w:rFonts w:ascii="Baskerville Old Face" w:hAnsi="Baskerville Old Face" w:cs="Times New Roman"/>
          <w:b/>
          <w:bCs/>
          <w:i/>
          <w:iCs/>
          <w:sz w:val="24"/>
          <w:szCs w:val="24"/>
        </w:rPr>
      </w:pPr>
    </w:p>
    <w:p w14:paraId="42114E5F" w14:textId="77777777" w:rsidR="0071721B" w:rsidRDefault="0071721B" w:rsidP="00551C06">
      <w:pPr>
        <w:spacing w:line="240" w:lineRule="auto"/>
        <w:jc w:val="both"/>
        <w:rPr>
          <w:rFonts w:ascii="Baskerville Old Face" w:hAnsi="Baskerville Old Face" w:cs="Times New Roman"/>
          <w:b/>
          <w:bCs/>
          <w:i/>
          <w:iCs/>
          <w:sz w:val="24"/>
          <w:szCs w:val="24"/>
        </w:rPr>
      </w:pPr>
    </w:p>
    <w:p w14:paraId="536CB2D4" w14:textId="77777777" w:rsidR="0071721B" w:rsidRDefault="0071721B" w:rsidP="00551C06">
      <w:pPr>
        <w:spacing w:line="240" w:lineRule="auto"/>
        <w:jc w:val="both"/>
        <w:rPr>
          <w:rFonts w:ascii="Baskerville Old Face" w:hAnsi="Baskerville Old Face" w:cs="Times New Roman"/>
          <w:b/>
          <w:bCs/>
          <w:i/>
          <w:iCs/>
          <w:sz w:val="24"/>
          <w:szCs w:val="24"/>
        </w:rPr>
      </w:pPr>
    </w:p>
    <w:p w14:paraId="2A1CAE43" w14:textId="77777777" w:rsidR="0071721B" w:rsidRDefault="0071721B" w:rsidP="00551C06">
      <w:pPr>
        <w:spacing w:line="240" w:lineRule="auto"/>
        <w:jc w:val="both"/>
        <w:rPr>
          <w:rFonts w:ascii="Baskerville Old Face" w:hAnsi="Baskerville Old Face" w:cs="Times New Roman"/>
          <w:b/>
          <w:bCs/>
          <w:i/>
          <w:iCs/>
          <w:sz w:val="24"/>
          <w:szCs w:val="24"/>
        </w:rPr>
      </w:pPr>
    </w:p>
    <w:p w14:paraId="2DD67850" w14:textId="77777777" w:rsidR="002465E3" w:rsidRDefault="002465E3" w:rsidP="00551C06">
      <w:pPr>
        <w:spacing w:line="240" w:lineRule="auto"/>
        <w:jc w:val="both"/>
        <w:rPr>
          <w:rFonts w:ascii="Baskerville Old Face" w:hAnsi="Baskerville Old Face" w:cs="Times New Roman"/>
          <w:b/>
          <w:bCs/>
          <w:i/>
          <w:iCs/>
          <w:sz w:val="24"/>
          <w:szCs w:val="24"/>
        </w:rPr>
      </w:pPr>
    </w:p>
    <w:p w14:paraId="0BF3159B" w14:textId="77777777" w:rsidR="002465E3" w:rsidRDefault="002465E3" w:rsidP="00551C06">
      <w:pPr>
        <w:spacing w:line="240" w:lineRule="auto"/>
        <w:jc w:val="both"/>
        <w:rPr>
          <w:rFonts w:ascii="Baskerville Old Face" w:hAnsi="Baskerville Old Face" w:cs="Times New Roman"/>
          <w:b/>
          <w:bCs/>
          <w:i/>
          <w:iCs/>
          <w:sz w:val="24"/>
          <w:szCs w:val="24"/>
        </w:rPr>
      </w:pPr>
    </w:p>
    <w:p w14:paraId="1CABD207" w14:textId="71341442" w:rsidR="0071721B" w:rsidRPr="002465E3" w:rsidRDefault="0071721B" w:rsidP="0071721B">
      <w:pPr>
        <w:pStyle w:val="Caption"/>
        <w:keepNext/>
        <w:rPr>
          <w:rFonts w:ascii="Baskerville Old Face" w:hAnsi="Baskerville Old Face"/>
          <w:b/>
          <w:bCs/>
          <w:sz w:val="24"/>
          <w:szCs w:val="24"/>
        </w:rPr>
      </w:pPr>
      <w:bookmarkStart w:id="77" w:name="_Toc198044034"/>
      <w:r w:rsidRPr="002465E3">
        <w:rPr>
          <w:rFonts w:ascii="Baskerville Old Face" w:hAnsi="Baskerville Old Face"/>
          <w:b/>
          <w:bCs/>
          <w:sz w:val="24"/>
          <w:szCs w:val="24"/>
        </w:rPr>
        <w:lastRenderedPageBreak/>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16</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xml:space="preserve">: SMTO Tax Audit Liability 2024 and 2023 in </w:t>
      </w:r>
      <w:proofErr w:type="spellStart"/>
      <w:r w:rsidRPr="002465E3">
        <w:rPr>
          <w:rFonts w:ascii="Baskerville Old Face" w:hAnsi="Baskerville Old Face"/>
          <w:b/>
          <w:bCs/>
          <w:sz w:val="24"/>
          <w:szCs w:val="24"/>
        </w:rPr>
        <w:t>NLe</w:t>
      </w:r>
      <w:bookmarkEnd w:id="77"/>
      <w:proofErr w:type="spellEnd"/>
    </w:p>
    <w:tbl>
      <w:tblPr>
        <w:tblStyle w:val="GridTable4-Accent63"/>
        <w:tblW w:w="9355" w:type="dxa"/>
        <w:tblLook w:val="04A0" w:firstRow="1" w:lastRow="0" w:firstColumn="1" w:lastColumn="0" w:noHBand="0" w:noVBand="1"/>
      </w:tblPr>
      <w:tblGrid>
        <w:gridCol w:w="5125"/>
        <w:gridCol w:w="2070"/>
        <w:gridCol w:w="2160"/>
      </w:tblGrid>
      <w:tr w:rsidR="002D559B" w:rsidRPr="002D559B" w14:paraId="3185F194" w14:textId="77777777" w:rsidTr="002D55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3AD154D0" w14:textId="1FEA217A" w:rsidR="002D559B" w:rsidRPr="002D559B" w:rsidRDefault="002D559B" w:rsidP="002D559B">
            <w:pPr>
              <w:jc w:val="both"/>
              <w:rPr>
                <w:rFonts w:ascii="Baskerville Old Face" w:hAnsi="Baskerville Old Face" w:cs="Times New Roman"/>
                <w:sz w:val="24"/>
                <w:szCs w:val="24"/>
              </w:rPr>
            </w:pPr>
            <w:r w:rsidRPr="008F3E3F">
              <w:rPr>
                <w:rFonts w:ascii="Baskerville Old Face" w:hAnsi="Baskerville Old Face" w:cs="Times New Roman"/>
                <w:color w:val="auto"/>
                <w:sz w:val="24"/>
                <w:szCs w:val="24"/>
              </w:rPr>
              <w:t>Tax Type</w:t>
            </w:r>
          </w:p>
        </w:tc>
        <w:tc>
          <w:tcPr>
            <w:tcW w:w="2070" w:type="dxa"/>
            <w:noWrap/>
            <w:hideMark/>
          </w:tcPr>
          <w:p w14:paraId="0BAF9060" w14:textId="5CA15BD9" w:rsidR="002D559B" w:rsidRPr="002D559B" w:rsidRDefault="002D559B" w:rsidP="002D559B">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D559B">
              <w:rPr>
                <w:rFonts w:ascii="Baskerville Old Face" w:hAnsi="Baskerville Old Face" w:cs="Times New Roman"/>
                <w:color w:val="auto"/>
                <w:sz w:val="24"/>
                <w:szCs w:val="24"/>
              </w:rPr>
              <w:t>20</w:t>
            </w:r>
            <w:r w:rsidR="002E5B46">
              <w:rPr>
                <w:rFonts w:ascii="Baskerville Old Face" w:hAnsi="Baskerville Old Face" w:cs="Times New Roman"/>
                <w:color w:val="auto"/>
                <w:sz w:val="24"/>
                <w:szCs w:val="24"/>
              </w:rPr>
              <w:t>2</w:t>
            </w:r>
            <w:r w:rsidRPr="002D559B">
              <w:rPr>
                <w:rFonts w:ascii="Baskerville Old Face" w:hAnsi="Baskerville Old Face" w:cs="Times New Roman"/>
                <w:color w:val="auto"/>
                <w:sz w:val="24"/>
                <w:szCs w:val="24"/>
              </w:rPr>
              <w:t>4</w:t>
            </w:r>
          </w:p>
        </w:tc>
        <w:tc>
          <w:tcPr>
            <w:tcW w:w="2160" w:type="dxa"/>
            <w:noWrap/>
            <w:hideMark/>
          </w:tcPr>
          <w:p w14:paraId="69425A0F" w14:textId="77777777" w:rsidR="002D559B" w:rsidRPr="002D559B" w:rsidRDefault="002D559B" w:rsidP="002D559B">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D559B">
              <w:rPr>
                <w:rFonts w:ascii="Baskerville Old Face" w:hAnsi="Baskerville Old Face" w:cs="Times New Roman"/>
                <w:color w:val="auto"/>
                <w:sz w:val="24"/>
                <w:szCs w:val="24"/>
              </w:rPr>
              <w:t>2023</w:t>
            </w:r>
          </w:p>
        </w:tc>
      </w:tr>
      <w:tr w:rsidR="002D559B" w:rsidRPr="002D559B" w14:paraId="1CA7F1AC"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7A918577"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 xml:space="preserve">Corporation /Trades Tax </w:t>
            </w:r>
          </w:p>
        </w:tc>
        <w:tc>
          <w:tcPr>
            <w:tcW w:w="2070" w:type="dxa"/>
            <w:noWrap/>
            <w:hideMark/>
          </w:tcPr>
          <w:p w14:paraId="3BBA2A1B" w14:textId="437F4CA9"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6,797,343</w:t>
            </w:r>
          </w:p>
        </w:tc>
        <w:tc>
          <w:tcPr>
            <w:tcW w:w="2160" w:type="dxa"/>
            <w:noWrap/>
            <w:hideMark/>
          </w:tcPr>
          <w:p w14:paraId="6FEE1BA8" w14:textId="4FB0FFFA"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3,778,565</w:t>
            </w:r>
          </w:p>
        </w:tc>
      </w:tr>
      <w:tr w:rsidR="002D559B" w:rsidRPr="002D559B" w14:paraId="417D20E0"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71EF0DDA"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GST</w:t>
            </w:r>
          </w:p>
        </w:tc>
        <w:tc>
          <w:tcPr>
            <w:tcW w:w="2070" w:type="dxa"/>
            <w:noWrap/>
            <w:hideMark/>
          </w:tcPr>
          <w:p w14:paraId="7AF35123" w14:textId="545908B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(2,651,960)</w:t>
            </w:r>
          </w:p>
        </w:tc>
        <w:tc>
          <w:tcPr>
            <w:tcW w:w="2160" w:type="dxa"/>
            <w:noWrap/>
            <w:hideMark/>
          </w:tcPr>
          <w:p w14:paraId="637CB01C" w14:textId="5EF0DCD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2,145,316</w:t>
            </w:r>
          </w:p>
        </w:tc>
      </w:tr>
      <w:tr w:rsidR="002D559B" w:rsidRPr="002D559B" w14:paraId="67C40B90"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78631121"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Withholding Tax</w:t>
            </w:r>
          </w:p>
        </w:tc>
        <w:tc>
          <w:tcPr>
            <w:tcW w:w="2070" w:type="dxa"/>
            <w:noWrap/>
            <w:hideMark/>
          </w:tcPr>
          <w:p w14:paraId="0B952470" w14:textId="2F2E611A"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3,881,045</w:t>
            </w:r>
          </w:p>
        </w:tc>
        <w:tc>
          <w:tcPr>
            <w:tcW w:w="2160" w:type="dxa"/>
            <w:noWrap/>
            <w:hideMark/>
          </w:tcPr>
          <w:p w14:paraId="73A3A37E" w14:textId="11A8AF90"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1,772,060</w:t>
            </w:r>
          </w:p>
        </w:tc>
      </w:tr>
      <w:tr w:rsidR="002D559B" w:rsidRPr="002D559B" w14:paraId="2742B1D3"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66FC77A4"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PAYE</w:t>
            </w:r>
          </w:p>
        </w:tc>
        <w:tc>
          <w:tcPr>
            <w:tcW w:w="2070" w:type="dxa"/>
            <w:noWrap/>
            <w:hideMark/>
          </w:tcPr>
          <w:p w14:paraId="7E86B0BB" w14:textId="03185CB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1,114,160</w:t>
            </w:r>
          </w:p>
        </w:tc>
        <w:tc>
          <w:tcPr>
            <w:tcW w:w="2160" w:type="dxa"/>
            <w:noWrap/>
            <w:hideMark/>
          </w:tcPr>
          <w:p w14:paraId="1036F431" w14:textId="7D3CB2B9"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479,044</w:t>
            </w:r>
          </w:p>
        </w:tc>
      </w:tr>
      <w:tr w:rsidR="002D559B" w:rsidRPr="002D559B" w14:paraId="18079336"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44ACC411"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PAYROLL</w:t>
            </w:r>
          </w:p>
        </w:tc>
        <w:tc>
          <w:tcPr>
            <w:tcW w:w="2070" w:type="dxa"/>
            <w:noWrap/>
            <w:hideMark/>
          </w:tcPr>
          <w:p w14:paraId="32EAA6E7" w14:textId="778098AD"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397,500</w:t>
            </w:r>
          </w:p>
        </w:tc>
        <w:tc>
          <w:tcPr>
            <w:tcW w:w="2160" w:type="dxa"/>
            <w:noWrap/>
            <w:hideMark/>
          </w:tcPr>
          <w:p w14:paraId="6F11C6E1" w14:textId="6C67CBD8"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465,000</w:t>
            </w:r>
          </w:p>
        </w:tc>
      </w:tr>
      <w:tr w:rsidR="002D559B" w:rsidRPr="002D559B" w14:paraId="2B30BD68"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75A740A0"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 xml:space="preserve"> Penalty</w:t>
            </w:r>
          </w:p>
        </w:tc>
        <w:tc>
          <w:tcPr>
            <w:tcW w:w="2070" w:type="dxa"/>
            <w:noWrap/>
            <w:hideMark/>
          </w:tcPr>
          <w:p w14:paraId="2C673B4E" w14:textId="7777777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2160" w:type="dxa"/>
            <w:noWrap/>
            <w:hideMark/>
          </w:tcPr>
          <w:p w14:paraId="0F5AD882" w14:textId="65E56FFE"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1,421,524</w:t>
            </w:r>
          </w:p>
        </w:tc>
      </w:tr>
      <w:tr w:rsidR="002D559B" w:rsidRPr="002D559B" w14:paraId="5EFDBC75"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07DF11E1"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 xml:space="preserve">TOTAL </w:t>
            </w:r>
          </w:p>
        </w:tc>
        <w:tc>
          <w:tcPr>
            <w:tcW w:w="2070" w:type="dxa"/>
            <w:noWrap/>
            <w:hideMark/>
          </w:tcPr>
          <w:p w14:paraId="13BDA913" w14:textId="4123EA8B"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2D559B">
              <w:rPr>
                <w:rFonts w:ascii="Baskerville Old Face" w:hAnsi="Baskerville Old Face" w:cs="Times New Roman"/>
                <w:b/>
                <w:bCs/>
                <w:sz w:val="24"/>
                <w:szCs w:val="24"/>
              </w:rPr>
              <w:t>9,538,088</w:t>
            </w:r>
          </w:p>
        </w:tc>
        <w:tc>
          <w:tcPr>
            <w:tcW w:w="2160" w:type="dxa"/>
            <w:noWrap/>
            <w:hideMark/>
          </w:tcPr>
          <w:p w14:paraId="6E0C0A8D" w14:textId="33EB12C1"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2D559B">
              <w:rPr>
                <w:rFonts w:ascii="Baskerville Old Face" w:hAnsi="Baskerville Old Face" w:cs="Times New Roman"/>
                <w:b/>
                <w:bCs/>
                <w:sz w:val="24"/>
                <w:szCs w:val="24"/>
              </w:rPr>
              <w:t>10,061,509</w:t>
            </w:r>
          </w:p>
        </w:tc>
      </w:tr>
      <w:tr w:rsidR="002D559B" w:rsidRPr="002D559B" w14:paraId="416C18C6" w14:textId="77777777" w:rsidTr="002D559B">
        <w:trPr>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4733AA72" w14:textId="77777777" w:rsidR="002D559B" w:rsidRPr="002D559B" w:rsidRDefault="002D559B" w:rsidP="002D559B">
            <w:pPr>
              <w:jc w:val="both"/>
              <w:rPr>
                <w:rFonts w:ascii="Baskerville Old Face" w:hAnsi="Baskerville Old Face" w:cs="Times New Roman"/>
                <w:b w:val="0"/>
                <w:bCs w:val="0"/>
                <w:sz w:val="24"/>
                <w:szCs w:val="24"/>
              </w:rPr>
            </w:pPr>
            <w:r w:rsidRPr="002D559B">
              <w:rPr>
                <w:rFonts w:ascii="Baskerville Old Face" w:hAnsi="Baskerville Old Face" w:cs="Times New Roman"/>
                <w:b w:val="0"/>
                <w:bCs w:val="0"/>
                <w:sz w:val="24"/>
                <w:szCs w:val="24"/>
              </w:rPr>
              <w:t xml:space="preserve">No. of taxpayers </w:t>
            </w:r>
          </w:p>
        </w:tc>
        <w:tc>
          <w:tcPr>
            <w:tcW w:w="2070" w:type="dxa"/>
            <w:noWrap/>
            <w:hideMark/>
          </w:tcPr>
          <w:p w14:paraId="241EBE5E" w14:textId="677D5795"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68</w:t>
            </w:r>
          </w:p>
        </w:tc>
        <w:tc>
          <w:tcPr>
            <w:tcW w:w="2160" w:type="dxa"/>
            <w:noWrap/>
            <w:hideMark/>
          </w:tcPr>
          <w:p w14:paraId="4A79E5A7" w14:textId="77777777" w:rsidR="002D559B" w:rsidRPr="002D559B" w:rsidRDefault="002D559B" w:rsidP="002D559B">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111</w:t>
            </w:r>
          </w:p>
        </w:tc>
      </w:tr>
      <w:tr w:rsidR="002D559B" w:rsidRPr="002D559B" w14:paraId="28D1425E" w14:textId="77777777" w:rsidTr="002D55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5" w:type="dxa"/>
            <w:noWrap/>
            <w:hideMark/>
          </w:tcPr>
          <w:p w14:paraId="6AFF4D5A" w14:textId="77777777" w:rsidR="002D559B" w:rsidRPr="002D559B" w:rsidRDefault="002D559B" w:rsidP="002D559B">
            <w:pPr>
              <w:jc w:val="both"/>
              <w:rPr>
                <w:rFonts w:ascii="Baskerville Old Face" w:hAnsi="Baskerville Old Face" w:cs="Times New Roman"/>
                <w:sz w:val="24"/>
                <w:szCs w:val="24"/>
              </w:rPr>
            </w:pPr>
            <w:r w:rsidRPr="002D559B">
              <w:rPr>
                <w:rFonts w:ascii="Baskerville Old Face" w:hAnsi="Baskerville Old Face" w:cs="Times New Roman"/>
                <w:sz w:val="24"/>
                <w:szCs w:val="24"/>
              </w:rPr>
              <w:t xml:space="preserve">Total completed audits </w:t>
            </w:r>
          </w:p>
        </w:tc>
        <w:tc>
          <w:tcPr>
            <w:tcW w:w="2070" w:type="dxa"/>
            <w:noWrap/>
            <w:hideMark/>
          </w:tcPr>
          <w:p w14:paraId="5F476556" w14:textId="65E965A1"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69</w:t>
            </w:r>
          </w:p>
        </w:tc>
        <w:tc>
          <w:tcPr>
            <w:tcW w:w="2160" w:type="dxa"/>
            <w:noWrap/>
            <w:hideMark/>
          </w:tcPr>
          <w:p w14:paraId="510786F5" w14:textId="77777777" w:rsidR="002D559B" w:rsidRPr="002D559B" w:rsidRDefault="002D559B" w:rsidP="002D559B">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2D559B">
              <w:rPr>
                <w:rFonts w:ascii="Baskerville Old Face" w:hAnsi="Baskerville Old Face" w:cs="Times New Roman"/>
                <w:sz w:val="24"/>
                <w:szCs w:val="24"/>
              </w:rPr>
              <w:t>124</w:t>
            </w:r>
          </w:p>
        </w:tc>
      </w:tr>
    </w:tbl>
    <w:p w14:paraId="4701893D" w14:textId="4B406208" w:rsidR="001E5DC0" w:rsidRPr="00BD27B1" w:rsidRDefault="001E5DC0" w:rsidP="001E5DC0">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SMTO, </w:t>
      </w:r>
      <w:r w:rsidRPr="00BD27B1">
        <w:rPr>
          <w:rFonts w:ascii="Baskerville Old Face" w:hAnsi="Baskerville Old Face" w:cs="Times New Roman"/>
          <w:i/>
          <w:iCs/>
          <w:sz w:val="20"/>
          <w:szCs w:val="20"/>
        </w:rPr>
        <w:t>DTD</w:t>
      </w:r>
    </w:p>
    <w:p w14:paraId="045BA4F7" w14:textId="57129E7F" w:rsidR="0003123A" w:rsidRPr="00520DD2" w:rsidRDefault="00520DD2" w:rsidP="00C03BAC">
      <w:pPr>
        <w:pStyle w:val="Heading3"/>
        <w:rPr>
          <w:rFonts w:ascii="Baskerville Old Face" w:hAnsi="Baskerville Old Face"/>
          <w:b/>
          <w:bCs/>
        </w:rPr>
      </w:pPr>
      <w:bookmarkStart w:id="78" w:name="_Toc198043941"/>
      <w:r w:rsidRPr="00520DD2">
        <w:rPr>
          <w:rFonts w:ascii="Baskerville Old Face" w:hAnsi="Baskerville Old Face"/>
          <w:b/>
          <w:bCs/>
        </w:rPr>
        <w:t xml:space="preserve">4.3.3 </w:t>
      </w:r>
      <w:r w:rsidR="0003123A" w:rsidRPr="00520DD2">
        <w:rPr>
          <w:rFonts w:ascii="Baskerville Old Face" w:hAnsi="Baskerville Old Face"/>
          <w:b/>
          <w:bCs/>
        </w:rPr>
        <w:t xml:space="preserve">EIRU </w:t>
      </w:r>
      <w:r w:rsidR="00C917BD" w:rsidRPr="00520DD2">
        <w:rPr>
          <w:rFonts w:ascii="Baskerville Old Face" w:hAnsi="Baskerville Old Face"/>
          <w:b/>
          <w:bCs/>
        </w:rPr>
        <w:t>Completed Tax Audit and Liability</w:t>
      </w:r>
      <w:r w:rsidR="004272CF" w:rsidRPr="00520DD2">
        <w:rPr>
          <w:rFonts w:ascii="Baskerville Old Face" w:hAnsi="Baskerville Old Face"/>
          <w:b/>
          <w:bCs/>
        </w:rPr>
        <w:t>,</w:t>
      </w:r>
      <w:r w:rsidR="00C917BD" w:rsidRPr="00520DD2">
        <w:rPr>
          <w:rFonts w:ascii="Baskerville Old Face" w:hAnsi="Baskerville Old Face"/>
          <w:b/>
          <w:bCs/>
        </w:rPr>
        <w:t xml:space="preserve"> </w:t>
      </w:r>
      <w:r w:rsidR="0003123A" w:rsidRPr="00520DD2">
        <w:rPr>
          <w:rFonts w:ascii="Baskerville Old Face" w:hAnsi="Baskerville Old Face"/>
          <w:b/>
          <w:bCs/>
        </w:rPr>
        <w:t>202</w:t>
      </w:r>
      <w:r w:rsidR="00C447C3" w:rsidRPr="00520DD2">
        <w:rPr>
          <w:rFonts w:ascii="Baskerville Old Face" w:hAnsi="Baskerville Old Face"/>
          <w:b/>
          <w:bCs/>
        </w:rPr>
        <w:t>4</w:t>
      </w:r>
      <w:r w:rsidR="0003123A" w:rsidRPr="00520DD2">
        <w:rPr>
          <w:rFonts w:ascii="Baskerville Old Face" w:hAnsi="Baskerville Old Face"/>
          <w:b/>
          <w:bCs/>
        </w:rPr>
        <w:t xml:space="preserve"> and 202</w:t>
      </w:r>
      <w:r w:rsidR="00C447C3" w:rsidRPr="00520DD2">
        <w:rPr>
          <w:rFonts w:ascii="Baskerville Old Face" w:hAnsi="Baskerville Old Face"/>
          <w:b/>
          <w:bCs/>
        </w:rPr>
        <w:t>3</w:t>
      </w:r>
      <w:bookmarkEnd w:id="78"/>
    </w:p>
    <w:p w14:paraId="2D3BA139" w14:textId="34202DEE" w:rsidR="00567B57" w:rsidRDefault="0003123A" w:rsidP="003E0000">
      <w:pPr>
        <w:spacing w:line="276" w:lineRule="auto"/>
        <w:jc w:val="both"/>
        <w:rPr>
          <w:rFonts w:ascii="Baskerville Old Face" w:hAnsi="Baskerville Old Face" w:cs="Times New Roman"/>
          <w:sz w:val="24"/>
          <w:szCs w:val="24"/>
        </w:rPr>
      </w:pPr>
      <w:r w:rsidRPr="00B81AFC">
        <w:rPr>
          <w:rFonts w:ascii="Baskerville Old Face" w:hAnsi="Baskerville Old Face" w:cs="Times New Roman"/>
          <w:sz w:val="24"/>
          <w:szCs w:val="24"/>
        </w:rPr>
        <w:t>In 202</w:t>
      </w:r>
      <w:r w:rsidR="00F860D0">
        <w:rPr>
          <w:rFonts w:ascii="Baskerville Old Face" w:hAnsi="Baskerville Old Face" w:cs="Times New Roman"/>
          <w:sz w:val="24"/>
          <w:szCs w:val="24"/>
        </w:rPr>
        <w:t>4</w:t>
      </w:r>
      <w:r w:rsidRPr="00B81AFC">
        <w:rPr>
          <w:rFonts w:ascii="Baskerville Old Face" w:hAnsi="Baskerville Old Face" w:cs="Times New Roman"/>
          <w:sz w:val="24"/>
          <w:szCs w:val="24"/>
        </w:rPr>
        <w:t xml:space="preserve">, the </w:t>
      </w:r>
      <w:r w:rsidR="00B43D9D">
        <w:rPr>
          <w:rFonts w:ascii="Baskerville Old Face" w:hAnsi="Baskerville Old Face" w:cs="Times New Roman"/>
          <w:sz w:val="24"/>
          <w:szCs w:val="24"/>
        </w:rPr>
        <w:t>Extractive Industry Revenue Unit (</w:t>
      </w:r>
      <w:r w:rsidRPr="00B81AFC">
        <w:rPr>
          <w:rFonts w:ascii="Baskerville Old Face" w:hAnsi="Baskerville Old Face" w:cs="Times New Roman"/>
          <w:sz w:val="24"/>
          <w:szCs w:val="24"/>
        </w:rPr>
        <w:t>EIRU</w:t>
      </w:r>
      <w:r w:rsidR="00B43D9D">
        <w:rPr>
          <w:rFonts w:ascii="Baskerville Old Face" w:hAnsi="Baskerville Old Face" w:cs="Times New Roman"/>
          <w:sz w:val="24"/>
          <w:szCs w:val="24"/>
        </w:rPr>
        <w:t>)</w:t>
      </w:r>
      <w:r w:rsidRPr="00B81AFC">
        <w:rPr>
          <w:rFonts w:ascii="Baskerville Old Face" w:hAnsi="Baskerville Old Face" w:cs="Times New Roman"/>
          <w:sz w:val="24"/>
          <w:szCs w:val="24"/>
        </w:rPr>
        <w:t xml:space="preserve"> concluded a total of </w:t>
      </w:r>
      <w:r w:rsidR="00F860D0">
        <w:rPr>
          <w:rFonts w:ascii="Baskerville Old Face" w:hAnsi="Baskerville Old Face" w:cs="Times New Roman"/>
          <w:sz w:val="24"/>
          <w:szCs w:val="24"/>
        </w:rPr>
        <w:t>15</w:t>
      </w:r>
      <w:r w:rsidRPr="00B81AFC">
        <w:rPr>
          <w:rFonts w:ascii="Baskerville Old Face" w:hAnsi="Baskerville Old Face" w:cs="Times New Roman"/>
          <w:sz w:val="24"/>
          <w:szCs w:val="24"/>
        </w:rPr>
        <w:t xml:space="preserve"> tax audits, falling short of the targeted number by </w:t>
      </w:r>
      <w:r w:rsidR="00F860D0">
        <w:rPr>
          <w:rFonts w:ascii="Baskerville Old Face" w:hAnsi="Baskerville Old Face" w:cs="Times New Roman"/>
          <w:sz w:val="24"/>
          <w:szCs w:val="24"/>
        </w:rPr>
        <w:t>45</w:t>
      </w:r>
      <w:r w:rsidRPr="00B81AFC">
        <w:rPr>
          <w:rFonts w:ascii="Baskerville Old Face" w:hAnsi="Baskerville Old Face" w:cs="Times New Roman"/>
          <w:sz w:val="24"/>
          <w:szCs w:val="24"/>
        </w:rPr>
        <w:t xml:space="preserve"> </w:t>
      </w:r>
      <w:r w:rsidR="00567B57">
        <w:rPr>
          <w:rFonts w:ascii="Baskerville Old Face" w:hAnsi="Baskerville Old Face" w:cs="Times New Roman"/>
          <w:sz w:val="24"/>
          <w:szCs w:val="24"/>
        </w:rPr>
        <w:t>but</w:t>
      </w:r>
      <w:r w:rsidRPr="00B81AFC">
        <w:rPr>
          <w:rFonts w:ascii="Baskerville Old Face" w:hAnsi="Baskerville Old Face" w:cs="Times New Roman"/>
          <w:sz w:val="24"/>
          <w:szCs w:val="24"/>
        </w:rPr>
        <w:t xml:space="preserve"> </w:t>
      </w:r>
      <w:r w:rsidR="0019371E">
        <w:rPr>
          <w:rFonts w:ascii="Baskerville Old Face" w:hAnsi="Baskerville Old Face" w:cs="Times New Roman"/>
          <w:sz w:val="24"/>
          <w:szCs w:val="24"/>
        </w:rPr>
        <w:t>recording</w:t>
      </w:r>
      <w:r w:rsidRPr="00B81AFC">
        <w:rPr>
          <w:rFonts w:ascii="Baskerville Old Face" w:hAnsi="Baskerville Old Face" w:cs="Times New Roman"/>
          <w:sz w:val="24"/>
          <w:szCs w:val="24"/>
        </w:rPr>
        <w:t xml:space="preserve"> a</w:t>
      </w:r>
      <w:r w:rsidR="00567B57">
        <w:rPr>
          <w:rFonts w:ascii="Baskerville Old Face" w:hAnsi="Baskerville Old Face" w:cs="Times New Roman"/>
          <w:sz w:val="24"/>
          <w:szCs w:val="24"/>
        </w:rPr>
        <w:t>n increase</w:t>
      </w:r>
      <w:r w:rsidRPr="00B81AFC">
        <w:rPr>
          <w:rFonts w:ascii="Baskerville Old Face" w:hAnsi="Baskerville Old Face" w:cs="Times New Roman"/>
          <w:sz w:val="24"/>
          <w:szCs w:val="24"/>
        </w:rPr>
        <w:t xml:space="preserve"> of </w:t>
      </w:r>
      <w:r w:rsidR="00567B57">
        <w:rPr>
          <w:rFonts w:ascii="Baskerville Old Face" w:hAnsi="Baskerville Old Face" w:cs="Times New Roman"/>
          <w:sz w:val="24"/>
          <w:szCs w:val="24"/>
        </w:rPr>
        <w:t>6</w:t>
      </w:r>
      <w:r w:rsidRPr="00B81AFC">
        <w:rPr>
          <w:rFonts w:ascii="Baskerville Old Face" w:hAnsi="Baskerville Old Face" w:cs="Times New Roman"/>
          <w:sz w:val="24"/>
          <w:szCs w:val="24"/>
        </w:rPr>
        <w:t xml:space="preserve"> audits compared to the previous year's total completed audits. Among the audits conducted in 202</w:t>
      </w:r>
      <w:r w:rsidR="00567B57">
        <w:rPr>
          <w:rFonts w:ascii="Baskerville Old Face" w:hAnsi="Baskerville Old Face" w:cs="Times New Roman"/>
          <w:sz w:val="24"/>
          <w:szCs w:val="24"/>
        </w:rPr>
        <w:t>4</w:t>
      </w:r>
      <w:r w:rsidRPr="00B81AFC">
        <w:rPr>
          <w:rFonts w:ascii="Baskerville Old Face" w:hAnsi="Baskerville Old Face" w:cs="Times New Roman"/>
          <w:sz w:val="24"/>
          <w:szCs w:val="24"/>
        </w:rPr>
        <w:t xml:space="preserve">, the EIRU identified a combined tax liability amounting to </w:t>
      </w:r>
      <w:proofErr w:type="spellStart"/>
      <w:r w:rsidRPr="00B81AFC">
        <w:rPr>
          <w:rFonts w:ascii="Baskerville Old Face" w:hAnsi="Baskerville Old Face" w:cs="Times New Roman"/>
          <w:sz w:val="24"/>
          <w:szCs w:val="24"/>
        </w:rPr>
        <w:t>NLe</w:t>
      </w:r>
      <w:proofErr w:type="spellEnd"/>
      <w:r w:rsidRPr="00B81AFC">
        <w:rPr>
          <w:rFonts w:ascii="Baskerville Old Face" w:hAnsi="Baskerville Old Face" w:cs="Times New Roman"/>
          <w:sz w:val="24"/>
          <w:szCs w:val="24"/>
        </w:rPr>
        <w:t xml:space="preserve"> </w:t>
      </w:r>
      <w:r w:rsidR="00567B57">
        <w:rPr>
          <w:rFonts w:ascii="Baskerville Old Face" w:hAnsi="Baskerville Old Face" w:cs="Times New Roman"/>
          <w:sz w:val="24"/>
          <w:szCs w:val="24"/>
        </w:rPr>
        <w:t>49.412</w:t>
      </w:r>
      <w:r>
        <w:rPr>
          <w:rFonts w:ascii="Baskerville Old Face" w:hAnsi="Baskerville Old Face" w:cs="Times New Roman"/>
          <w:sz w:val="24"/>
          <w:szCs w:val="24"/>
        </w:rPr>
        <w:t xml:space="preserve"> million</w:t>
      </w:r>
      <w:r w:rsidRPr="00B81AFC">
        <w:rPr>
          <w:rFonts w:ascii="Baskerville Old Face" w:hAnsi="Baskerville Old Face" w:cs="Times New Roman"/>
          <w:sz w:val="24"/>
          <w:szCs w:val="24"/>
        </w:rPr>
        <w:t xml:space="preserve"> and USD </w:t>
      </w:r>
      <w:r w:rsidR="00567B57">
        <w:rPr>
          <w:rFonts w:ascii="Baskerville Old Face" w:hAnsi="Baskerville Old Face" w:cs="Times New Roman"/>
          <w:sz w:val="24"/>
          <w:szCs w:val="24"/>
        </w:rPr>
        <w:t>5.353 million</w:t>
      </w:r>
      <w:r w:rsidRPr="00B81AFC">
        <w:rPr>
          <w:rFonts w:ascii="Baskerville Old Face" w:hAnsi="Baskerville Old Face" w:cs="Times New Roman"/>
          <w:sz w:val="24"/>
          <w:szCs w:val="24"/>
        </w:rPr>
        <w:t xml:space="preserve"> within the mining sector, in contrast to </w:t>
      </w:r>
      <w:proofErr w:type="spellStart"/>
      <w:r w:rsidRPr="00B81AFC">
        <w:rPr>
          <w:rFonts w:ascii="Baskerville Old Face" w:hAnsi="Baskerville Old Face" w:cs="Times New Roman"/>
          <w:sz w:val="24"/>
          <w:szCs w:val="24"/>
        </w:rPr>
        <w:t>NLe</w:t>
      </w:r>
      <w:proofErr w:type="spellEnd"/>
      <w:r w:rsidRPr="00B81AFC">
        <w:rPr>
          <w:rFonts w:ascii="Baskerville Old Face" w:hAnsi="Baskerville Old Face" w:cs="Times New Roman"/>
          <w:sz w:val="24"/>
          <w:szCs w:val="24"/>
        </w:rPr>
        <w:t xml:space="preserve"> 2</w:t>
      </w:r>
      <w:r w:rsidR="00567B57">
        <w:rPr>
          <w:rFonts w:ascii="Baskerville Old Face" w:hAnsi="Baskerville Old Face" w:cs="Times New Roman"/>
          <w:sz w:val="24"/>
          <w:szCs w:val="24"/>
        </w:rPr>
        <w:t>.596</w:t>
      </w:r>
      <w:r w:rsidRPr="00B81AFC">
        <w:rPr>
          <w:rFonts w:ascii="Baskerville Old Face" w:hAnsi="Baskerville Old Face" w:cs="Times New Roman"/>
          <w:sz w:val="24"/>
          <w:szCs w:val="24"/>
        </w:rPr>
        <w:t xml:space="preserve"> </w:t>
      </w:r>
      <w:r>
        <w:rPr>
          <w:rFonts w:ascii="Baskerville Old Face" w:hAnsi="Baskerville Old Face" w:cs="Times New Roman"/>
          <w:sz w:val="24"/>
          <w:szCs w:val="24"/>
        </w:rPr>
        <w:t xml:space="preserve">million </w:t>
      </w:r>
      <w:r w:rsidRPr="00B81AFC">
        <w:rPr>
          <w:rFonts w:ascii="Baskerville Old Face" w:hAnsi="Baskerville Old Face" w:cs="Times New Roman"/>
          <w:sz w:val="24"/>
          <w:szCs w:val="24"/>
        </w:rPr>
        <w:t xml:space="preserve">and USD </w:t>
      </w:r>
      <w:r w:rsidR="00567B57">
        <w:rPr>
          <w:rFonts w:ascii="Baskerville Old Face" w:hAnsi="Baskerville Old Face" w:cs="Times New Roman"/>
          <w:sz w:val="24"/>
          <w:szCs w:val="24"/>
        </w:rPr>
        <w:t>69.962 thousand</w:t>
      </w:r>
      <w:r w:rsidRPr="00B81AFC">
        <w:rPr>
          <w:rFonts w:ascii="Baskerville Old Face" w:hAnsi="Baskerville Old Face" w:cs="Times New Roman"/>
          <w:sz w:val="24"/>
          <w:szCs w:val="24"/>
        </w:rPr>
        <w:t xml:space="preserve"> recorded in 202</w:t>
      </w:r>
      <w:r w:rsidR="00567B57">
        <w:rPr>
          <w:rFonts w:ascii="Baskerville Old Face" w:hAnsi="Baskerville Old Face" w:cs="Times New Roman"/>
          <w:sz w:val="24"/>
          <w:szCs w:val="24"/>
        </w:rPr>
        <w:t>3</w:t>
      </w:r>
      <w:r w:rsidRPr="00B81AFC">
        <w:rPr>
          <w:rFonts w:ascii="Baskerville Old Face" w:hAnsi="Baskerville Old Face" w:cs="Times New Roman"/>
          <w:sz w:val="24"/>
          <w:szCs w:val="24"/>
        </w:rPr>
        <w:t xml:space="preserve">. Notably, tax liabilities stemming from PAYE </w:t>
      </w:r>
      <w:r w:rsidR="00AD1738" w:rsidRPr="00B81AFC">
        <w:rPr>
          <w:rFonts w:ascii="Baskerville Old Face" w:hAnsi="Baskerville Old Face" w:cs="Times New Roman"/>
          <w:sz w:val="24"/>
          <w:szCs w:val="24"/>
        </w:rPr>
        <w:t xml:space="preserve">obligations </w:t>
      </w:r>
      <w:r w:rsidR="00AD1738">
        <w:rPr>
          <w:rFonts w:ascii="Baskerville Old Face" w:hAnsi="Baskerville Old Face" w:cs="Times New Roman"/>
          <w:sz w:val="24"/>
          <w:szCs w:val="24"/>
        </w:rPr>
        <w:t xml:space="preserve">and </w:t>
      </w:r>
      <w:r w:rsidR="005813A3">
        <w:rPr>
          <w:rFonts w:ascii="Baskerville Old Face" w:hAnsi="Baskerville Old Face" w:cs="Times New Roman"/>
          <w:sz w:val="24"/>
          <w:szCs w:val="24"/>
        </w:rPr>
        <w:t>penalties</w:t>
      </w:r>
      <w:r w:rsidR="00AD1738">
        <w:rPr>
          <w:rFonts w:ascii="Baskerville Old Face" w:hAnsi="Baskerville Old Face" w:cs="Times New Roman"/>
          <w:sz w:val="24"/>
          <w:szCs w:val="24"/>
        </w:rPr>
        <w:t xml:space="preserve"> </w:t>
      </w:r>
      <w:r w:rsidRPr="00B81AFC">
        <w:rPr>
          <w:rFonts w:ascii="Baskerville Old Face" w:hAnsi="Baskerville Old Face" w:cs="Times New Roman"/>
          <w:sz w:val="24"/>
          <w:szCs w:val="24"/>
        </w:rPr>
        <w:t>accounted for the highest liability</w:t>
      </w:r>
      <w:r w:rsidR="00567B57">
        <w:rPr>
          <w:rFonts w:ascii="Baskerville Old Face" w:hAnsi="Baskerville Old Face" w:cs="Times New Roman"/>
          <w:sz w:val="24"/>
          <w:szCs w:val="24"/>
        </w:rPr>
        <w:t xml:space="preserve"> </w:t>
      </w:r>
      <w:r w:rsidRPr="00B81AFC">
        <w:rPr>
          <w:rFonts w:ascii="Baskerville Old Face" w:hAnsi="Baskerville Old Face" w:cs="Times New Roman"/>
          <w:sz w:val="24"/>
          <w:szCs w:val="24"/>
        </w:rPr>
        <w:t xml:space="preserve">in local currency and </w:t>
      </w:r>
      <w:r w:rsidR="00567B57">
        <w:rPr>
          <w:rFonts w:ascii="Baskerville Old Face" w:hAnsi="Baskerville Old Face" w:cs="Times New Roman"/>
          <w:sz w:val="24"/>
          <w:szCs w:val="24"/>
        </w:rPr>
        <w:t xml:space="preserve">deemed dividend </w:t>
      </w:r>
      <w:r w:rsidRPr="00B81AFC">
        <w:rPr>
          <w:rFonts w:ascii="Baskerville Old Face" w:hAnsi="Baskerville Old Face" w:cs="Times New Roman"/>
          <w:sz w:val="24"/>
          <w:szCs w:val="24"/>
        </w:rPr>
        <w:t>in USD</w:t>
      </w:r>
      <w:r w:rsidR="00567B57">
        <w:rPr>
          <w:rFonts w:ascii="Baskerville Old Face" w:hAnsi="Baskerville Old Face" w:cs="Times New Roman"/>
          <w:sz w:val="24"/>
          <w:szCs w:val="24"/>
        </w:rPr>
        <w:t xml:space="preserve"> in 2024. PAYE also accounted for the highest liability in the previous year</w:t>
      </w:r>
      <w:r w:rsidR="005813A3">
        <w:rPr>
          <w:rFonts w:ascii="Baskerville Old Face" w:hAnsi="Baskerville Old Face" w:cs="Times New Roman"/>
          <w:sz w:val="24"/>
          <w:szCs w:val="24"/>
        </w:rPr>
        <w:t>,</w:t>
      </w:r>
      <w:r w:rsidR="00567B57">
        <w:rPr>
          <w:rFonts w:ascii="Baskerville Old Face" w:hAnsi="Baskerville Old Face" w:cs="Times New Roman"/>
          <w:sz w:val="24"/>
          <w:szCs w:val="24"/>
        </w:rPr>
        <w:t xml:space="preserve"> both in local currency and in USD. </w:t>
      </w:r>
    </w:p>
    <w:p w14:paraId="4F0CF680" w14:textId="5A30AFA9" w:rsidR="0071721B" w:rsidRPr="002465E3" w:rsidRDefault="0071721B" w:rsidP="0071721B">
      <w:pPr>
        <w:pStyle w:val="Caption"/>
        <w:keepNext/>
        <w:rPr>
          <w:rFonts w:ascii="Baskerville Old Face" w:hAnsi="Baskerville Old Face"/>
          <w:b/>
          <w:bCs/>
          <w:sz w:val="24"/>
          <w:szCs w:val="24"/>
        </w:rPr>
      </w:pPr>
      <w:bookmarkStart w:id="79" w:name="_Toc198044035"/>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17</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xml:space="preserve">: EIRU Tax Audit Liability (2024 and 2023) in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 xml:space="preserve"> and USD</w:t>
      </w:r>
      <w:bookmarkEnd w:id="79"/>
    </w:p>
    <w:tbl>
      <w:tblPr>
        <w:tblStyle w:val="GridTable5Dark-Accent3"/>
        <w:tblW w:w="9625" w:type="dxa"/>
        <w:jc w:val="center"/>
        <w:tblLook w:val="04A0" w:firstRow="1" w:lastRow="0" w:firstColumn="1" w:lastColumn="0" w:noHBand="0" w:noVBand="1"/>
      </w:tblPr>
      <w:tblGrid>
        <w:gridCol w:w="1804"/>
        <w:gridCol w:w="1384"/>
        <w:gridCol w:w="1365"/>
        <w:gridCol w:w="1300"/>
        <w:gridCol w:w="1283"/>
        <w:gridCol w:w="1319"/>
        <w:gridCol w:w="1170"/>
      </w:tblGrid>
      <w:tr w:rsidR="00D429A0" w:rsidRPr="00D429A0" w14:paraId="33BA9BCE" w14:textId="0227999F" w:rsidTr="00D429A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vMerge w:val="restart"/>
            <w:noWrap/>
            <w:hideMark/>
          </w:tcPr>
          <w:p w14:paraId="7E69EE9A" w14:textId="77777777" w:rsidR="00D429A0" w:rsidRPr="00D429A0" w:rsidRDefault="00D429A0" w:rsidP="00D429A0">
            <w:pPr>
              <w:jc w:val="both"/>
              <w:rPr>
                <w:rFonts w:ascii="Baskerville Old Face" w:hAnsi="Baskerville Old Face" w:cs="Times New Roman"/>
                <w:color w:val="auto"/>
                <w:sz w:val="24"/>
                <w:szCs w:val="24"/>
              </w:rPr>
            </w:pPr>
            <w:r w:rsidRPr="00D429A0">
              <w:rPr>
                <w:rFonts w:ascii="Baskerville Old Face" w:hAnsi="Baskerville Old Face" w:cs="Times New Roman"/>
                <w:color w:val="auto"/>
                <w:sz w:val="24"/>
                <w:szCs w:val="24"/>
              </w:rPr>
              <w:t>Tax Type</w:t>
            </w:r>
          </w:p>
        </w:tc>
        <w:tc>
          <w:tcPr>
            <w:tcW w:w="2749" w:type="dxa"/>
            <w:gridSpan w:val="2"/>
            <w:noWrap/>
            <w:hideMark/>
          </w:tcPr>
          <w:p w14:paraId="40F37CE3" w14:textId="77777777" w:rsidR="00D429A0" w:rsidRPr="00D429A0" w:rsidRDefault="00D429A0" w:rsidP="00D429A0">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D429A0">
              <w:rPr>
                <w:rFonts w:ascii="Baskerville Old Face" w:hAnsi="Baskerville Old Face" w:cs="Times New Roman"/>
                <w:color w:val="auto"/>
                <w:sz w:val="24"/>
                <w:szCs w:val="24"/>
              </w:rPr>
              <w:t>2024</w:t>
            </w:r>
          </w:p>
        </w:tc>
        <w:tc>
          <w:tcPr>
            <w:tcW w:w="2583" w:type="dxa"/>
            <w:gridSpan w:val="2"/>
            <w:noWrap/>
            <w:hideMark/>
          </w:tcPr>
          <w:p w14:paraId="580ADC84" w14:textId="77777777" w:rsidR="00D429A0" w:rsidRPr="00D429A0" w:rsidRDefault="00D429A0" w:rsidP="00D429A0">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D429A0">
              <w:rPr>
                <w:rFonts w:ascii="Baskerville Old Face" w:hAnsi="Baskerville Old Face" w:cs="Times New Roman"/>
                <w:color w:val="auto"/>
                <w:sz w:val="24"/>
                <w:szCs w:val="24"/>
                <w:lang w:val="en-GB"/>
              </w:rPr>
              <w:t>2023</w:t>
            </w:r>
          </w:p>
        </w:tc>
        <w:tc>
          <w:tcPr>
            <w:tcW w:w="1319" w:type="dxa"/>
          </w:tcPr>
          <w:p w14:paraId="48ACEB8D" w14:textId="77777777" w:rsidR="00D429A0" w:rsidRPr="00D429A0" w:rsidRDefault="00D429A0" w:rsidP="00D429A0">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sz w:val="24"/>
                <w:szCs w:val="24"/>
                <w:lang w:val="en-GB"/>
              </w:rPr>
            </w:pPr>
          </w:p>
        </w:tc>
        <w:tc>
          <w:tcPr>
            <w:tcW w:w="1170" w:type="dxa"/>
          </w:tcPr>
          <w:p w14:paraId="443D19B1" w14:textId="05C098A7" w:rsidR="00D429A0" w:rsidRPr="00D429A0" w:rsidRDefault="00D429A0" w:rsidP="00D429A0">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sz w:val="24"/>
                <w:szCs w:val="24"/>
                <w:lang w:val="en-GB"/>
              </w:rPr>
            </w:pPr>
          </w:p>
        </w:tc>
      </w:tr>
      <w:tr w:rsidR="00D429A0" w:rsidRPr="00D429A0" w14:paraId="690C1081" w14:textId="770F663A" w:rsidTr="00707A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vMerge/>
            <w:noWrap/>
            <w:hideMark/>
          </w:tcPr>
          <w:p w14:paraId="18F7FE3D" w14:textId="77777777" w:rsidR="00D429A0" w:rsidRPr="00D429A0" w:rsidRDefault="00D429A0" w:rsidP="00D429A0">
            <w:pPr>
              <w:jc w:val="both"/>
              <w:rPr>
                <w:rFonts w:ascii="Baskerville Old Face" w:hAnsi="Baskerville Old Face" w:cs="Times New Roman"/>
                <w:color w:val="auto"/>
                <w:sz w:val="24"/>
                <w:szCs w:val="24"/>
              </w:rPr>
            </w:pPr>
          </w:p>
        </w:tc>
        <w:tc>
          <w:tcPr>
            <w:tcW w:w="2749" w:type="dxa"/>
            <w:gridSpan w:val="2"/>
            <w:noWrap/>
            <w:hideMark/>
          </w:tcPr>
          <w:p w14:paraId="7CE119D0"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lang w:val="en-GB"/>
              </w:rPr>
              <w:t>Currency</w:t>
            </w:r>
          </w:p>
        </w:tc>
        <w:tc>
          <w:tcPr>
            <w:tcW w:w="2583" w:type="dxa"/>
            <w:gridSpan w:val="2"/>
            <w:noWrap/>
            <w:hideMark/>
          </w:tcPr>
          <w:p w14:paraId="62A82E7B"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lang w:val="en-GB"/>
              </w:rPr>
              <w:t>Currency</w:t>
            </w:r>
          </w:p>
        </w:tc>
        <w:tc>
          <w:tcPr>
            <w:tcW w:w="2489" w:type="dxa"/>
            <w:gridSpan w:val="2"/>
          </w:tcPr>
          <w:p w14:paraId="24D1C87E" w14:textId="1D3D35B9"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lang w:val="en-GB"/>
              </w:rPr>
            </w:pPr>
            <w:r w:rsidRPr="00D429A0">
              <w:rPr>
                <w:rFonts w:ascii="Baskerville Old Face" w:hAnsi="Baskerville Old Face" w:cs="Times New Roman"/>
                <w:b/>
                <w:bCs/>
                <w:sz w:val="24"/>
                <w:szCs w:val="24"/>
                <w:lang w:val="en-GB"/>
              </w:rPr>
              <w:t>Difference</w:t>
            </w:r>
          </w:p>
        </w:tc>
      </w:tr>
      <w:tr w:rsidR="00D429A0" w:rsidRPr="00D429A0" w14:paraId="13DDE867" w14:textId="1F054259"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vMerge/>
            <w:noWrap/>
            <w:hideMark/>
          </w:tcPr>
          <w:p w14:paraId="0EE20D51" w14:textId="77777777" w:rsidR="00D429A0" w:rsidRPr="00D429A0" w:rsidRDefault="00D429A0" w:rsidP="00D429A0">
            <w:pPr>
              <w:jc w:val="both"/>
              <w:rPr>
                <w:rFonts w:ascii="Baskerville Old Face" w:hAnsi="Baskerville Old Face" w:cs="Times New Roman"/>
                <w:color w:val="auto"/>
                <w:sz w:val="24"/>
                <w:szCs w:val="24"/>
              </w:rPr>
            </w:pPr>
          </w:p>
        </w:tc>
        <w:tc>
          <w:tcPr>
            <w:tcW w:w="1384" w:type="dxa"/>
            <w:noWrap/>
            <w:hideMark/>
          </w:tcPr>
          <w:p w14:paraId="112597D9"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proofErr w:type="spellStart"/>
            <w:r w:rsidRPr="00D429A0">
              <w:rPr>
                <w:rFonts w:ascii="Baskerville Old Face" w:hAnsi="Baskerville Old Face" w:cs="Times New Roman"/>
                <w:b/>
                <w:bCs/>
                <w:sz w:val="24"/>
                <w:szCs w:val="24"/>
                <w:lang w:val="en-GB"/>
              </w:rPr>
              <w:t>NLe</w:t>
            </w:r>
            <w:proofErr w:type="spellEnd"/>
          </w:p>
        </w:tc>
        <w:tc>
          <w:tcPr>
            <w:tcW w:w="1365" w:type="dxa"/>
            <w:noWrap/>
            <w:hideMark/>
          </w:tcPr>
          <w:p w14:paraId="6A3F14E1"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lang w:val="en-GB"/>
              </w:rPr>
              <w:t>USD</w:t>
            </w:r>
          </w:p>
        </w:tc>
        <w:tc>
          <w:tcPr>
            <w:tcW w:w="1300" w:type="dxa"/>
            <w:noWrap/>
            <w:hideMark/>
          </w:tcPr>
          <w:p w14:paraId="1110ECA9"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proofErr w:type="spellStart"/>
            <w:r w:rsidRPr="00D429A0">
              <w:rPr>
                <w:rFonts w:ascii="Baskerville Old Face" w:hAnsi="Baskerville Old Face" w:cs="Times New Roman"/>
                <w:b/>
                <w:bCs/>
                <w:sz w:val="24"/>
                <w:szCs w:val="24"/>
                <w:lang w:val="en-GB"/>
              </w:rPr>
              <w:t>NLe</w:t>
            </w:r>
            <w:proofErr w:type="spellEnd"/>
          </w:p>
        </w:tc>
        <w:tc>
          <w:tcPr>
            <w:tcW w:w="1283" w:type="dxa"/>
            <w:noWrap/>
            <w:hideMark/>
          </w:tcPr>
          <w:p w14:paraId="5153B89B"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lang w:val="en-GB"/>
              </w:rPr>
              <w:t>USD</w:t>
            </w:r>
          </w:p>
        </w:tc>
        <w:tc>
          <w:tcPr>
            <w:tcW w:w="1319" w:type="dxa"/>
          </w:tcPr>
          <w:p w14:paraId="12C8D970" w14:textId="7162BF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lang w:val="en-GB"/>
              </w:rPr>
            </w:pPr>
            <w:proofErr w:type="spellStart"/>
            <w:r w:rsidRPr="00D429A0">
              <w:rPr>
                <w:rFonts w:ascii="Baskerville Old Face" w:hAnsi="Baskerville Old Face"/>
                <w:b/>
                <w:bCs/>
                <w:color w:val="000000"/>
                <w:lang w:val="en-GB"/>
              </w:rPr>
              <w:t>NLe</w:t>
            </w:r>
            <w:proofErr w:type="spellEnd"/>
          </w:p>
        </w:tc>
        <w:tc>
          <w:tcPr>
            <w:tcW w:w="1170" w:type="dxa"/>
          </w:tcPr>
          <w:p w14:paraId="27CF0921" w14:textId="4EC502F8"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lang w:val="en-GB"/>
              </w:rPr>
            </w:pPr>
            <w:r w:rsidRPr="00D429A0">
              <w:rPr>
                <w:rFonts w:ascii="Baskerville Old Face" w:hAnsi="Baskerville Old Face"/>
                <w:b/>
                <w:bCs/>
                <w:color w:val="000000"/>
                <w:lang w:val="en-GB"/>
              </w:rPr>
              <w:t>USD</w:t>
            </w:r>
          </w:p>
        </w:tc>
      </w:tr>
      <w:tr w:rsidR="00D429A0" w:rsidRPr="00D429A0" w14:paraId="5A0E703B" w14:textId="4C9E04B0"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432985F1"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PAYE</w:t>
            </w:r>
          </w:p>
        </w:tc>
        <w:tc>
          <w:tcPr>
            <w:tcW w:w="1384" w:type="dxa"/>
            <w:noWrap/>
            <w:hideMark/>
          </w:tcPr>
          <w:p w14:paraId="2B04562E" w14:textId="36AF842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32,307,181</w:t>
            </w:r>
          </w:p>
        </w:tc>
        <w:tc>
          <w:tcPr>
            <w:tcW w:w="1365" w:type="dxa"/>
            <w:noWrap/>
            <w:hideMark/>
          </w:tcPr>
          <w:p w14:paraId="606ADE34" w14:textId="3555E59E"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706,073</w:t>
            </w:r>
          </w:p>
        </w:tc>
        <w:tc>
          <w:tcPr>
            <w:tcW w:w="1300" w:type="dxa"/>
            <w:noWrap/>
            <w:hideMark/>
          </w:tcPr>
          <w:p w14:paraId="7EDB5345" w14:textId="0887F21A"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1,247,476</w:t>
            </w:r>
          </w:p>
        </w:tc>
        <w:tc>
          <w:tcPr>
            <w:tcW w:w="1283" w:type="dxa"/>
            <w:noWrap/>
            <w:hideMark/>
          </w:tcPr>
          <w:p w14:paraId="3F166ADD" w14:textId="083F261B"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49,088</w:t>
            </w:r>
          </w:p>
        </w:tc>
        <w:tc>
          <w:tcPr>
            <w:tcW w:w="1319" w:type="dxa"/>
          </w:tcPr>
          <w:p w14:paraId="438BB044" w14:textId="00FABE56"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31,059,705</w:t>
            </w:r>
          </w:p>
        </w:tc>
        <w:tc>
          <w:tcPr>
            <w:tcW w:w="1170" w:type="dxa"/>
          </w:tcPr>
          <w:p w14:paraId="6526BBA3" w14:textId="62816BAC"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656,985</w:t>
            </w:r>
          </w:p>
        </w:tc>
      </w:tr>
      <w:tr w:rsidR="00D429A0" w:rsidRPr="00D429A0" w14:paraId="39B03130" w14:textId="19F9450B"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6F4805D"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Payroll Tax</w:t>
            </w:r>
          </w:p>
        </w:tc>
        <w:tc>
          <w:tcPr>
            <w:tcW w:w="1384" w:type="dxa"/>
            <w:noWrap/>
            <w:hideMark/>
          </w:tcPr>
          <w:p w14:paraId="1CED766F" w14:textId="5D38B190"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368,500</w:t>
            </w:r>
          </w:p>
        </w:tc>
        <w:tc>
          <w:tcPr>
            <w:tcW w:w="1365" w:type="dxa"/>
            <w:noWrap/>
            <w:hideMark/>
          </w:tcPr>
          <w:p w14:paraId="5CE54389" w14:textId="3165B2D2"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426</w:t>
            </w:r>
          </w:p>
        </w:tc>
        <w:tc>
          <w:tcPr>
            <w:tcW w:w="1300" w:type="dxa"/>
            <w:noWrap/>
            <w:hideMark/>
          </w:tcPr>
          <w:p w14:paraId="625CB5FC" w14:textId="363076FA"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295,000</w:t>
            </w:r>
          </w:p>
        </w:tc>
        <w:tc>
          <w:tcPr>
            <w:tcW w:w="1283" w:type="dxa"/>
            <w:noWrap/>
            <w:hideMark/>
          </w:tcPr>
          <w:p w14:paraId="19BE6EDF" w14:textId="4F6CB29A"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2,500</w:t>
            </w:r>
          </w:p>
        </w:tc>
        <w:tc>
          <w:tcPr>
            <w:tcW w:w="1319" w:type="dxa"/>
          </w:tcPr>
          <w:p w14:paraId="590C477C" w14:textId="715B7CCC"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73,500</w:t>
            </w:r>
          </w:p>
        </w:tc>
        <w:tc>
          <w:tcPr>
            <w:tcW w:w="1170" w:type="dxa"/>
          </w:tcPr>
          <w:p w14:paraId="0ADA6EE5" w14:textId="5DCF8B94"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(2,074)</w:t>
            </w:r>
          </w:p>
        </w:tc>
      </w:tr>
      <w:tr w:rsidR="00D429A0" w:rsidRPr="00D429A0" w14:paraId="43A7139D" w14:textId="78DD0DFF"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375BBF8D"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Withholding Tax</w:t>
            </w:r>
          </w:p>
        </w:tc>
        <w:tc>
          <w:tcPr>
            <w:tcW w:w="1384" w:type="dxa"/>
            <w:noWrap/>
            <w:hideMark/>
          </w:tcPr>
          <w:p w14:paraId="55D05824" w14:textId="39412800"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2,951,951</w:t>
            </w:r>
          </w:p>
        </w:tc>
        <w:tc>
          <w:tcPr>
            <w:tcW w:w="1365" w:type="dxa"/>
            <w:noWrap/>
            <w:hideMark/>
          </w:tcPr>
          <w:p w14:paraId="34D247B4" w14:textId="39F2B27D"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204,935</w:t>
            </w:r>
          </w:p>
        </w:tc>
        <w:tc>
          <w:tcPr>
            <w:tcW w:w="1300" w:type="dxa"/>
            <w:noWrap/>
            <w:hideMark/>
          </w:tcPr>
          <w:p w14:paraId="02158A14" w14:textId="225A3844"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714,500</w:t>
            </w:r>
          </w:p>
        </w:tc>
        <w:tc>
          <w:tcPr>
            <w:tcW w:w="1283" w:type="dxa"/>
            <w:noWrap/>
            <w:hideMark/>
          </w:tcPr>
          <w:p w14:paraId="0F5ED1E6" w14:textId="383616AC"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12,014</w:t>
            </w:r>
          </w:p>
        </w:tc>
        <w:tc>
          <w:tcPr>
            <w:tcW w:w="1319" w:type="dxa"/>
          </w:tcPr>
          <w:p w14:paraId="14BD227A" w14:textId="42A860E4"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2,237,451</w:t>
            </w:r>
          </w:p>
        </w:tc>
        <w:tc>
          <w:tcPr>
            <w:tcW w:w="1170" w:type="dxa"/>
          </w:tcPr>
          <w:p w14:paraId="536EE26D" w14:textId="3BC0BBF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192,921</w:t>
            </w:r>
          </w:p>
        </w:tc>
      </w:tr>
      <w:tr w:rsidR="00D429A0" w:rsidRPr="00D429A0" w14:paraId="4D3F8E49" w14:textId="5FF153ED"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BA83B35"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Corporation Tax</w:t>
            </w:r>
          </w:p>
        </w:tc>
        <w:tc>
          <w:tcPr>
            <w:tcW w:w="1384" w:type="dxa"/>
            <w:noWrap/>
            <w:hideMark/>
          </w:tcPr>
          <w:p w14:paraId="7FF463E6" w14:textId="2CBF3D09"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3,533,825</w:t>
            </w:r>
          </w:p>
        </w:tc>
        <w:tc>
          <w:tcPr>
            <w:tcW w:w="1365" w:type="dxa"/>
            <w:noWrap/>
            <w:hideMark/>
          </w:tcPr>
          <w:p w14:paraId="5DA9744D" w14:textId="5DB6C9F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1,310,412</w:t>
            </w:r>
          </w:p>
        </w:tc>
        <w:tc>
          <w:tcPr>
            <w:tcW w:w="1300" w:type="dxa"/>
            <w:noWrap/>
            <w:hideMark/>
          </w:tcPr>
          <w:p w14:paraId="48DF90A7" w14:textId="64EA9F30"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114,061</w:t>
            </w:r>
          </w:p>
        </w:tc>
        <w:tc>
          <w:tcPr>
            <w:tcW w:w="1283" w:type="dxa"/>
            <w:noWrap/>
            <w:hideMark/>
          </w:tcPr>
          <w:p w14:paraId="43BD38F9" w14:textId="009DFFD4"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w:t>
            </w:r>
          </w:p>
        </w:tc>
        <w:tc>
          <w:tcPr>
            <w:tcW w:w="1319" w:type="dxa"/>
          </w:tcPr>
          <w:p w14:paraId="5614B29E" w14:textId="1B6D1A5A"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3,419,764</w:t>
            </w:r>
          </w:p>
        </w:tc>
        <w:tc>
          <w:tcPr>
            <w:tcW w:w="1170" w:type="dxa"/>
          </w:tcPr>
          <w:p w14:paraId="482D8D41" w14:textId="36E04DC8"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r>
      <w:tr w:rsidR="00D429A0" w:rsidRPr="00D429A0" w14:paraId="7F5B7A53" w14:textId="1690CE82"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1A425A97"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Royalty</w:t>
            </w:r>
          </w:p>
        </w:tc>
        <w:tc>
          <w:tcPr>
            <w:tcW w:w="1384" w:type="dxa"/>
            <w:noWrap/>
            <w:hideMark/>
          </w:tcPr>
          <w:p w14:paraId="7E9A250C"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c>
          <w:tcPr>
            <w:tcW w:w="1365" w:type="dxa"/>
            <w:noWrap/>
            <w:hideMark/>
          </w:tcPr>
          <w:p w14:paraId="7A8C4786" w14:textId="783EED3C"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290,606</w:t>
            </w:r>
          </w:p>
        </w:tc>
        <w:tc>
          <w:tcPr>
            <w:tcW w:w="1300" w:type="dxa"/>
            <w:noWrap/>
            <w:hideMark/>
          </w:tcPr>
          <w:p w14:paraId="72A0DDC8"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c>
          <w:tcPr>
            <w:tcW w:w="1283" w:type="dxa"/>
            <w:noWrap/>
            <w:hideMark/>
          </w:tcPr>
          <w:p w14:paraId="20693679" w14:textId="653962AD"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w:t>
            </w:r>
          </w:p>
        </w:tc>
        <w:tc>
          <w:tcPr>
            <w:tcW w:w="1319" w:type="dxa"/>
          </w:tcPr>
          <w:p w14:paraId="11D4C2E4" w14:textId="55581834"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w:t>
            </w:r>
          </w:p>
        </w:tc>
        <w:tc>
          <w:tcPr>
            <w:tcW w:w="1170" w:type="dxa"/>
          </w:tcPr>
          <w:p w14:paraId="4C4F072D" w14:textId="731543BE"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r>
      <w:tr w:rsidR="00D429A0" w:rsidRPr="00D429A0" w14:paraId="22398B3D" w14:textId="0ED31ACC"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7370AF18"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Capital Gains Tax</w:t>
            </w:r>
          </w:p>
        </w:tc>
        <w:tc>
          <w:tcPr>
            <w:tcW w:w="1384" w:type="dxa"/>
            <w:noWrap/>
            <w:hideMark/>
          </w:tcPr>
          <w:p w14:paraId="44FA301E"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365" w:type="dxa"/>
            <w:noWrap/>
            <w:hideMark/>
          </w:tcPr>
          <w:p w14:paraId="4D14C73D"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300" w:type="dxa"/>
            <w:noWrap/>
            <w:hideMark/>
          </w:tcPr>
          <w:p w14:paraId="312C4EEB"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283" w:type="dxa"/>
            <w:noWrap/>
            <w:hideMark/>
          </w:tcPr>
          <w:p w14:paraId="0BDC6C75" w14:textId="31F1901D"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w:t>
            </w:r>
          </w:p>
        </w:tc>
        <w:tc>
          <w:tcPr>
            <w:tcW w:w="1319" w:type="dxa"/>
          </w:tcPr>
          <w:p w14:paraId="43FA1BBF" w14:textId="75480A96"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w:t>
            </w:r>
          </w:p>
        </w:tc>
        <w:tc>
          <w:tcPr>
            <w:tcW w:w="1170" w:type="dxa"/>
          </w:tcPr>
          <w:p w14:paraId="53B7C898" w14:textId="2A4569D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r>
      <w:tr w:rsidR="00D429A0" w:rsidRPr="00D429A0" w14:paraId="1E279775" w14:textId="4C9749CE"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149F689F"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GST</w:t>
            </w:r>
          </w:p>
        </w:tc>
        <w:tc>
          <w:tcPr>
            <w:tcW w:w="1384" w:type="dxa"/>
            <w:noWrap/>
            <w:hideMark/>
          </w:tcPr>
          <w:p w14:paraId="427D5DD9" w14:textId="7CB4C38D"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418,397</w:t>
            </w:r>
          </w:p>
        </w:tc>
        <w:tc>
          <w:tcPr>
            <w:tcW w:w="1365" w:type="dxa"/>
            <w:noWrap/>
            <w:hideMark/>
          </w:tcPr>
          <w:p w14:paraId="5E862F9D"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c>
          <w:tcPr>
            <w:tcW w:w="1300" w:type="dxa"/>
            <w:noWrap/>
            <w:hideMark/>
          </w:tcPr>
          <w:p w14:paraId="5CDD7572"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c>
          <w:tcPr>
            <w:tcW w:w="1283" w:type="dxa"/>
            <w:noWrap/>
            <w:hideMark/>
          </w:tcPr>
          <w:p w14:paraId="36EF8755" w14:textId="617B68DC"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w:t>
            </w:r>
          </w:p>
        </w:tc>
        <w:tc>
          <w:tcPr>
            <w:tcW w:w="1319" w:type="dxa"/>
          </w:tcPr>
          <w:p w14:paraId="4A903492" w14:textId="74E23860"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418,397</w:t>
            </w:r>
          </w:p>
        </w:tc>
        <w:tc>
          <w:tcPr>
            <w:tcW w:w="1170" w:type="dxa"/>
          </w:tcPr>
          <w:p w14:paraId="62F754D3" w14:textId="6D07428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r>
      <w:tr w:rsidR="00D429A0" w:rsidRPr="00D429A0" w14:paraId="1B069A7E" w14:textId="457E1F8F"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6FEA133B"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GST Overclaim</w:t>
            </w:r>
          </w:p>
        </w:tc>
        <w:tc>
          <w:tcPr>
            <w:tcW w:w="1384" w:type="dxa"/>
            <w:noWrap/>
            <w:hideMark/>
          </w:tcPr>
          <w:p w14:paraId="01F0B353" w14:textId="069E32B6"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2,199,957</w:t>
            </w:r>
          </w:p>
        </w:tc>
        <w:tc>
          <w:tcPr>
            <w:tcW w:w="1365" w:type="dxa"/>
            <w:noWrap/>
            <w:hideMark/>
          </w:tcPr>
          <w:p w14:paraId="0A1C386B"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300" w:type="dxa"/>
            <w:noWrap/>
            <w:hideMark/>
          </w:tcPr>
          <w:p w14:paraId="77AD1C5D"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283" w:type="dxa"/>
            <w:noWrap/>
            <w:hideMark/>
          </w:tcPr>
          <w:p w14:paraId="47261529"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319" w:type="dxa"/>
          </w:tcPr>
          <w:p w14:paraId="6CEAE510" w14:textId="7777777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c>
          <w:tcPr>
            <w:tcW w:w="1170" w:type="dxa"/>
          </w:tcPr>
          <w:p w14:paraId="128D82ED" w14:textId="193DA4E0"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r>
      <w:tr w:rsidR="00D429A0" w:rsidRPr="00D429A0" w14:paraId="5640D6CB" w14:textId="59E466A2"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67618A05"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Deemed Dividend</w:t>
            </w:r>
          </w:p>
        </w:tc>
        <w:tc>
          <w:tcPr>
            <w:tcW w:w="1384" w:type="dxa"/>
            <w:noWrap/>
            <w:hideMark/>
          </w:tcPr>
          <w:p w14:paraId="23F8CF24" w14:textId="34C6987C"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793,347</w:t>
            </w:r>
          </w:p>
        </w:tc>
        <w:tc>
          <w:tcPr>
            <w:tcW w:w="1365" w:type="dxa"/>
            <w:noWrap/>
            <w:hideMark/>
          </w:tcPr>
          <w:p w14:paraId="1B2F4C15" w14:textId="13784225"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2,195,151</w:t>
            </w:r>
          </w:p>
        </w:tc>
        <w:tc>
          <w:tcPr>
            <w:tcW w:w="1300" w:type="dxa"/>
            <w:noWrap/>
            <w:hideMark/>
          </w:tcPr>
          <w:p w14:paraId="0086775B" w14:textId="77777777"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c>
          <w:tcPr>
            <w:tcW w:w="1283" w:type="dxa"/>
            <w:noWrap/>
            <w:hideMark/>
          </w:tcPr>
          <w:p w14:paraId="419D9A9A" w14:textId="75A626FD"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w:t>
            </w:r>
          </w:p>
        </w:tc>
        <w:tc>
          <w:tcPr>
            <w:tcW w:w="1319" w:type="dxa"/>
          </w:tcPr>
          <w:p w14:paraId="7FCD2E4A" w14:textId="145A6F39"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793,347</w:t>
            </w:r>
          </w:p>
        </w:tc>
        <w:tc>
          <w:tcPr>
            <w:tcW w:w="1170" w:type="dxa"/>
          </w:tcPr>
          <w:p w14:paraId="2A4238F5" w14:textId="0A627FCA"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p>
        </w:tc>
      </w:tr>
      <w:tr w:rsidR="00D429A0" w:rsidRPr="00D429A0" w14:paraId="50CD1D06" w14:textId="498FDC41" w:rsidTr="00D429A0">
        <w:trPr>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107D0EAD" w14:textId="77777777" w:rsidR="00D429A0" w:rsidRPr="00D429A0" w:rsidRDefault="00D429A0" w:rsidP="00D429A0">
            <w:pPr>
              <w:jc w:val="both"/>
              <w:rPr>
                <w:rFonts w:ascii="Baskerville Old Face" w:hAnsi="Baskerville Old Face" w:cs="Times New Roman"/>
                <w:b w:val="0"/>
                <w:bCs w:val="0"/>
                <w:color w:val="auto"/>
                <w:sz w:val="24"/>
                <w:szCs w:val="24"/>
              </w:rPr>
            </w:pPr>
            <w:r w:rsidRPr="00D429A0">
              <w:rPr>
                <w:rFonts w:ascii="Baskerville Old Face" w:hAnsi="Baskerville Old Face" w:cs="Times New Roman"/>
                <w:b w:val="0"/>
                <w:bCs w:val="0"/>
                <w:color w:val="auto"/>
                <w:sz w:val="24"/>
                <w:szCs w:val="24"/>
              </w:rPr>
              <w:t>Penalty</w:t>
            </w:r>
          </w:p>
        </w:tc>
        <w:tc>
          <w:tcPr>
            <w:tcW w:w="1384" w:type="dxa"/>
            <w:noWrap/>
            <w:hideMark/>
          </w:tcPr>
          <w:p w14:paraId="28A8D007" w14:textId="6E6686EF"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6,838,445</w:t>
            </w:r>
          </w:p>
        </w:tc>
        <w:tc>
          <w:tcPr>
            <w:tcW w:w="1365" w:type="dxa"/>
            <w:noWrap/>
            <w:hideMark/>
          </w:tcPr>
          <w:p w14:paraId="6F415376" w14:textId="1473B5D7"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645,288</w:t>
            </w:r>
          </w:p>
        </w:tc>
        <w:tc>
          <w:tcPr>
            <w:tcW w:w="1300" w:type="dxa"/>
            <w:noWrap/>
            <w:hideMark/>
          </w:tcPr>
          <w:p w14:paraId="382BDB8A" w14:textId="2B3568C9"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225,065</w:t>
            </w:r>
          </w:p>
        </w:tc>
        <w:tc>
          <w:tcPr>
            <w:tcW w:w="1283" w:type="dxa"/>
            <w:noWrap/>
            <w:hideMark/>
          </w:tcPr>
          <w:p w14:paraId="059218C6" w14:textId="4C1A178F"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s="Times New Roman"/>
                <w:sz w:val="24"/>
                <w:szCs w:val="24"/>
              </w:rPr>
              <w:t>6,360</w:t>
            </w:r>
          </w:p>
        </w:tc>
        <w:tc>
          <w:tcPr>
            <w:tcW w:w="1319" w:type="dxa"/>
          </w:tcPr>
          <w:p w14:paraId="283E99B7" w14:textId="287DAF0D"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6,613,380</w:t>
            </w:r>
          </w:p>
        </w:tc>
        <w:tc>
          <w:tcPr>
            <w:tcW w:w="1170" w:type="dxa"/>
          </w:tcPr>
          <w:p w14:paraId="2F018DDE" w14:textId="4430D113" w:rsidR="00D429A0" w:rsidRPr="00D429A0" w:rsidRDefault="00D429A0" w:rsidP="00D429A0">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D429A0">
              <w:rPr>
                <w:rFonts w:ascii="Baskerville Old Face" w:hAnsi="Baskerville Old Face"/>
                <w:color w:val="000000"/>
              </w:rPr>
              <w:t>638,928</w:t>
            </w:r>
          </w:p>
        </w:tc>
      </w:tr>
      <w:tr w:rsidR="00D429A0" w:rsidRPr="00D429A0" w14:paraId="39418707" w14:textId="69AC58D5" w:rsidTr="00D429A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04" w:type="dxa"/>
            <w:noWrap/>
            <w:hideMark/>
          </w:tcPr>
          <w:p w14:paraId="67DF58C0" w14:textId="77777777" w:rsidR="00D429A0" w:rsidRPr="00D429A0" w:rsidRDefault="00D429A0" w:rsidP="00D429A0">
            <w:pPr>
              <w:jc w:val="both"/>
              <w:rPr>
                <w:rFonts w:ascii="Baskerville Old Face" w:hAnsi="Baskerville Old Face" w:cs="Times New Roman"/>
                <w:color w:val="auto"/>
                <w:sz w:val="24"/>
                <w:szCs w:val="24"/>
              </w:rPr>
            </w:pPr>
            <w:r w:rsidRPr="00D429A0">
              <w:rPr>
                <w:rFonts w:ascii="Baskerville Old Face" w:hAnsi="Baskerville Old Face" w:cs="Times New Roman"/>
                <w:color w:val="auto"/>
                <w:sz w:val="24"/>
                <w:szCs w:val="24"/>
              </w:rPr>
              <w:t>TOTAL</w:t>
            </w:r>
          </w:p>
        </w:tc>
        <w:tc>
          <w:tcPr>
            <w:tcW w:w="1384" w:type="dxa"/>
            <w:noWrap/>
            <w:hideMark/>
          </w:tcPr>
          <w:p w14:paraId="7E5CBB54" w14:textId="3D040A00"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rPr>
              <w:t>49,411,603</w:t>
            </w:r>
          </w:p>
        </w:tc>
        <w:tc>
          <w:tcPr>
            <w:tcW w:w="1365" w:type="dxa"/>
            <w:noWrap/>
            <w:hideMark/>
          </w:tcPr>
          <w:p w14:paraId="468B6FD7" w14:textId="2E00D6C8"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rPr>
              <w:t>5,352,891</w:t>
            </w:r>
          </w:p>
        </w:tc>
        <w:tc>
          <w:tcPr>
            <w:tcW w:w="1300" w:type="dxa"/>
            <w:noWrap/>
            <w:hideMark/>
          </w:tcPr>
          <w:p w14:paraId="6E4E5B5A" w14:textId="3AFBEFC2"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rPr>
              <w:t>2,596,102</w:t>
            </w:r>
          </w:p>
        </w:tc>
        <w:tc>
          <w:tcPr>
            <w:tcW w:w="1283" w:type="dxa"/>
            <w:noWrap/>
            <w:hideMark/>
          </w:tcPr>
          <w:p w14:paraId="4F137A24" w14:textId="5235DCC1"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cs="Times New Roman"/>
                <w:b/>
                <w:bCs/>
                <w:sz w:val="24"/>
                <w:szCs w:val="24"/>
              </w:rPr>
              <w:t>69,962</w:t>
            </w:r>
          </w:p>
        </w:tc>
        <w:tc>
          <w:tcPr>
            <w:tcW w:w="1319" w:type="dxa"/>
          </w:tcPr>
          <w:p w14:paraId="650F65F3" w14:textId="49937A8E"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b/>
                <w:bCs/>
                <w:color w:val="000000"/>
              </w:rPr>
              <w:t>46,815,501</w:t>
            </w:r>
          </w:p>
        </w:tc>
        <w:tc>
          <w:tcPr>
            <w:tcW w:w="1170" w:type="dxa"/>
          </w:tcPr>
          <w:p w14:paraId="13D8E5C2" w14:textId="33CA2852" w:rsidR="00D429A0" w:rsidRPr="00D429A0" w:rsidRDefault="00D429A0" w:rsidP="00D429A0">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D429A0">
              <w:rPr>
                <w:rFonts w:ascii="Baskerville Old Face" w:hAnsi="Baskerville Old Face"/>
                <w:b/>
                <w:bCs/>
                <w:color w:val="000000"/>
              </w:rPr>
              <w:t>5,282,929</w:t>
            </w:r>
          </w:p>
        </w:tc>
      </w:tr>
    </w:tbl>
    <w:p w14:paraId="4C5AC1D7" w14:textId="29E75F8F" w:rsidR="00BC0266" w:rsidRPr="00BD27B1" w:rsidRDefault="00BC0266" w:rsidP="00BC026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EIRU, </w:t>
      </w:r>
      <w:r w:rsidRPr="00BD27B1">
        <w:rPr>
          <w:rFonts w:ascii="Baskerville Old Face" w:hAnsi="Baskerville Old Face" w:cs="Times New Roman"/>
          <w:i/>
          <w:iCs/>
          <w:sz w:val="20"/>
          <w:szCs w:val="20"/>
        </w:rPr>
        <w:t>DTD</w:t>
      </w:r>
    </w:p>
    <w:p w14:paraId="65D4F1ED" w14:textId="2D3003F7" w:rsidR="00C50BBB" w:rsidRPr="00520DD2" w:rsidRDefault="00520DD2" w:rsidP="00C03BAC">
      <w:pPr>
        <w:pStyle w:val="Heading2"/>
        <w:rPr>
          <w:rFonts w:ascii="Baskerville Old Face" w:hAnsi="Baskerville Old Face"/>
          <w:b/>
          <w:bCs/>
        </w:rPr>
      </w:pPr>
      <w:bookmarkStart w:id="80" w:name="_Toc198043942"/>
      <w:r w:rsidRPr="00520DD2">
        <w:rPr>
          <w:rFonts w:ascii="Baskerville Old Face" w:hAnsi="Baskerville Old Face"/>
          <w:b/>
          <w:bCs/>
        </w:rPr>
        <w:lastRenderedPageBreak/>
        <w:t xml:space="preserve">4.4 </w:t>
      </w:r>
      <w:r w:rsidR="00C50BBB" w:rsidRPr="00520DD2">
        <w:rPr>
          <w:rFonts w:ascii="Baskerville Old Face" w:hAnsi="Baskerville Old Face"/>
          <w:b/>
          <w:bCs/>
        </w:rPr>
        <w:t>CSD POST CLEARANCE AUDIT ACTIVITIES IN 202</w:t>
      </w:r>
      <w:r w:rsidR="005300AB" w:rsidRPr="00520DD2">
        <w:rPr>
          <w:rFonts w:ascii="Baskerville Old Face" w:hAnsi="Baskerville Old Face"/>
          <w:b/>
          <w:bCs/>
        </w:rPr>
        <w:t>4</w:t>
      </w:r>
      <w:bookmarkEnd w:id="80"/>
    </w:p>
    <w:p w14:paraId="4F6AC34D" w14:textId="31A2770B" w:rsidR="008D3D18" w:rsidRPr="005300AB" w:rsidRDefault="008D3D18" w:rsidP="005300AB">
      <w:pPr>
        <w:spacing w:line="276" w:lineRule="auto"/>
        <w:jc w:val="both"/>
        <w:rPr>
          <w:rFonts w:ascii="Baskerville Old Face" w:hAnsi="Baskerville Old Face" w:cs="Times New Roman"/>
          <w:sz w:val="24"/>
          <w:szCs w:val="24"/>
        </w:rPr>
      </w:pPr>
      <w:r w:rsidRPr="005300AB">
        <w:rPr>
          <w:rFonts w:ascii="Baskerville Old Face" w:hAnsi="Baskerville Old Face" w:cs="Times New Roman"/>
          <w:sz w:val="24"/>
          <w:szCs w:val="24"/>
        </w:rPr>
        <w:t xml:space="preserve">The primary function of </w:t>
      </w:r>
      <w:r w:rsidR="00917E63">
        <w:rPr>
          <w:rFonts w:ascii="Baskerville Old Face" w:hAnsi="Baskerville Old Face" w:cs="Times New Roman"/>
          <w:sz w:val="24"/>
          <w:szCs w:val="24"/>
        </w:rPr>
        <w:t>Post Clearance Audit</w:t>
      </w:r>
      <w:r w:rsidRPr="005300AB">
        <w:rPr>
          <w:rFonts w:ascii="Baskerville Old Face" w:hAnsi="Baskerville Old Face" w:cs="Times New Roman"/>
          <w:sz w:val="24"/>
          <w:szCs w:val="24"/>
        </w:rPr>
        <w:t xml:space="preserve"> </w:t>
      </w:r>
      <w:r w:rsidR="00917E63">
        <w:rPr>
          <w:rFonts w:ascii="Baskerville Old Face" w:hAnsi="Baskerville Old Face" w:cs="Times New Roman"/>
          <w:sz w:val="24"/>
          <w:szCs w:val="24"/>
        </w:rPr>
        <w:t>(</w:t>
      </w:r>
      <w:r w:rsidRPr="005300AB">
        <w:rPr>
          <w:rFonts w:ascii="Baskerville Old Face" w:hAnsi="Baskerville Old Face" w:cs="Times New Roman"/>
          <w:sz w:val="24"/>
          <w:szCs w:val="24"/>
        </w:rPr>
        <w:t>PCA</w:t>
      </w:r>
      <w:r w:rsidR="00917E63">
        <w:rPr>
          <w:rFonts w:ascii="Baskerville Old Face" w:hAnsi="Baskerville Old Face" w:cs="Times New Roman"/>
          <w:sz w:val="24"/>
          <w:szCs w:val="24"/>
        </w:rPr>
        <w:t>)</w:t>
      </w:r>
      <w:r w:rsidRPr="005300AB">
        <w:rPr>
          <w:rFonts w:ascii="Baskerville Old Face" w:hAnsi="Baskerville Old Face" w:cs="Times New Roman"/>
          <w:sz w:val="24"/>
          <w:szCs w:val="24"/>
        </w:rPr>
        <w:t xml:space="preserve"> is to perform audits, to verify the accuracy of import documentation, including </w:t>
      </w:r>
      <w:r w:rsidR="00917E63">
        <w:rPr>
          <w:rFonts w:ascii="Baskerville Old Face" w:hAnsi="Baskerville Old Face" w:cs="Times New Roman"/>
          <w:sz w:val="24"/>
          <w:szCs w:val="24"/>
        </w:rPr>
        <w:t>c</w:t>
      </w:r>
      <w:r w:rsidRPr="005300AB">
        <w:rPr>
          <w:rFonts w:ascii="Baskerville Old Face" w:hAnsi="Baskerville Old Face" w:cs="Times New Roman"/>
          <w:sz w:val="24"/>
          <w:szCs w:val="24"/>
        </w:rPr>
        <w:t xml:space="preserve">ustoms declarations, accounting records, </w:t>
      </w:r>
      <w:r w:rsidR="00B21314" w:rsidRPr="005300AB">
        <w:rPr>
          <w:rFonts w:ascii="Baskerville Old Face" w:hAnsi="Baskerville Old Face" w:cs="Times New Roman"/>
          <w:sz w:val="24"/>
          <w:szCs w:val="24"/>
        </w:rPr>
        <w:t>trader records,</w:t>
      </w:r>
      <w:r w:rsidR="00B21314" w:rsidRPr="005300AB">
        <w:rPr>
          <w:rFonts w:ascii="Baskerville Old Face" w:hAnsi="Baskerville Old Face"/>
        </w:rPr>
        <w:t xml:space="preserve"> </w:t>
      </w:r>
      <w:r w:rsidR="00B21314" w:rsidRPr="005300AB">
        <w:rPr>
          <w:rFonts w:ascii="Baskerville Old Face" w:hAnsi="Baskerville Old Face" w:cs="Times New Roman"/>
          <w:sz w:val="24"/>
          <w:szCs w:val="24"/>
        </w:rPr>
        <w:t>physical stocks</w:t>
      </w:r>
      <w:r w:rsidR="005813A3">
        <w:rPr>
          <w:rFonts w:ascii="Baskerville Old Face" w:hAnsi="Baskerville Old Face" w:cs="Times New Roman"/>
          <w:sz w:val="24"/>
          <w:szCs w:val="24"/>
        </w:rPr>
        <w:t>,</w:t>
      </w:r>
      <w:r w:rsidR="00B21314" w:rsidRPr="005300AB">
        <w:rPr>
          <w:rFonts w:ascii="Baskerville Old Face" w:hAnsi="Baskerville Old Face" w:cs="Times New Roman"/>
          <w:sz w:val="24"/>
          <w:szCs w:val="24"/>
        </w:rPr>
        <w:t xml:space="preserve"> </w:t>
      </w:r>
      <w:r w:rsidRPr="005300AB">
        <w:rPr>
          <w:rFonts w:ascii="Baskerville Old Face" w:hAnsi="Baskerville Old Face" w:cs="Times New Roman"/>
          <w:sz w:val="24"/>
          <w:szCs w:val="24"/>
        </w:rPr>
        <w:t xml:space="preserve">and other pertinent commercial data maintained by individuals or entities involved in cross-border trade, either directly or indirectly. These activities are characteristic of modern </w:t>
      </w:r>
      <w:r w:rsidR="00917E63">
        <w:rPr>
          <w:rFonts w:ascii="Baskerville Old Face" w:hAnsi="Baskerville Old Face" w:cs="Times New Roman"/>
          <w:sz w:val="24"/>
          <w:szCs w:val="24"/>
        </w:rPr>
        <w:t>c</w:t>
      </w:r>
      <w:r w:rsidRPr="005300AB">
        <w:rPr>
          <w:rFonts w:ascii="Baskerville Old Face" w:hAnsi="Baskerville Old Face" w:cs="Times New Roman"/>
          <w:sz w:val="24"/>
          <w:szCs w:val="24"/>
        </w:rPr>
        <w:t xml:space="preserve">ustoms </w:t>
      </w:r>
      <w:r w:rsidR="00B21314" w:rsidRPr="005300AB">
        <w:rPr>
          <w:rFonts w:ascii="Baskerville Old Face" w:hAnsi="Baskerville Old Face" w:cs="Times New Roman"/>
          <w:sz w:val="24"/>
          <w:szCs w:val="24"/>
        </w:rPr>
        <w:t>administration</w:t>
      </w:r>
      <w:r w:rsidRPr="005300AB">
        <w:rPr>
          <w:rFonts w:ascii="Baskerville Old Face" w:hAnsi="Baskerville Old Face" w:cs="Times New Roman"/>
          <w:sz w:val="24"/>
          <w:szCs w:val="24"/>
        </w:rPr>
        <w:t xml:space="preserve"> and are designed to enhance </w:t>
      </w:r>
      <w:r w:rsidR="00917E63">
        <w:rPr>
          <w:rFonts w:ascii="Baskerville Old Face" w:hAnsi="Baskerville Old Face" w:cs="Times New Roman"/>
          <w:sz w:val="24"/>
          <w:szCs w:val="24"/>
        </w:rPr>
        <w:t>c</w:t>
      </w:r>
      <w:r w:rsidRPr="005300AB">
        <w:rPr>
          <w:rFonts w:ascii="Baskerville Old Face" w:hAnsi="Baskerville Old Face" w:cs="Times New Roman"/>
          <w:sz w:val="24"/>
          <w:szCs w:val="24"/>
        </w:rPr>
        <w:t xml:space="preserve">ustoms revenue collection and expedite processing times by </w:t>
      </w:r>
      <w:proofErr w:type="spellStart"/>
      <w:r w:rsidRPr="005300AB">
        <w:rPr>
          <w:rFonts w:ascii="Baskerville Old Face" w:hAnsi="Baskerville Old Face" w:cs="Times New Roman"/>
          <w:sz w:val="24"/>
          <w:szCs w:val="24"/>
        </w:rPr>
        <w:t>minimising</w:t>
      </w:r>
      <w:proofErr w:type="spellEnd"/>
      <w:r w:rsidRPr="005300AB">
        <w:rPr>
          <w:rFonts w:ascii="Baskerville Old Face" w:hAnsi="Baskerville Old Face" w:cs="Times New Roman"/>
          <w:sz w:val="24"/>
          <w:szCs w:val="24"/>
        </w:rPr>
        <w:t xml:space="preserve"> intrusive inspections through a risk-based audit approach.</w:t>
      </w:r>
    </w:p>
    <w:p w14:paraId="3A02E091" w14:textId="25A92844" w:rsidR="008D3D18" w:rsidRPr="005300AB" w:rsidRDefault="008D3D18" w:rsidP="005300AB">
      <w:pPr>
        <w:spacing w:line="276" w:lineRule="auto"/>
        <w:jc w:val="both"/>
        <w:rPr>
          <w:rFonts w:ascii="Baskerville Old Face" w:hAnsi="Baskerville Old Face" w:cs="Times New Roman"/>
          <w:sz w:val="24"/>
          <w:szCs w:val="24"/>
        </w:rPr>
      </w:pPr>
      <w:r w:rsidRPr="005300AB">
        <w:rPr>
          <w:rFonts w:ascii="Baskerville Old Face" w:hAnsi="Baskerville Old Face" w:cs="Times New Roman"/>
          <w:sz w:val="24"/>
          <w:szCs w:val="24"/>
        </w:rPr>
        <w:t>The PCA Unit works in collaboration with the CSD Risk Management Unit (RMU) to develop an annual Risk Register for profiling purposes and provides feedback to the Trade and Tariff Unit. Its activities encompass both desk and field audits, as well as joint examinations with the ASU and Risk Management Units.</w:t>
      </w:r>
    </w:p>
    <w:p w14:paraId="285C76A5" w14:textId="77777777" w:rsidR="005300AB" w:rsidRPr="005300AB" w:rsidRDefault="005300AB" w:rsidP="005300AB">
      <w:pPr>
        <w:spacing w:line="276" w:lineRule="auto"/>
        <w:jc w:val="both"/>
        <w:rPr>
          <w:rFonts w:ascii="Baskerville Old Face" w:hAnsi="Baskerville Old Face"/>
          <w:sz w:val="24"/>
          <w:szCs w:val="24"/>
        </w:rPr>
      </w:pPr>
      <w:r w:rsidRPr="005300AB">
        <w:rPr>
          <w:rFonts w:ascii="Baskerville Old Face" w:hAnsi="Baskerville Old Face"/>
          <w:sz w:val="24"/>
          <w:szCs w:val="24"/>
        </w:rPr>
        <w:t xml:space="preserve">The PCA set an audit target of 120 for 2024. By year-end, it had completed 121 audits, leading to the recovery of </w:t>
      </w:r>
      <w:proofErr w:type="spellStart"/>
      <w:r w:rsidRPr="005300AB">
        <w:rPr>
          <w:rFonts w:ascii="Baskerville Old Face" w:hAnsi="Baskerville Old Face"/>
          <w:sz w:val="24"/>
          <w:szCs w:val="24"/>
        </w:rPr>
        <w:t>NLe</w:t>
      </w:r>
      <w:proofErr w:type="spellEnd"/>
      <w:r w:rsidRPr="005300AB">
        <w:rPr>
          <w:rFonts w:ascii="Baskerville Old Face" w:hAnsi="Baskerville Old Face"/>
          <w:sz w:val="24"/>
          <w:szCs w:val="24"/>
        </w:rPr>
        <w:t xml:space="preserve"> 4.301 million. This marks an improvement over the previous year, when 138 audits resulted in a recovery of </w:t>
      </w:r>
      <w:proofErr w:type="spellStart"/>
      <w:r w:rsidRPr="005300AB">
        <w:rPr>
          <w:rFonts w:ascii="Baskerville Old Face" w:hAnsi="Baskerville Old Face"/>
          <w:sz w:val="24"/>
          <w:szCs w:val="24"/>
        </w:rPr>
        <w:t>NLe</w:t>
      </w:r>
      <w:proofErr w:type="spellEnd"/>
      <w:r w:rsidRPr="005300AB">
        <w:rPr>
          <w:rFonts w:ascii="Baskerville Old Face" w:hAnsi="Baskerville Old Face"/>
          <w:sz w:val="24"/>
          <w:szCs w:val="24"/>
        </w:rPr>
        <w:t xml:space="preserve"> 3.836 million.</w:t>
      </w:r>
    </w:p>
    <w:p w14:paraId="1F332A86" w14:textId="518C61D3" w:rsidR="0003123A" w:rsidRPr="00520DD2" w:rsidRDefault="00520DD2" w:rsidP="00C03BAC">
      <w:pPr>
        <w:pStyle w:val="Heading2"/>
        <w:rPr>
          <w:rFonts w:ascii="Baskerville Old Face" w:hAnsi="Baskerville Old Face"/>
          <w:b/>
          <w:bCs/>
        </w:rPr>
      </w:pPr>
      <w:bookmarkStart w:id="81" w:name="_Toc198043943"/>
      <w:r w:rsidRPr="00520DD2">
        <w:rPr>
          <w:rFonts w:ascii="Baskerville Old Face" w:hAnsi="Baskerville Old Face"/>
          <w:b/>
          <w:bCs/>
        </w:rPr>
        <w:t xml:space="preserve">4.5 </w:t>
      </w:r>
      <w:r w:rsidR="0003123A" w:rsidRPr="00520DD2">
        <w:rPr>
          <w:rFonts w:ascii="Baskerville Old Face" w:hAnsi="Baskerville Old Face"/>
          <w:b/>
          <w:bCs/>
        </w:rPr>
        <w:t xml:space="preserve">DTD ARREARS STATUS UPDATE </w:t>
      </w:r>
      <w:r w:rsidR="003F4F89" w:rsidRPr="00520DD2">
        <w:rPr>
          <w:rFonts w:ascii="Baskerville Old Face" w:hAnsi="Baskerville Old Face"/>
          <w:b/>
          <w:bCs/>
        </w:rPr>
        <w:t>AND RECOVERY</w:t>
      </w:r>
      <w:bookmarkEnd w:id="81"/>
    </w:p>
    <w:p w14:paraId="38B5016F" w14:textId="374B9A23" w:rsidR="00837069" w:rsidRPr="00387FCE" w:rsidRDefault="00837069" w:rsidP="0083706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387FCE">
        <w:rPr>
          <w:rFonts w:ascii="Baskerville Old Face" w:eastAsia="Times New Roman" w:hAnsi="Baskerville Old Face" w:cs="Times New Roman"/>
          <w:kern w:val="0"/>
          <w:sz w:val="24"/>
          <w:szCs w:val="24"/>
          <w14:ligatures w14:val="none"/>
        </w:rPr>
        <w:t xml:space="preserve">In 2024, total DTD arrears amounted to </w:t>
      </w:r>
      <w:proofErr w:type="spellStart"/>
      <w:r w:rsidRPr="00387FCE">
        <w:rPr>
          <w:rFonts w:ascii="Baskerville Old Face" w:eastAsia="Times New Roman" w:hAnsi="Baskerville Old Face" w:cs="Times New Roman"/>
          <w:kern w:val="0"/>
          <w:sz w:val="24"/>
          <w:szCs w:val="24"/>
          <w14:ligatures w14:val="none"/>
        </w:rPr>
        <w:t>NLe</w:t>
      </w:r>
      <w:proofErr w:type="spellEnd"/>
      <w:r w:rsidRPr="00387FCE">
        <w:rPr>
          <w:rFonts w:ascii="Baskerville Old Face" w:eastAsia="Times New Roman" w:hAnsi="Baskerville Old Face" w:cs="Times New Roman"/>
          <w:kern w:val="0"/>
          <w:sz w:val="24"/>
          <w:szCs w:val="24"/>
          <w14:ligatures w14:val="none"/>
        </w:rPr>
        <w:t xml:space="preserve"> 90.94</w:t>
      </w:r>
      <w:r w:rsidRPr="00837069">
        <w:rPr>
          <w:rFonts w:ascii="Baskerville Old Face" w:eastAsia="Times New Roman" w:hAnsi="Baskerville Old Face" w:cs="Times New Roman"/>
          <w:kern w:val="0"/>
          <w:sz w:val="24"/>
          <w:szCs w:val="24"/>
          <w14:ligatures w14:val="none"/>
        </w:rPr>
        <w:t>1</w:t>
      </w:r>
      <w:r w:rsidRPr="00387FCE">
        <w:rPr>
          <w:rFonts w:ascii="Baskerville Old Face" w:eastAsia="Times New Roman" w:hAnsi="Baskerville Old Face" w:cs="Times New Roman"/>
          <w:kern w:val="0"/>
          <w:sz w:val="24"/>
          <w:szCs w:val="24"/>
          <w14:ligatures w14:val="none"/>
        </w:rPr>
        <w:t xml:space="preserve"> million. PAYE from the LTO accounted for the largest share at 37.0%, </w:t>
      </w:r>
      <w:proofErr w:type="spellStart"/>
      <w:r w:rsidRPr="00387FCE">
        <w:rPr>
          <w:rFonts w:ascii="Baskerville Old Face" w:eastAsia="Times New Roman" w:hAnsi="Baskerville Old Face" w:cs="Times New Roman"/>
          <w:kern w:val="0"/>
          <w:sz w:val="24"/>
          <w:szCs w:val="24"/>
          <w14:ligatures w14:val="none"/>
        </w:rPr>
        <w:t>totalling</w:t>
      </w:r>
      <w:proofErr w:type="spellEnd"/>
      <w:r w:rsidRPr="00387FCE">
        <w:rPr>
          <w:rFonts w:ascii="Baskerville Old Face" w:eastAsia="Times New Roman" w:hAnsi="Baskerville Old Face" w:cs="Times New Roman"/>
          <w:kern w:val="0"/>
          <w:sz w:val="24"/>
          <w:szCs w:val="24"/>
          <w14:ligatures w14:val="none"/>
        </w:rPr>
        <w:t xml:space="preserve"> </w:t>
      </w:r>
      <w:proofErr w:type="spellStart"/>
      <w:r w:rsidRPr="00387FCE">
        <w:rPr>
          <w:rFonts w:ascii="Baskerville Old Face" w:eastAsia="Times New Roman" w:hAnsi="Baskerville Old Face" w:cs="Times New Roman"/>
          <w:kern w:val="0"/>
          <w:sz w:val="24"/>
          <w:szCs w:val="24"/>
          <w14:ligatures w14:val="none"/>
        </w:rPr>
        <w:t>NLe</w:t>
      </w:r>
      <w:proofErr w:type="spellEnd"/>
      <w:r w:rsidRPr="00387FCE">
        <w:rPr>
          <w:rFonts w:ascii="Baskerville Old Face" w:eastAsia="Times New Roman" w:hAnsi="Baskerville Old Face" w:cs="Times New Roman"/>
          <w:kern w:val="0"/>
          <w:sz w:val="24"/>
          <w:szCs w:val="24"/>
          <w14:ligatures w14:val="none"/>
        </w:rPr>
        <w:t xml:space="preserve"> 33.64</w:t>
      </w:r>
      <w:r w:rsidRPr="00837069">
        <w:rPr>
          <w:rFonts w:ascii="Baskerville Old Face" w:eastAsia="Times New Roman" w:hAnsi="Baskerville Old Face" w:cs="Times New Roman"/>
          <w:kern w:val="0"/>
          <w:sz w:val="24"/>
          <w:szCs w:val="24"/>
          <w14:ligatures w14:val="none"/>
        </w:rPr>
        <w:t>2</w:t>
      </w:r>
      <w:r w:rsidRPr="00387FCE">
        <w:rPr>
          <w:rFonts w:ascii="Baskerville Old Face" w:eastAsia="Times New Roman" w:hAnsi="Baskerville Old Face" w:cs="Times New Roman"/>
          <w:kern w:val="0"/>
          <w:sz w:val="24"/>
          <w:szCs w:val="24"/>
          <w14:ligatures w14:val="none"/>
        </w:rPr>
        <w:t xml:space="preserve"> million. This was followed by Withholding Tax from LTO, which contributed 30.5% (</w:t>
      </w:r>
      <w:proofErr w:type="spellStart"/>
      <w:r w:rsidRPr="00387FCE">
        <w:rPr>
          <w:rFonts w:ascii="Baskerville Old Face" w:eastAsia="Times New Roman" w:hAnsi="Baskerville Old Face" w:cs="Times New Roman"/>
          <w:kern w:val="0"/>
          <w:sz w:val="24"/>
          <w:szCs w:val="24"/>
          <w14:ligatures w14:val="none"/>
        </w:rPr>
        <w:t>NLe</w:t>
      </w:r>
      <w:proofErr w:type="spellEnd"/>
      <w:r w:rsidRPr="00387FCE">
        <w:rPr>
          <w:rFonts w:ascii="Baskerville Old Face" w:eastAsia="Times New Roman" w:hAnsi="Baskerville Old Face" w:cs="Times New Roman"/>
          <w:kern w:val="0"/>
          <w:sz w:val="24"/>
          <w:szCs w:val="24"/>
          <w14:ligatures w14:val="none"/>
        </w:rPr>
        <w:t xml:space="preserve"> 27.75</w:t>
      </w:r>
      <w:r w:rsidRPr="00837069">
        <w:rPr>
          <w:rFonts w:ascii="Baskerville Old Face" w:eastAsia="Times New Roman" w:hAnsi="Baskerville Old Face" w:cs="Times New Roman"/>
          <w:kern w:val="0"/>
          <w:sz w:val="24"/>
          <w:szCs w:val="24"/>
          <w14:ligatures w14:val="none"/>
        </w:rPr>
        <w:t>1</w:t>
      </w:r>
      <w:r w:rsidRPr="00387FCE">
        <w:rPr>
          <w:rFonts w:ascii="Baskerville Old Face" w:eastAsia="Times New Roman" w:hAnsi="Baskerville Old Face" w:cs="Times New Roman"/>
          <w:kern w:val="0"/>
          <w:sz w:val="24"/>
          <w:szCs w:val="24"/>
          <w14:ligatures w14:val="none"/>
        </w:rPr>
        <w:t xml:space="preserve"> million). Combined, these two categories represent over two-thirds of total arrears, indicating significant compliance challenges among large taxpayers</w:t>
      </w:r>
      <w:r w:rsidRPr="00837069">
        <w:rPr>
          <w:rFonts w:ascii="Baskerville Old Face" w:eastAsia="Times New Roman" w:hAnsi="Baskerville Old Face" w:cs="Times New Roman"/>
          <w:kern w:val="0"/>
          <w:sz w:val="24"/>
          <w:szCs w:val="24"/>
          <w14:ligatures w14:val="none"/>
        </w:rPr>
        <w:t xml:space="preserve"> regarding WHT and PAYE</w:t>
      </w:r>
      <w:r w:rsidRPr="00387FCE">
        <w:rPr>
          <w:rFonts w:ascii="Baskerville Old Face" w:eastAsia="Times New Roman" w:hAnsi="Baskerville Old Face" w:cs="Times New Roman"/>
          <w:kern w:val="0"/>
          <w:sz w:val="24"/>
          <w:szCs w:val="24"/>
          <w14:ligatures w14:val="none"/>
        </w:rPr>
        <w:t>.</w:t>
      </w:r>
      <w:r w:rsidR="00E2311C">
        <w:rPr>
          <w:rFonts w:ascii="Baskerville Old Face" w:eastAsia="Times New Roman" w:hAnsi="Baskerville Old Face" w:cs="Times New Roman"/>
          <w:kern w:val="0"/>
          <w:sz w:val="24"/>
          <w:szCs w:val="24"/>
          <w14:ligatures w14:val="none"/>
        </w:rPr>
        <w:t xml:space="preserve"> </w:t>
      </w:r>
      <w:r w:rsidRPr="00387FCE">
        <w:rPr>
          <w:rFonts w:ascii="Baskerville Old Face" w:eastAsia="Times New Roman" w:hAnsi="Baskerville Old Face" w:cs="Times New Roman"/>
          <w:kern w:val="0"/>
          <w:sz w:val="24"/>
          <w:szCs w:val="24"/>
          <w14:ligatures w14:val="none"/>
        </w:rPr>
        <w:t xml:space="preserve">MTO arrears were relatively lower, with PAYE and Withholding Tax accounting for 10.9% and 11.2% respectively, while </w:t>
      </w:r>
      <w:r w:rsidR="0055339B">
        <w:rPr>
          <w:rFonts w:ascii="Baskerville Old Face" w:eastAsia="Times New Roman" w:hAnsi="Baskerville Old Face" w:cs="Times New Roman"/>
          <w:kern w:val="0"/>
          <w:sz w:val="24"/>
          <w:szCs w:val="24"/>
          <w14:ligatures w14:val="none"/>
        </w:rPr>
        <w:t>CIT</w:t>
      </w:r>
      <w:r w:rsidRPr="00387FCE">
        <w:rPr>
          <w:rFonts w:ascii="Baskerville Old Face" w:eastAsia="Times New Roman" w:hAnsi="Baskerville Old Face" w:cs="Times New Roman"/>
          <w:kern w:val="0"/>
          <w:sz w:val="24"/>
          <w:szCs w:val="24"/>
          <w14:ligatures w14:val="none"/>
        </w:rPr>
        <w:t xml:space="preserve"> from both LTO and MTO contributed a combined 10.4%.</w:t>
      </w:r>
    </w:p>
    <w:p w14:paraId="1304C1F0" w14:textId="0F62B465" w:rsidR="00837069" w:rsidRPr="00387FCE" w:rsidRDefault="00837069" w:rsidP="00837069">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387FCE">
        <w:rPr>
          <w:rFonts w:ascii="Baskerville Old Face" w:eastAsia="Times New Roman" w:hAnsi="Baskerville Old Face" w:cs="Times New Roman"/>
          <w:kern w:val="0"/>
          <w:sz w:val="24"/>
          <w:szCs w:val="24"/>
          <w14:ligatures w14:val="none"/>
        </w:rPr>
        <w:t xml:space="preserve">The data suggests that enhanced enforcement and collection </w:t>
      </w:r>
      <w:r w:rsidR="00F47805" w:rsidRPr="00387FCE">
        <w:rPr>
          <w:rFonts w:ascii="Baskerville Old Face" w:eastAsia="Times New Roman" w:hAnsi="Baskerville Old Face" w:cs="Times New Roman"/>
          <w:kern w:val="0"/>
          <w:sz w:val="24"/>
          <w:szCs w:val="24"/>
          <w14:ligatures w14:val="none"/>
        </w:rPr>
        <w:t>efforts</w:t>
      </w:r>
      <w:r w:rsidRPr="00387FCE">
        <w:rPr>
          <w:rFonts w:ascii="Baskerville Old Face" w:eastAsia="Times New Roman" w:hAnsi="Baskerville Old Face" w:cs="Times New Roman"/>
          <w:kern w:val="0"/>
          <w:sz w:val="24"/>
          <w:szCs w:val="24"/>
          <w14:ligatures w14:val="none"/>
        </w:rPr>
        <w:t xml:space="preserve"> could yield substantial improvements in arrears recovery.</w:t>
      </w:r>
    </w:p>
    <w:p w14:paraId="66F46A9B" w14:textId="55EE0BDA" w:rsidR="0071721B" w:rsidRPr="002465E3" w:rsidRDefault="0071721B" w:rsidP="0071721B">
      <w:pPr>
        <w:pStyle w:val="Caption"/>
        <w:keepNext/>
        <w:rPr>
          <w:rFonts w:ascii="Baskerville Old Face" w:hAnsi="Baskerville Old Face"/>
          <w:b/>
          <w:bCs/>
          <w:sz w:val="24"/>
          <w:szCs w:val="24"/>
        </w:rPr>
      </w:pPr>
      <w:bookmarkStart w:id="82" w:name="_Toc198044036"/>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18</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DTD Arrears by Tax Type and Office, 2024</w:t>
      </w:r>
      <w:bookmarkEnd w:id="82"/>
    </w:p>
    <w:tbl>
      <w:tblPr>
        <w:tblStyle w:val="GridTable6ColourfulAccent5"/>
        <w:tblW w:w="7379" w:type="dxa"/>
        <w:tblLook w:val="04A0" w:firstRow="1" w:lastRow="0" w:firstColumn="1" w:lastColumn="0" w:noHBand="0" w:noVBand="1"/>
      </w:tblPr>
      <w:tblGrid>
        <w:gridCol w:w="3235"/>
        <w:gridCol w:w="1644"/>
        <w:gridCol w:w="2500"/>
      </w:tblGrid>
      <w:tr w:rsidR="00F52535" w:rsidRPr="00F52535" w14:paraId="122ECDC3" w14:textId="77777777" w:rsidTr="00F525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AB88EEC" w14:textId="59620DE1" w:rsidR="00F52535" w:rsidRPr="00F52535" w:rsidRDefault="00F52535" w:rsidP="00F52535">
            <w:pPr>
              <w:rPr>
                <w:rFonts w:ascii="Baskerville Old Face" w:eastAsia="Times New Roman" w:hAnsi="Baskerville Old Face" w:cs="Times New Roman"/>
                <w:color w:val="000000"/>
                <w:kern w:val="0"/>
                <w14:ligatures w14:val="none"/>
              </w:rPr>
            </w:pPr>
            <w:r w:rsidRPr="00BC0266">
              <w:rPr>
                <w:rFonts w:ascii="Baskerville Old Face" w:hAnsi="Baskerville Old Face" w:cs="Times New Roman"/>
                <w:color w:val="auto"/>
                <w:sz w:val="24"/>
                <w:szCs w:val="24"/>
              </w:rPr>
              <w:t>Tax Type/Unit</w:t>
            </w:r>
          </w:p>
        </w:tc>
        <w:tc>
          <w:tcPr>
            <w:tcW w:w="1644" w:type="dxa"/>
            <w:noWrap/>
            <w:hideMark/>
          </w:tcPr>
          <w:p w14:paraId="754FC9D3" w14:textId="77777777" w:rsidR="00F52535" w:rsidRPr="00F52535" w:rsidRDefault="00F52535" w:rsidP="00F5253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Amount (</w:t>
            </w:r>
            <w:proofErr w:type="spellStart"/>
            <w:r w:rsidRPr="00F52535">
              <w:rPr>
                <w:rFonts w:ascii="Baskerville Old Face" w:eastAsia="Times New Roman" w:hAnsi="Baskerville Old Face" w:cs="Times New Roman"/>
                <w:color w:val="000000"/>
                <w:kern w:val="0"/>
                <w14:ligatures w14:val="none"/>
              </w:rPr>
              <w:t>NLe</w:t>
            </w:r>
            <w:proofErr w:type="spellEnd"/>
            <w:r w:rsidRPr="00F52535">
              <w:rPr>
                <w:rFonts w:ascii="Baskerville Old Face" w:eastAsia="Times New Roman" w:hAnsi="Baskerville Old Face" w:cs="Times New Roman"/>
                <w:color w:val="000000"/>
                <w:kern w:val="0"/>
                <w14:ligatures w14:val="none"/>
              </w:rPr>
              <w:t>)</w:t>
            </w:r>
          </w:p>
        </w:tc>
        <w:tc>
          <w:tcPr>
            <w:tcW w:w="2500" w:type="dxa"/>
            <w:noWrap/>
            <w:hideMark/>
          </w:tcPr>
          <w:p w14:paraId="10FE988B" w14:textId="77777777" w:rsidR="00F52535" w:rsidRPr="00F52535" w:rsidRDefault="00F52535" w:rsidP="00F5253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lang w:val="en-GB"/>
                <w14:ligatures w14:val="none"/>
              </w:rPr>
              <w:t>% Share of Total</w:t>
            </w:r>
          </w:p>
        </w:tc>
      </w:tr>
      <w:tr w:rsidR="00F52535" w:rsidRPr="00F52535" w14:paraId="5EF703E0" w14:textId="77777777" w:rsidTr="00F525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8986D56"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r w:rsidRPr="00F52535">
              <w:rPr>
                <w:rFonts w:ascii="Baskerville Old Face" w:eastAsia="Times New Roman" w:hAnsi="Baskerville Old Face" w:cs="Times New Roman"/>
                <w:b w:val="0"/>
                <w:bCs w:val="0"/>
                <w:color w:val="000000"/>
                <w:kern w:val="0"/>
                <w14:ligatures w14:val="none"/>
              </w:rPr>
              <w:t>Corporate Income Tax-LTO</w:t>
            </w:r>
          </w:p>
        </w:tc>
        <w:tc>
          <w:tcPr>
            <w:tcW w:w="1644" w:type="dxa"/>
            <w:noWrap/>
            <w:hideMark/>
          </w:tcPr>
          <w:p w14:paraId="7AA73842" w14:textId="297F1D8F"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5,700,730.93</w:t>
            </w:r>
          </w:p>
        </w:tc>
        <w:tc>
          <w:tcPr>
            <w:tcW w:w="2500" w:type="dxa"/>
            <w:noWrap/>
            <w:hideMark/>
          </w:tcPr>
          <w:p w14:paraId="7C2628C5" w14:textId="77777777"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6.3%</w:t>
            </w:r>
          </w:p>
        </w:tc>
      </w:tr>
      <w:tr w:rsidR="00F52535" w:rsidRPr="00F52535" w14:paraId="3A0E1307" w14:textId="77777777" w:rsidTr="00F52535">
        <w:trPr>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55CA162"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proofErr w:type="spellStart"/>
            <w:r w:rsidRPr="00F52535">
              <w:rPr>
                <w:rFonts w:ascii="Baskerville Old Face" w:eastAsia="Times New Roman" w:hAnsi="Baskerville Old Face" w:cs="Times New Roman"/>
                <w:b w:val="0"/>
                <w:bCs w:val="0"/>
                <w:color w:val="000000"/>
                <w:kern w:val="0"/>
                <w14:ligatures w14:val="none"/>
              </w:rPr>
              <w:t>Witholding</w:t>
            </w:r>
            <w:proofErr w:type="spellEnd"/>
            <w:r w:rsidRPr="00F52535">
              <w:rPr>
                <w:rFonts w:ascii="Baskerville Old Face" w:eastAsia="Times New Roman" w:hAnsi="Baskerville Old Face" w:cs="Times New Roman"/>
                <w:b w:val="0"/>
                <w:bCs w:val="0"/>
                <w:color w:val="000000"/>
                <w:kern w:val="0"/>
                <w14:ligatures w14:val="none"/>
              </w:rPr>
              <w:t xml:space="preserve"> Tax- LTO</w:t>
            </w:r>
          </w:p>
        </w:tc>
        <w:tc>
          <w:tcPr>
            <w:tcW w:w="1644" w:type="dxa"/>
            <w:noWrap/>
            <w:hideMark/>
          </w:tcPr>
          <w:p w14:paraId="0DA813DB" w14:textId="1C06B694"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27,751,768.61</w:t>
            </w:r>
          </w:p>
        </w:tc>
        <w:tc>
          <w:tcPr>
            <w:tcW w:w="2500" w:type="dxa"/>
            <w:noWrap/>
            <w:hideMark/>
          </w:tcPr>
          <w:p w14:paraId="040E7794" w14:textId="77777777"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30.5%</w:t>
            </w:r>
          </w:p>
        </w:tc>
      </w:tr>
      <w:tr w:rsidR="00F52535" w:rsidRPr="00F52535" w14:paraId="7AAED4ED" w14:textId="77777777" w:rsidTr="00F525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8FCB81A"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r w:rsidRPr="00F52535">
              <w:rPr>
                <w:rFonts w:ascii="Baskerville Old Face" w:eastAsia="Times New Roman" w:hAnsi="Baskerville Old Face" w:cs="Times New Roman"/>
                <w:b w:val="0"/>
                <w:bCs w:val="0"/>
                <w:color w:val="000000"/>
                <w:kern w:val="0"/>
                <w14:ligatures w14:val="none"/>
              </w:rPr>
              <w:t>Pay-As-You-Earn- LTO</w:t>
            </w:r>
          </w:p>
        </w:tc>
        <w:tc>
          <w:tcPr>
            <w:tcW w:w="1644" w:type="dxa"/>
            <w:noWrap/>
            <w:hideMark/>
          </w:tcPr>
          <w:p w14:paraId="222F9F01" w14:textId="63188736"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33,642,454.70</w:t>
            </w:r>
          </w:p>
        </w:tc>
        <w:tc>
          <w:tcPr>
            <w:tcW w:w="2500" w:type="dxa"/>
            <w:noWrap/>
            <w:hideMark/>
          </w:tcPr>
          <w:p w14:paraId="17F3AFE0" w14:textId="77777777"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37.0%</w:t>
            </w:r>
          </w:p>
        </w:tc>
      </w:tr>
      <w:tr w:rsidR="00F52535" w:rsidRPr="00F52535" w14:paraId="65F0D82C" w14:textId="77777777" w:rsidTr="00F52535">
        <w:trPr>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02B7CEA"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r w:rsidRPr="00F52535">
              <w:rPr>
                <w:rFonts w:ascii="Baskerville Old Face" w:eastAsia="Times New Roman" w:hAnsi="Baskerville Old Face" w:cs="Times New Roman"/>
                <w:b w:val="0"/>
                <w:bCs w:val="0"/>
                <w:color w:val="000000"/>
                <w:kern w:val="0"/>
                <w14:ligatures w14:val="none"/>
              </w:rPr>
              <w:t>Corporate Income Tax-MTO</w:t>
            </w:r>
          </w:p>
        </w:tc>
        <w:tc>
          <w:tcPr>
            <w:tcW w:w="1644" w:type="dxa"/>
            <w:noWrap/>
            <w:hideMark/>
          </w:tcPr>
          <w:p w14:paraId="3F63D761" w14:textId="34273B3E"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3,742,257.13</w:t>
            </w:r>
          </w:p>
        </w:tc>
        <w:tc>
          <w:tcPr>
            <w:tcW w:w="2500" w:type="dxa"/>
            <w:noWrap/>
            <w:hideMark/>
          </w:tcPr>
          <w:p w14:paraId="744A6AD1" w14:textId="77777777"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4.1%</w:t>
            </w:r>
          </w:p>
        </w:tc>
      </w:tr>
      <w:tr w:rsidR="00F52535" w:rsidRPr="00F52535" w14:paraId="552482C4" w14:textId="77777777" w:rsidTr="00F5253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63A200C0"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proofErr w:type="spellStart"/>
            <w:r w:rsidRPr="00F52535">
              <w:rPr>
                <w:rFonts w:ascii="Baskerville Old Face" w:eastAsia="Times New Roman" w:hAnsi="Baskerville Old Face" w:cs="Times New Roman"/>
                <w:b w:val="0"/>
                <w:bCs w:val="0"/>
                <w:color w:val="000000"/>
                <w:kern w:val="0"/>
                <w14:ligatures w14:val="none"/>
              </w:rPr>
              <w:t>Witholding</w:t>
            </w:r>
            <w:proofErr w:type="spellEnd"/>
            <w:r w:rsidRPr="00F52535">
              <w:rPr>
                <w:rFonts w:ascii="Baskerville Old Face" w:eastAsia="Times New Roman" w:hAnsi="Baskerville Old Face" w:cs="Times New Roman"/>
                <w:b w:val="0"/>
                <w:bCs w:val="0"/>
                <w:color w:val="000000"/>
                <w:kern w:val="0"/>
                <w14:ligatures w14:val="none"/>
              </w:rPr>
              <w:t xml:space="preserve"> Tax- MTO</w:t>
            </w:r>
          </w:p>
        </w:tc>
        <w:tc>
          <w:tcPr>
            <w:tcW w:w="1644" w:type="dxa"/>
            <w:noWrap/>
            <w:hideMark/>
          </w:tcPr>
          <w:p w14:paraId="5903ADC0" w14:textId="25F79535"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10,185,090.40</w:t>
            </w:r>
          </w:p>
        </w:tc>
        <w:tc>
          <w:tcPr>
            <w:tcW w:w="2500" w:type="dxa"/>
            <w:noWrap/>
            <w:hideMark/>
          </w:tcPr>
          <w:p w14:paraId="7D2D7D15" w14:textId="77777777"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11.2%</w:t>
            </w:r>
          </w:p>
        </w:tc>
      </w:tr>
      <w:tr w:rsidR="00F52535" w:rsidRPr="00F52535" w14:paraId="713B8B54" w14:textId="77777777" w:rsidTr="00F52535">
        <w:trPr>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74B98805" w14:textId="77777777" w:rsidR="00F52535" w:rsidRPr="00F52535" w:rsidRDefault="00F52535" w:rsidP="00F52535">
            <w:pPr>
              <w:rPr>
                <w:rFonts w:ascii="Baskerville Old Face" w:eastAsia="Times New Roman" w:hAnsi="Baskerville Old Face" w:cs="Times New Roman"/>
                <w:b w:val="0"/>
                <w:bCs w:val="0"/>
                <w:color w:val="000000"/>
                <w:kern w:val="0"/>
                <w14:ligatures w14:val="none"/>
              </w:rPr>
            </w:pPr>
            <w:r w:rsidRPr="00F52535">
              <w:rPr>
                <w:rFonts w:ascii="Baskerville Old Face" w:eastAsia="Times New Roman" w:hAnsi="Baskerville Old Face" w:cs="Times New Roman"/>
                <w:b w:val="0"/>
                <w:bCs w:val="0"/>
                <w:color w:val="000000"/>
                <w:kern w:val="0"/>
                <w14:ligatures w14:val="none"/>
              </w:rPr>
              <w:t>Pay-As-You-Earn- MTO</w:t>
            </w:r>
          </w:p>
        </w:tc>
        <w:tc>
          <w:tcPr>
            <w:tcW w:w="1644" w:type="dxa"/>
            <w:noWrap/>
            <w:hideMark/>
          </w:tcPr>
          <w:p w14:paraId="0CA41A76" w14:textId="464B5E42"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9,919,477.73</w:t>
            </w:r>
          </w:p>
        </w:tc>
        <w:tc>
          <w:tcPr>
            <w:tcW w:w="2500" w:type="dxa"/>
            <w:noWrap/>
            <w:hideMark/>
          </w:tcPr>
          <w:p w14:paraId="0E97D10D" w14:textId="77777777" w:rsidR="00F52535" w:rsidRPr="00F52535" w:rsidRDefault="00F52535" w:rsidP="00F5253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10.9%</w:t>
            </w:r>
          </w:p>
        </w:tc>
      </w:tr>
      <w:tr w:rsidR="00F52535" w:rsidRPr="00F52535" w14:paraId="085F147C" w14:textId="77777777" w:rsidTr="00F52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145D0AC8" w14:textId="77777777" w:rsidR="00F52535" w:rsidRPr="00F52535" w:rsidRDefault="00F52535" w:rsidP="00F52535">
            <w:pPr>
              <w:rPr>
                <w:rFonts w:ascii="Baskerville Old Face" w:eastAsia="Times New Roman" w:hAnsi="Baskerville Old Face" w:cs="Times New Roman"/>
                <w:color w:val="000000"/>
                <w:kern w:val="0"/>
                <w14:ligatures w14:val="none"/>
              </w:rPr>
            </w:pPr>
            <w:r w:rsidRPr="00F52535">
              <w:rPr>
                <w:rFonts w:ascii="Baskerville Old Face" w:eastAsia="Times New Roman" w:hAnsi="Baskerville Old Face" w:cs="Times New Roman"/>
                <w:color w:val="000000"/>
                <w:kern w:val="0"/>
                <w14:ligatures w14:val="none"/>
              </w:rPr>
              <w:t> TOTAL</w:t>
            </w:r>
          </w:p>
        </w:tc>
        <w:tc>
          <w:tcPr>
            <w:tcW w:w="1644" w:type="dxa"/>
            <w:noWrap/>
            <w:hideMark/>
          </w:tcPr>
          <w:p w14:paraId="50735879" w14:textId="4C544079"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F52535">
              <w:rPr>
                <w:rFonts w:ascii="Baskerville Old Face" w:eastAsia="Times New Roman" w:hAnsi="Baskerville Old Face" w:cs="Times New Roman"/>
                <w:b/>
                <w:bCs/>
                <w:color w:val="000000"/>
                <w:kern w:val="0"/>
                <w14:ligatures w14:val="none"/>
              </w:rPr>
              <w:t>90,941,779.50</w:t>
            </w:r>
          </w:p>
        </w:tc>
        <w:tc>
          <w:tcPr>
            <w:tcW w:w="2500" w:type="dxa"/>
            <w:noWrap/>
            <w:hideMark/>
          </w:tcPr>
          <w:p w14:paraId="7415EE2C" w14:textId="573A46E2" w:rsidR="00F52535" w:rsidRPr="00F52535" w:rsidRDefault="00F52535" w:rsidP="00F5253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p>
        </w:tc>
      </w:tr>
    </w:tbl>
    <w:p w14:paraId="5AA99CFB" w14:textId="77777777" w:rsidR="0003123A" w:rsidRPr="00E06D14" w:rsidRDefault="0003123A" w:rsidP="0003123A">
      <w:pPr>
        <w:rPr>
          <w:rFonts w:ascii="Baskerville Old Face" w:hAnsi="Baskerville Old Face" w:cs="Times New Roman"/>
          <w:i/>
          <w:iCs/>
          <w:sz w:val="18"/>
          <w:szCs w:val="18"/>
        </w:rPr>
      </w:pPr>
      <w:r w:rsidRPr="00E06D14">
        <w:rPr>
          <w:rFonts w:ascii="Baskerville Old Face" w:hAnsi="Baskerville Old Face" w:cs="Times New Roman"/>
          <w:i/>
          <w:iCs/>
          <w:sz w:val="18"/>
          <w:szCs w:val="18"/>
        </w:rPr>
        <w:t>Source: DTD</w:t>
      </w:r>
    </w:p>
    <w:p w14:paraId="6735F0D1" w14:textId="111BE7B1" w:rsidR="004D4619" w:rsidRPr="00520DD2" w:rsidRDefault="00520DD2" w:rsidP="00C03BAC">
      <w:pPr>
        <w:pStyle w:val="Heading2"/>
        <w:rPr>
          <w:rFonts w:ascii="Baskerville Old Face" w:hAnsi="Baskerville Old Face"/>
          <w:b/>
          <w:bCs/>
        </w:rPr>
      </w:pPr>
      <w:bookmarkStart w:id="83" w:name="_Toc198043944"/>
      <w:r w:rsidRPr="00520DD2">
        <w:rPr>
          <w:rFonts w:ascii="Baskerville Old Face" w:hAnsi="Baskerville Old Face"/>
          <w:b/>
          <w:bCs/>
        </w:rPr>
        <w:lastRenderedPageBreak/>
        <w:t xml:space="preserve">4.6 </w:t>
      </w:r>
      <w:r w:rsidR="004D4619" w:rsidRPr="00520DD2">
        <w:rPr>
          <w:rFonts w:ascii="Baskerville Old Face" w:hAnsi="Baskerville Old Face"/>
          <w:b/>
          <w:bCs/>
        </w:rPr>
        <w:t>CUSTOMS DEBT RECOVERY AND MANAGEMENT</w:t>
      </w:r>
      <w:bookmarkEnd w:id="83"/>
      <w:r w:rsidR="004D4619" w:rsidRPr="00520DD2">
        <w:rPr>
          <w:rFonts w:ascii="Baskerville Old Face" w:hAnsi="Baskerville Old Face"/>
          <w:b/>
          <w:bCs/>
        </w:rPr>
        <w:t xml:space="preserve"> </w:t>
      </w:r>
    </w:p>
    <w:p w14:paraId="57DC18A2" w14:textId="51F7C46E" w:rsidR="004D4619" w:rsidRPr="004D4619" w:rsidRDefault="004D4619" w:rsidP="00CC47F4">
      <w:pPr>
        <w:spacing w:line="276"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CSD </w:t>
      </w:r>
      <w:r w:rsidRPr="004D4619">
        <w:rPr>
          <w:rFonts w:ascii="Baskerville Old Face" w:hAnsi="Baskerville Old Face" w:cs="Times New Roman"/>
          <w:sz w:val="24"/>
          <w:szCs w:val="24"/>
        </w:rPr>
        <w:t xml:space="preserve">Debt Management Unit (DMU) is tasked with overseeing all </w:t>
      </w:r>
      <w:r>
        <w:rPr>
          <w:rFonts w:ascii="Baskerville Old Face" w:hAnsi="Baskerville Old Face" w:cs="Times New Roman"/>
          <w:sz w:val="24"/>
          <w:szCs w:val="24"/>
        </w:rPr>
        <w:t>credits</w:t>
      </w:r>
      <w:r w:rsidRPr="004D4619">
        <w:rPr>
          <w:rFonts w:ascii="Baskerville Old Face" w:hAnsi="Baskerville Old Face" w:cs="Times New Roman"/>
          <w:sz w:val="24"/>
          <w:szCs w:val="24"/>
        </w:rPr>
        <w:t xml:space="preserve"> by handling their processing, monitoring, and ensuring timely repayment for individuals or entities involved in import trade. Requests for such credits are submitted and approved through the Commissioner-General’s Office or its </w:t>
      </w:r>
      <w:proofErr w:type="spellStart"/>
      <w:r w:rsidRPr="004D4619">
        <w:rPr>
          <w:rFonts w:ascii="Baskerville Old Face" w:hAnsi="Baskerville Old Face" w:cs="Times New Roman"/>
          <w:sz w:val="24"/>
          <w:szCs w:val="24"/>
        </w:rPr>
        <w:t>authori</w:t>
      </w:r>
      <w:r>
        <w:rPr>
          <w:rFonts w:ascii="Baskerville Old Face" w:hAnsi="Baskerville Old Face" w:cs="Times New Roman"/>
          <w:sz w:val="24"/>
          <w:szCs w:val="24"/>
        </w:rPr>
        <w:t>s</w:t>
      </w:r>
      <w:r w:rsidRPr="004D4619">
        <w:rPr>
          <w:rFonts w:ascii="Baskerville Old Face" w:hAnsi="Baskerville Old Face" w:cs="Times New Roman"/>
          <w:sz w:val="24"/>
          <w:szCs w:val="24"/>
        </w:rPr>
        <w:t>ed</w:t>
      </w:r>
      <w:proofErr w:type="spellEnd"/>
      <w:r w:rsidRPr="004D4619">
        <w:rPr>
          <w:rFonts w:ascii="Baskerville Old Face" w:hAnsi="Baskerville Old Face" w:cs="Times New Roman"/>
          <w:sz w:val="24"/>
          <w:szCs w:val="24"/>
        </w:rPr>
        <w:t xml:space="preserve"> representatives.</w:t>
      </w:r>
    </w:p>
    <w:p w14:paraId="34FBBEEC" w14:textId="77777777" w:rsidR="00CC47F4" w:rsidRPr="00CC47F4" w:rsidRDefault="00CC47F4" w:rsidP="00CC47F4">
      <w:pPr>
        <w:spacing w:line="276" w:lineRule="auto"/>
        <w:jc w:val="both"/>
        <w:rPr>
          <w:rFonts w:ascii="Baskerville Old Face" w:hAnsi="Baskerville Old Face"/>
          <w:sz w:val="24"/>
          <w:szCs w:val="24"/>
        </w:rPr>
      </w:pPr>
      <w:r w:rsidRPr="00CC47F4">
        <w:rPr>
          <w:rFonts w:ascii="Baskerville Old Face" w:hAnsi="Baskerville Old Face"/>
          <w:sz w:val="24"/>
          <w:szCs w:val="24"/>
        </w:rPr>
        <w:t xml:space="preserve">In 2024, the Debt Management Unit (DMU) processed 17 credit requests through the Commissioner-General’s Office, up from 15 in 2023. Of these, </w:t>
      </w:r>
      <w:r w:rsidRPr="00B12A61">
        <w:rPr>
          <w:rFonts w:ascii="Baskerville Old Face" w:hAnsi="Baskerville Old Face"/>
          <w:sz w:val="24"/>
          <w:szCs w:val="24"/>
        </w:rPr>
        <w:t xml:space="preserve">12 creditors fully settled their liabilities, while 5 remain on payment plans. The total liability for CSD credits processed in 2024 was </w:t>
      </w:r>
      <w:proofErr w:type="spellStart"/>
      <w:r w:rsidRPr="00B12A61">
        <w:rPr>
          <w:rFonts w:ascii="Baskerville Old Face" w:hAnsi="Baskerville Old Face"/>
          <w:sz w:val="24"/>
          <w:szCs w:val="24"/>
        </w:rPr>
        <w:t>NLe</w:t>
      </w:r>
      <w:proofErr w:type="spellEnd"/>
      <w:r w:rsidRPr="00B12A61">
        <w:rPr>
          <w:rFonts w:ascii="Baskerville Old Face" w:hAnsi="Baskerville Old Face"/>
          <w:sz w:val="24"/>
          <w:szCs w:val="24"/>
        </w:rPr>
        <w:t xml:space="preserve"> 107.889 million, with an outstanding balance of </w:t>
      </w:r>
      <w:proofErr w:type="spellStart"/>
      <w:r w:rsidRPr="00B12A61">
        <w:rPr>
          <w:rFonts w:ascii="Baskerville Old Face" w:hAnsi="Baskerville Old Face"/>
          <w:sz w:val="24"/>
          <w:szCs w:val="24"/>
        </w:rPr>
        <w:t>NLe</w:t>
      </w:r>
      <w:proofErr w:type="spellEnd"/>
      <w:r w:rsidRPr="00B12A61">
        <w:rPr>
          <w:rFonts w:ascii="Baskerville Old Face" w:hAnsi="Baskerville Old Face"/>
          <w:sz w:val="24"/>
          <w:szCs w:val="24"/>
        </w:rPr>
        <w:t xml:space="preserve"> 1.912 million</w:t>
      </w:r>
      <w:r w:rsidRPr="00CC47F4">
        <w:rPr>
          <w:rFonts w:ascii="Baskerville Old Face" w:hAnsi="Baskerville Old Face"/>
          <w:sz w:val="24"/>
          <w:szCs w:val="24"/>
        </w:rPr>
        <w:t xml:space="preserve">. This reflects a significant improvement compared to 2023, when the total liability stood at </w:t>
      </w:r>
      <w:proofErr w:type="spellStart"/>
      <w:r w:rsidRPr="00CC47F4">
        <w:rPr>
          <w:rFonts w:ascii="Baskerville Old Face" w:hAnsi="Baskerville Old Face"/>
          <w:sz w:val="24"/>
          <w:szCs w:val="24"/>
        </w:rPr>
        <w:t>NLe</w:t>
      </w:r>
      <w:proofErr w:type="spellEnd"/>
      <w:r w:rsidRPr="00CC47F4">
        <w:rPr>
          <w:rFonts w:ascii="Baskerville Old Face" w:hAnsi="Baskerville Old Face"/>
          <w:sz w:val="24"/>
          <w:szCs w:val="24"/>
        </w:rPr>
        <w:t xml:space="preserve"> 200.898 million and the outstanding balance was much higher at </w:t>
      </w:r>
      <w:proofErr w:type="spellStart"/>
      <w:r w:rsidRPr="00CC47F4">
        <w:rPr>
          <w:rFonts w:ascii="Baskerville Old Face" w:hAnsi="Baskerville Old Face"/>
          <w:sz w:val="24"/>
          <w:szCs w:val="24"/>
        </w:rPr>
        <w:t>NLe</w:t>
      </w:r>
      <w:proofErr w:type="spellEnd"/>
      <w:r w:rsidRPr="00CC47F4">
        <w:rPr>
          <w:rFonts w:ascii="Baskerville Old Face" w:hAnsi="Baskerville Old Face"/>
          <w:sz w:val="24"/>
          <w:szCs w:val="24"/>
        </w:rPr>
        <w:t xml:space="preserve"> 170.714 million.</w:t>
      </w:r>
    </w:p>
    <w:p w14:paraId="71715763" w14:textId="77777777" w:rsidR="004D4619" w:rsidRDefault="004D4619" w:rsidP="00CC47F4">
      <w:pPr>
        <w:spacing w:line="276"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The DMU employed various strategies to recover Customs debts, including reminding debtors of their obligations through phone calls and written correspondence. Additionally, the Unit conducted joint operations, particularly with the ASU, to recover Customs debts, which sometimes involved issuing strong warnings to defaulters or even sealing off their business premises. These operations yielded largely positive results in debt recovery.</w:t>
      </w:r>
    </w:p>
    <w:p w14:paraId="25DD0B97" w14:textId="39EB5670" w:rsidR="004D4619" w:rsidRPr="00520DD2" w:rsidRDefault="00520DD2" w:rsidP="00C03BAC">
      <w:pPr>
        <w:pStyle w:val="Heading2"/>
        <w:rPr>
          <w:rFonts w:ascii="Baskerville Old Face" w:hAnsi="Baskerville Old Face" w:cs="Times New Roman"/>
          <w:b/>
          <w:bCs/>
          <w:sz w:val="24"/>
          <w:szCs w:val="24"/>
        </w:rPr>
      </w:pPr>
      <w:bookmarkStart w:id="84" w:name="_Toc198043945"/>
      <w:r w:rsidRPr="00520DD2">
        <w:rPr>
          <w:rFonts w:ascii="Baskerville Old Face" w:hAnsi="Baskerville Old Face"/>
          <w:b/>
          <w:bCs/>
        </w:rPr>
        <w:t xml:space="preserve">4.7 </w:t>
      </w:r>
      <w:r w:rsidR="00700CFC" w:rsidRPr="00520DD2">
        <w:rPr>
          <w:rFonts w:ascii="Baskerville Old Face" w:hAnsi="Baskerville Old Face"/>
          <w:b/>
          <w:bCs/>
        </w:rPr>
        <w:t>UPDATE ON CUSTOMS RISK MANAGEMENT ACTIVITIES</w:t>
      </w:r>
      <w:bookmarkEnd w:id="84"/>
    </w:p>
    <w:p w14:paraId="7E3DC954" w14:textId="77777777" w:rsidR="00700CFC" w:rsidRPr="00700CFC" w:rsidRDefault="00700CFC" w:rsidP="00700CFC">
      <w:pPr>
        <w:spacing w:line="360"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Effective risk detection and management play a pivotal role in customs operations, which is why the creation of the Risk Management Unit (RMU) was imperative. The RMU's primary objective is to identify risks and propose measures to mitigate them, ensuring declarants comply with customs obligations. Unit personnel are tasked with continuously monitoring all declarations in real-time to pinpoint 'High Risk' declarations related to valuation, classification, currency codes, CVC inputs, and general documentation, among others, and promptly notify operational units for corrective actions.</w:t>
      </w:r>
    </w:p>
    <w:p w14:paraId="12C4297F" w14:textId="13749385" w:rsidR="00FE2CA9" w:rsidRPr="00520DD2" w:rsidRDefault="00520DD2" w:rsidP="00395E0D">
      <w:pPr>
        <w:pStyle w:val="Heading3"/>
        <w:rPr>
          <w:rFonts w:ascii="Baskerville Old Face" w:hAnsi="Baskerville Old Face"/>
          <w:b/>
          <w:bCs/>
        </w:rPr>
      </w:pPr>
      <w:bookmarkStart w:id="85" w:name="_Toc198043946"/>
      <w:r w:rsidRPr="00520DD2">
        <w:rPr>
          <w:rFonts w:ascii="Baskerville Old Face" w:hAnsi="Baskerville Old Face"/>
          <w:b/>
          <w:bCs/>
        </w:rPr>
        <w:t xml:space="preserve">4.7.1 </w:t>
      </w:r>
      <w:r w:rsidR="00FE2CA9" w:rsidRPr="00520DD2">
        <w:rPr>
          <w:rFonts w:ascii="Baskerville Old Face" w:hAnsi="Baskerville Old Face"/>
          <w:b/>
          <w:bCs/>
        </w:rPr>
        <w:t>RMU Risk Profiling</w:t>
      </w:r>
      <w:bookmarkEnd w:id="85"/>
    </w:p>
    <w:p w14:paraId="0E90CDB9" w14:textId="19231B8E"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 xml:space="preserve">Another vital task undertaken by the RMU is Risk Profiling, which involves </w:t>
      </w:r>
      <w:proofErr w:type="spellStart"/>
      <w:r w:rsidRPr="00FE2CA9">
        <w:rPr>
          <w:rFonts w:ascii="Baskerville Old Face" w:hAnsi="Baskerville Old Face" w:cs="Times New Roman"/>
          <w:sz w:val="24"/>
          <w:szCs w:val="24"/>
        </w:rPr>
        <w:t>categori</w:t>
      </w:r>
      <w:r>
        <w:rPr>
          <w:rFonts w:ascii="Baskerville Old Face" w:hAnsi="Baskerville Old Face" w:cs="Times New Roman"/>
          <w:sz w:val="24"/>
          <w:szCs w:val="24"/>
        </w:rPr>
        <w:t>s</w:t>
      </w:r>
      <w:r w:rsidRPr="00FE2CA9">
        <w:rPr>
          <w:rFonts w:ascii="Baskerville Old Face" w:hAnsi="Baskerville Old Face" w:cs="Times New Roman"/>
          <w:sz w:val="24"/>
          <w:szCs w:val="24"/>
        </w:rPr>
        <w:t>ing</w:t>
      </w:r>
      <w:proofErr w:type="spellEnd"/>
      <w:r w:rsidRPr="00FE2CA9">
        <w:rPr>
          <w:rFonts w:ascii="Baskerville Old Face" w:hAnsi="Baskerville Old Face" w:cs="Times New Roman"/>
          <w:sz w:val="24"/>
          <w:szCs w:val="24"/>
        </w:rPr>
        <w:t xml:space="preserve"> importers and brokers based on the risks they pose to revenue and the supply chain. This process contributes to trade facilitation and enables effective risk analysis. Profiling occurs quarterly and </w:t>
      </w:r>
      <w:proofErr w:type="spellStart"/>
      <w:r w:rsidRPr="00FE2CA9">
        <w:rPr>
          <w:rFonts w:ascii="Baskerville Old Face" w:hAnsi="Baskerville Old Face" w:cs="Times New Roman"/>
          <w:sz w:val="24"/>
          <w:szCs w:val="24"/>
        </w:rPr>
        <w:t>utili</w:t>
      </w:r>
      <w:r w:rsidR="00A9490C">
        <w:rPr>
          <w:rFonts w:ascii="Baskerville Old Face" w:hAnsi="Baskerville Old Face" w:cs="Times New Roman"/>
          <w:sz w:val="24"/>
          <w:szCs w:val="24"/>
        </w:rPr>
        <w:t>s</w:t>
      </w:r>
      <w:r w:rsidRPr="00FE2CA9">
        <w:rPr>
          <w:rFonts w:ascii="Baskerville Old Face" w:hAnsi="Baskerville Old Face" w:cs="Times New Roman"/>
          <w:sz w:val="24"/>
          <w:szCs w:val="24"/>
        </w:rPr>
        <w:t>es</w:t>
      </w:r>
      <w:proofErr w:type="spellEnd"/>
      <w:r w:rsidRPr="00FE2CA9">
        <w:rPr>
          <w:rFonts w:ascii="Baskerville Old Face" w:hAnsi="Baskerville Old Face" w:cs="Times New Roman"/>
          <w:sz w:val="24"/>
          <w:szCs w:val="24"/>
        </w:rPr>
        <w:t xml:space="preserve"> data generated by ASYCUDA, Post Clearance Audit (PCA) activities and reports, Anti-Smuggling Unit (ASU) interdictions and penalties, and information from the Query and Amendment Unit. This data is analy</w:t>
      </w:r>
      <w:r>
        <w:rPr>
          <w:rFonts w:ascii="Baskerville Old Face" w:hAnsi="Baskerville Old Face" w:cs="Times New Roman"/>
          <w:sz w:val="24"/>
          <w:szCs w:val="24"/>
        </w:rPr>
        <w:t>s</w:t>
      </w:r>
      <w:r w:rsidRPr="00FE2CA9">
        <w:rPr>
          <w:rFonts w:ascii="Baskerville Old Face" w:hAnsi="Baskerville Old Face" w:cs="Times New Roman"/>
          <w:sz w:val="24"/>
          <w:szCs w:val="24"/>
        </w:rPr>
        <w:t>ed to evaluate importers' and brokers' compliance levels, determining their placement into one of three selective lanes: red, blue, or yellow. The results of profiling are then submitted to the Risk Management Committee for management approval.</w:t>
      </w:r>
    </w:p>
    <w:p w14:paraId="212A0C73" w14:textId="7FAFE730" w:rsidR="00937AB9" w:rsidRDefault="00496E9B" w:rsidP="00FE2CA9">
      <w:pPr>
        <w:spacing w:line="360" w:lineRule="auto"/>
        <w:jc w:val="both"/>
        <w:rPr>
          <w:rFonts w:ascii="Baskerville Old Face" w:hAnsi="Baskerville Old Face" w:cs="Times New Roman"/>
          <w:sz w:val="24"/>
          <w:szCs w:val="24"/>
        </w:rPr>
      </w:pPr>
      <w:bookmarkStart w:id="86" w:name="_Hlk195262235"/>
      <w:r>
        <w:rPr>
          <w:rFonts w:ascii="Baskerville Old Face" w:hAnsi="Baskerville Old Face" w:cs="Times New Roman"/>
          <w:sz w:val="24"/>
          <w:szCs w:val="24"/>
        </w:rPr>
        <w:lastRenderedPageBreak/>
        <w:t>As shown</w:t>
      </w:r>
      <w:r w:rsidR="00937AB9">
        <w:rPr>
          <w:rFonts w:ascii="Baskerville Old Face" w:hAnsi="Baskerville Old Face" w:cs="Times New Roman"/>
          <w:sz w:val="24"/>
          <w:szCs w:val="24"/>
        </w:rPr>
        <w:t xml:space="preserve"> in </w:t>
      </w:r>
      <w:r w:rsidR="00937AB9" w:rsidRPr="00C012D5">
        <w:rPr>
          <w:rFonts w:ascii="Baskerville Old Face" w:hAnsi="Baskerville Old Face" w:cs="Times New Roman"/>
          <w:sz w:val="24"/>
          <w:szCs w:val="24"/>
        </w:rPr>
        <w:t xml:space="preserve">Table </w:t>
      </w:r>
      <w:r w:rsidR="00C012D5" w:rsidRPr="00C012D5">
        <w:rPr>
          <w:rFonts w:ascii="Baskerville Old Face" w:hAnsi="Baskerville Old Face" w:cs="Times New Roman"/>
          <w:sz w:val="24"/>
          <w:szCs w:val="24"/>
        </w:rPr>
        <w:t>1</w:t>
      </w:r>
      <w:r w:rsidR="00C012D5">
        <w:rPr>
          <w:rFonts w:ascii="Baskerville Old Face" w:hAnsi="Baskerville Old Face" w:cs="Times New Roman"/>
          <w:sz w:val="24"/>
          <w:szCs w:val="24"/>
        </w:rPr>
        <w:t>9</w:t>
      </w:r>
      <w:r w:rsidR="00937AB9">
        <w:rPr>
          <w:rFonts w:ascii="Baskerville Old Face" w:hAnsi="Baskerville Old Face" w:cs="Times New Roman"/>
          <w:sz w:val="24"/>
          <w:szCs w:val="24"/>
        </w:rPr>
        <w:t>, d</w:t>
      </w:r>
      <w:r w:rsidR="00FE2CA9" w:rsidRPr="00FE2CA9">
        <w:rPr>
          <w:rFonts w:ascii="Baskerville Old Face" w:hAnsi="Baskerville Old Face" w:cs="Times New Roman"/>
          <w:sz w:val="24"/>
          <w:szCs w:val="24"/>
        </w:rPr>
        <w:t xml:space="preserve">uring the period under review, a </w:t>
      </w:r>
      <w:r w:rsidR="00FE2CA9" w:rsidRPr="00672A56">
        <w:rPr>
          <w:rFonts w:ascii="Baskerville Old Face" w:hAnsi="Baskerville Old Face" w:cs="Times New Roman"/>
          <w:sz w:val="24"/>
          <w:szCs w:val="24"/>
        </w:rPr>
        <w:t>total of</w:t>
      </w:r>
      <w:r w:rsidR="00FE2CA9" w:rsidRPr="000A18F0">
        <w:rPr>
          <w:rFonts w:ascii="Baskerville Old Face" w:hAnsi="Baskerville Old Face" w:cs="Times New Roman"/>
          <w:b/>
          <w:bCs/>
          <w:sz w:val="24"/>
          <w:szCs w:val="24"/>
        </w:rPr>
        <w:t xml:space="preserve"> </w:t>
      </w:r>
      <w:r w:rsidR="00FE2CA9" w:rsidRPr="00B12A61">
        <w:rPr>
          <w:rFonts w:ascii="Baskerville Old Face" w:hAnsi="Baskerville Old Face" w:cs="Times New Roman"/>
          <w:sz w:val="24"/>
          <w:szCs w:val="24"/>
        </w:rPr>
        <w:t>2</w:t>
      </w:r>
      <w:r w:rsidR="00DE27E4" w:rsidRPr="00B12A61">
        <w:rPr>
          <w:rFonts w:ascii="Baskerville Old Face" w:hAnsi="Baskerville Old Face" w:cs="Times New Roman"/>
          <w:sz w:val="24"/>
          <w:szCs w:val="24"/>
        </w:rPr>
        <w:t>18</w:t>
      </w:r>
      <w:r w:rsidR="00FE2CA9" w:rsidRPr="00B12A61">
        <w:rPr>
          <w:rFonts w:ascii="Baskerville Old Face" w:hAnsi="Baskerville Old Face" w:cs="Times New Roman"/>
          <w:sz w:val="24"/>
          <w:szCs w:val="24"/>
        </w:rPr>
        <w:t xml:space="preserve"> importers were profiled</w:t>
      </w:r>
      <w:r w:rsidR="00FE2CA9" w:rsidRPr="00FE2CA9">
        <w:rPr>
          <w:rFonts w:ascii="Baskerville Old Face" w:hAnsi="Baskerville Old Face" w:cs="Times New Roman"/>
          <w:sz w:val="24"/>
          <w:szCs w:val="24"/>
        </w:rPr>
        <w:t>. Among them, 213 importers (</w:t>
      </w:r>
      <w:r w:rsidR="00DE27E4">
        <w:rPr>
          <w:rFonts w:ascii="Baskerville Old Face" w:hAnsi="Baskerville Old Face" w:cs="Times New Roman"/>
          <w:sz w:val="24"/>
          <w:szCs w:val="24"/>
        </w:rPr>
        <w:t>93</w:t>
      </w:r>
      <w:r w:rsidR="00FE2CA9" w:rsidRPr="00FE2CA9">
        <w:rPr>
          <w:rFonts w:ascii="Baskerville Old Face" w:hAnsi="Baskerville Old Face" w:cs="Times New Roman"/>
          <w:sz w:val="24"/>
          <w:szCs w:val="24"/>
        </w:rPr>
        <w:t>.</w:t>
      </w:r>
      <w:r w:rsidR="00DE27E4">
        <w:rPr>
          <w:rFonts w:ascii="Baskerville Old Face" w:hAnsi="Baskerville Old Face" w:cs="Times New Roman"/>
          <w:sz w:val="24"/>
          <w:szCs w:val="24"/>
        </w:rPr>
        <w:t>1</w:t>
      </w:r>
      <w:r w:rsidR="00FE2CA9" w:rsidRPr="00FE2CA9">
        <w:rPr>
          <w:rFonts w:ascii="Baskerville Old Face" w:hAnsi="Baskerville Old Face" w:cs="Times New Roman"/>
          <w:sz w:val="24"/>
          <w:szCs w:val="24"/>
        </w:rPr>
        <w:t xml:space="preserve">%) were recommended for the Blue Lane, </w:t>
      </w:r>
      <w:r w:rsidR="00DE27E4">
        <w:rPr>
          <w:rFonts w:ascii="Baskerville Old Face" w:hAnsi="Baskerville Old Face" w:cs="Times New Roman"/>
          <w:sz w:val="24"/>
          <w:szCs w:val="24"/>
        </w:rPr>
        <w:t>8</w:t>
      </w:r>
      <w:r w:rsidR="00FE2CA9" w:rsidRPr="00FE2CA9">
        <w:rPr>
          <w:rFonts w:ascii="Baskerville Old Face" w:hAnsi="Baskerville Old Face" w:cs="Times New Roman"/>
          <w:sz w:val="24"/>
          <w:szCs w:val="24"/>
        </w:rPr>
        <w:t xml:space="preserve"> importers (</w:t>
      </w:r>
      <w:r w:rsidR="00DE27E4">
        <w:rPr>
          <w:rFonts w:ascii="Baskerville Old Face" w:hAnsi="Baskerville Old Face" w:cs="Times New Roman"/>
          <w:sz w:val="24"/>
          <w:szCs w:val="24"/>
        </w:rPr>
        <w:t>3</w:t>
      </w:r>
      <w:r w:rsidR="00FE2CA9" w:rsidRPr="00FE2CA9">
        <w:rPr>
          <w:rFonts w:ascii="Baskerville Old Face" w:hAnsi="Baskerville Old Face" w:cs="Times New Roman"/>
          <w:sz w:val="24"/>
          <w:szCs w:val="24"/>
        </w:rPr>
        <w:t>.</w:t>
      </w:r>
      <w:r w:rsidR="00DE27E4">
        <w:rPr>
          <w:rFonts w:ascii="Baskerville Old Face" w:hAnsi="Baskerville Old Face" w:cs="Times New Roman"/>
          <w:sz w:val="24"/>
          <w:szCs w:val="24"/>
        </w:rPr>
        <w:t>7</w:t>
      </w:r>
      <w:r w:rsidR="00FE2CA9" w:rsidRPr="00FE2CA9">
        <w:rPr>
          <w:rFonts w:ascii="Baskerville Old Face" w:hAnsi="Baskerville Old Face" w:cs="Times New Roman"/>
          <w:sz w:val="24"/>
          <w:szCs w:val="24"/>
        </w:rPr>
        <w:t xml:space="preserve">%) for the Yellow Lane, and </w:t>
      </w:r>
      <w:r w:rsidR="00DE27E4">
        <w:rPr>
          <w:rFonts w:ascii="Baskerville Old Face" w:hAnsi="Baskerville Old Face" w:cs="Times New Roman"/>
          <w:sz w:val="24"/>
          <w:szCs w:val="24"/>
        </w:rPr>
        <w:t>7</w:t>
      </w:r>
      <w:r w:rsidR="00FE2CA9" w:rsidRPr="00FE2CA9">
        <w:rPr>
          <w:rFonts w:ascii="Baskerville Old Face" w:hAnsi="Baskerville Old Face" w:cs="Times New Roman"/>
          <w:sz w:val="24"/>
          <w:szCs w:val="24"/>
        </w:rPr>
        <w:t xml:space="preserve"> importers (</w:t>
      </w:r>
      <w:r w:rsidR="00DE27E4">
        <w:rPr>
          <w:rFonts w:ascii="Baskerville Old Face" w:hAnsi="Baskerville Old Face" w:cs="Times New Roman"/>
          <w:sz w:val="24"/>
          <w:szCs w:val="24"/>
        </w:rPr>
        <w:t>3</w:t>
      </w:r>
      <w:r w:rsidR="00FE2CA9" w:rsidRPr="00FE2CA9">
        <w:rPr>
          <w:rFonts w:ascii="Baskerville Old Face" w:hAnsi="Baskerville Old Face" w:cs="Times New Roman"/>
          <w:sz w:val="24"/>
          <w:szCs w:val="24"/>
        </w:rPr>
        <w:t>.</w:t>
      </w:r>
      <w:r w:rsidR="00DE27E4">
        <w:rPr>
          <w:rFonts w:ascii="Baskerville Old Face" w:hAnsi="Baskerville Old Face" w:cs="Times New Roman"/>
          <w:sz w:val="24"/>
          <w:szCs w:val="24"/>
        </w:rPr>
        <w:t>2</w:t>
      </w:r>
      <w:r w:rsidR="00FE2CA9" w:rsidRPr="00FE2CA9">
        <w:rPr>
          <w:rFonts w:ascii="Baskerville Old Face" w:hAnsi="Baskerville Old Face" w:cs="Times New Roman"/>
          <w:sz w:val="24"/>
          <w:szCs w:val="24"/>
        </w:rPr>
        <w:t>%) for the Red Lane.</w:t>
      </w:r>
      <w:r w:rsidR="00937AB9">
        <w:rPr>
          <w:rFonts w:ascii="Baskerville Old Face" w:hAnsi="Baskerville Old Face" w:cs="Times New Roman"/>
          <w:sz w:val="24"/>
          <w:szCs w:val="24"/>
        </w:rPr>
        <w:t xml:space="preserve"> </w:t>
      </w:r>
    </w:p>
    <w:p w14:paraId="4933C97B" w14:textId="72764A01" w:rsidR="0071721B" w:rsidRPr="002465E3" w:rsidRDefault="0071721B" w:rsidP="0071721B">
      <w:pPr>
        <w:pStyle w:val="Caption"/>
        <w:keepNext/>
        <w:rPr>
          <w:rFonts w:ascii="Baskerville Old Face" w:hAnsi="Baskerville Old Face"/>
          <w:b/>
          <w:bCs/>
          <w:sz w:val="24"/>
          <w:szCs w:val="24"/>
        </w:rPr>
      </w:pPr>
      <w:bookmarkStart w:id="87" w:name="_Toc198044037"/>
      <w:bookmarkEnd w:id="86"/>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19</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Number of profiled Importers by Selectivity Lane in 2024</w:t>
      </w:r>
      <w:bookmarkEnd w:id="87"/>
    </w:p>
    <w:tbl>
      <w:tblPr>
        <w:tblW w:w="8954" w:type="dxa"/>
        <w:tblLook w:val="04A0" w:firstRow="1" w:lastRow="0" w:firstColumn="1" w:lastColumn="0" w:noHBand="0" w:noVBand="1"/>
      </w:tblPr>
      <w:tblGrid>
        <w:gridCol w:w="1098"/>
        <w:gridCol w:w="1616"/>
        <w:gridCol w:w="2096"/>
        <w:gridCol w:w="1750"/>
        <w:gridCol w:w="2394"/>
      </w:tblGrid>
      <w:tr w:rsidR="00DE27E4" w:rsidRPr="00DE27E4" w14:paraId="18D33B6C" w14:textId="77777777" w:rsidTr="00C012D5">
        <w:trPr>
          <w:trHeight w:val="588"/>
        </w:trPr>
        <w:tc>
          <w:tcPr>
            <w:tcW w:w="1098" w:type="dxa"/>
            <w:tcBorders>
              <w:top w:val="single" w:sz="8" w:space="0" w:color="000000"/>
              <w:left w:val="single" w:sz="8" w:space="0" w:color="000000"/>
              <w:bottom w:val="single" w:sz="8" w:space="0" w:color="000000"/>
              <w:right w:val="nil"/>
            </w:tcBorders>
            <w:shd w:val="clear" w:color="000000" w:fill="000000"/>
            <w:noWrap/>
            <w:vAlign w:val="center"/>
            <w:hideMark/>
          </w:tcPr>
          <w:p w14:paraId="42F3B3B1" w14:textId="77777777" w:rsidR="00DE27E4" w:rsidRPr="00DE27E4" w:rsidRDefault="00DE27E4" w:rsidP="00DE27E4">
            <w:pPr>
              <w:spacing w:after="0" w:line="240" w:lineRule="auto"/>
              <w:jc w:val="both"/>
              <w:rPr>
                <w:rFonts w:ascii="Baskerville Old Face" w:eastAsia="Times New Roman" w:hAnsi="Baskerville Old Face" w:cs="Times New Roman"/>
                <w:b/>
                <w:bCs/>
                <w:color w:val="FFFFFF"/>
                <w:kern w:val="0"/>
                <w14:ligatures w14:val="none"/>
              </w:rPr>
            </w:pPr>
            <w:r w:rsidRPr="00DE27E4">
              <w:rPr>
                <w:rFonts w:ascii="Baskerville Old Face" w:eastAsia="Times New Roman" w:hAnsi="Baskerville Old Face" w:cs="Times New Roman"/>
                <w:b/>
                <w:bCs/>
                <w:color w:val="FFFFFF"/>
                <w:kern w:val="0"/>
                <w14:ligatures w14:val="none"/>
              </w:rPr>
              <w:t>Quarter</w:t>
            </w:r>
          </w:p>
        </w:tc>
        <w:tc>
          <w:tcPr>
            <w:tcW w:w="1616" w:type="dxa"/>
            <w:tcBorders>
              <w:top w:val="single" w:sz="8" w:space="0" w:color="000000"/>
              <w:left w:val="nil"/>
              <w:bottom w:val="single" w:sz="8" w:space="0" w:color="000000"/>
              <w:right w:val="nil"/>
            </w:tcBorders>
            <w:shd w:val="clear" w:color="000000" w:fill="000000"/>
            <w:noWrap/>
            <w:vAlign w:val="center"/>
            <w:hideMark/>
          </w:tcPr>
          <w:p w14:paraId="1A415B3B" w14:textId="77777777" w:rsidR="00DE27E4" w:rsidRPr="00DE27E4" w:rsidRDefault="00DE27E4" w:rsidP="00C012D5">
            <w:pPr>
              <w:spacing w:after="0" w:line="240" w:lineRule="auto"/>
              <w:jc w:val="center"/>
              <w:rPr>
                <w:rFonts w:ascii="Baskerville Old Face" w:eastAsia="Times New Roman" w:hAnsi="Baskerville Old Face" w:cs="Times New Roman"/>
                <w:b/>
                <w:bCs/>
                <w:color w:val="FFFFFF"/>
                <w:kern w:val="0"/>
                <w14:ligatures w14:val="none"/>
              </w:rPr>
            </w:pPr>
            <w:r w:rsidRPr="00DE27E4">
              <w:rPr>
                <w:rFonts w:ascii="Baskerville Old Face" w:eastAsia="Times New Roman" w:hAnsi="Baskerville Old Face" w:cs="Times New Roman"/>
                <w:b/>
                <w:bCs/>
                <w:color w:val="FFFFFF"/>
                <w:kern w:val="0"/>
                <w14:ligatures w14:val="none"/>
              </w:rPr>
              <w:t>Blue Lane Importers</w:t>
            </w:r>
          </w:p>
        </w:tc>
        <w:tc>
          <w:tcPr>
            <w:tcW w:w="2096" w:type="dxa"/>
            <w:tcBorders>
              <w:top w:val="single" w:sz="8" w:space="0" w:color="000000"/>
              <w:left w:val="nil"/>
              <w:bottom w:val="single" w:sz="8" w:space="0" w:color="000000"/>
              <w:right w:val="nil"/>
            </w:tcBorders>
            <w:shd w:val="clear" w:color="000000" w:fill="000000"/>
            <w:noWrap/>
            <w:vAlign w:val="center"/>
            <w:hideMark/>
          </w:tcPr>
          <w:p w14:paraId="58559650" w14:textId="77777777" w:rsidR="00DE27E4" w:rsidRPr="00DE27E4" w:rsidRDefault="00DE27E4" w:rsidP="00C012D5">
            <w:pPr>
              <w:spacing w:after="0" w:line="240" w:lineRule="auto"/>
              <w:jc w:val="center"/>
              <w:rPr>
                <w:rFonts w:ascii="Baskerville Old Face" w:eastAsia="Times New Roman" w:hAnsi="Baskerville Old Face" w:cs="Times New Roman"/>
                <w:b/>
                <w:bCs/>
                <w:color w:val="FFFFFF"/>
                <w:kern w:val="0"/>
                <w14:ligatures w14:val="none"/>
              </w:rPr>
            </w:pPr>
            <w:r w:rsidRPr="00DE27E4">
              <w:rPr>
                <w:rFonts w:ascii="Baskerville Old Face" w:eastAsia="Times New Roman" w:hAnsi="Baskerville Old Face" w:cs="Times New Roman"/>
                <w:b/>
                <w:bCs/>
                <w:color w:val="FFFFFF"/>
                <w:kern w:val="0"/>
                <w14:ligatures w14:val="none"/>
              </w:rPr>
              <w:t>Yellow Lane Importers</w:t>
            </w:r>
          </w:p>
        </w:tc>
        <w:tc>
          <w:tcPr>
            <w:tcW w:w="1750" w:type="dxa"/>
            <w:tcBorders>
              <w:top w:val="single" w:sz="8" w:space="0" w:color="000000"/>
              <w:left w:val="nil"/>
              <w:bottom w:val="single" w:sz="8" w:space="0" w:color="000000"/>
              <w:right w:val="nil"/>
            </w:tcBorders>
            <w:shd w:val="clear" w:color="000000" w:fill="000000"/>
            <w:noWrap/>
            <w:vAlign w:val="center"/>
            <w:hideMark/>
          </w:tcPr>
          <w:p w14:paraId="66745786" w14:textId="77777777" w:rsidR="00DE27E4" w:rsidRPr="00DE27E4" w:rsidRDefault="00DE27E4" w:rsidP="00C012D5">
            <w:pPr>
              <w:spacing w:after="0" w:line="240" w:lineRule="auto"/>
              <w:jc w:val="center"/>
              <w:rPr>
                <w:rFonts w:ascii="Baskerville Old Face" w:eastAsia="Times New Roman" w:hAnsi="Baskerville Old Face" w:cs="Times New Roman"/>
                <w:b/>
                <w:bCs/>
                <w:color w:val="FFFFFF"/>
                <w:kern w:val="0"/>
                <w14:ligatures w14:val="none"/>
              </w:rPr>
            </w:pPr>
            <w:r w:rsidRPr="00DE27E4">
              <w:rPr>
                <w:rFonts w:ascii="Baskerville Old Face" w:eastAsia="Times New Roman" w:hAnsi="Baskerville Old Face" w:cs="Times New Roman"/>
                <w:b/>
                <w:bCs/>
                <w:color w:val="FFFFFF"/>
                <w:kern w:val="0"/>
                <w14:ligatures w14:val="none"/>
              </w:rPr>
              <w:t>Red Lane Importers</w:t>
            </w:r>
          </w:p>
        </w:tc>
        <w:tc>
          <w:tcPr>
            <w:tcW w:w="2394" w:type="dxa"/>
            <w:tcBorders>
              <w:top w:val="single" w:sz="8" w:space="0" w:color="000000"/>
              <w:left w:val="nil"/>
              <w:bottom w:val="single" w:sz="8" w:space="0" w:color="000000"/>
              <w:right w:val="single" w:sz="8" w:space="0" w:color="000000"/>
            </w:tcBorders>
            <w:shd w:val="clear" w:color="000000" w:fill="000000"/>
            <w:noWrap/>
            <w:vAlign w:val="center"/>
            <w:hideMark/>
          </w:tcPr>
          <w:p w14:paraId="184E8F11" w14:textId="77777777" w:rsidR="00DE27E4" w:rsidRPr="00DE27E4" w:rsidRDefault="00DE27E4" w:rsidP="00C012D5">
            <w:pPr>
              <w:spacing w:after="0" w:line="240" w:lineRule="auto"/>
              <w:jc w:val="center"/>
              <w:rPr>
                <w:rFonts w:ascii="Baskerville Old Face" w:eastAsia="Times New Roman" w:hAnsi="Baskerville Old Face" w:cs="Times New Roman"/>
                <w:b/>
                <w:bCs/>
                <w:color w:val="FFFFFF"/>
                <w:kern w:val="0"/>
                <w14:ligatures w14:val="none"/>
              </w:rPr>
            </w:pPr>
            <w:r w:rsidRPr="00DE27E4">
              <w:rPr>
                <w:rFonts w:ascii="Baskerville Old Face" w:eastAsia="Times New Roman" w:hAnsi="Baskerville Old Face" w:cs="Times New Roman"/>
                <w:b/>
                <w:bCs/>
                <w:color w:val="FFFFFF"/>
                <w:kern w:val="0"/>
                <w14:ligatures w14:val="none"/>
              </w:rPr>
              <w:t>Total</w:t>
            </w:r>
          </w:p>
        </w:tc>
      </w:tr>
      <w:tr w:rsidR="00DE27E4" w:rsidRPr="00DE27E4" w14:paraId="5D721D08" w14:textId="77777777" w:rsidTr="00C012D5">
        <w:trPr>
          <w:trHeight w:val="300"/>
        </w:trPr>
        <w:tc>
          <w:tcPr>
            <w:tcW w:w="1098" w:type="dxa"/>
            <w:tcBorders>
              <w:top w:val="nil"/>
              <w:left w:val="single" w:sz="8" w:space="0" w:color="666666"/>
              <w:bottom w:val="single" w:sz="8" w:space="0" w:color="666666"/>
              <w:right w:val="single" w:sz="8" w:space="0" w:color="666666"/>
            </w:tcBorders>
            <w:shd w:val="clear" w:color="000000" w:fill="CCCCCC"/>
            <w:noWrap/>
            <w:vAlign w:val="center"/>
            <w:hideMark/>
          </w:tcPr>
          <w:p w14:paraId="7A9B5335" w14:textId="77777777" w:rsidR="00DE27E4" w:rsidRPr="00DE27E4" w:rsidRDefault="00DE27E4" w:rsidP="00DE27E4">
            <w:pPr>
              <w:spacing w:after="0" w:line="240" w:lineRule="auto"/>
              <w:jc w:val="both"/>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Q1</w:t>
            </w:r>
          </w:p>
        </w:tc>
        <w:tc>
          <w:tcPr>
            <w:tcW w:w="1616" w:type="dxa"/>
            <w:tcBorders>
              <w:top w:val="nil"/>
              <w:left w:val="nil"/>
              <w:bottom w:val="single" w:sz="8" w:space="0" w:color="666666"/>
              <w:right w:val="single" w:sz="8" w:space="0" w:color="666666"/>
            </w:tcBorders>
            <w:shd w:val="clear" w:color="000000" w:fill="CCCCCC"/>
            <w:noWrap/>
            <w:vAlign w:val="center"/>
            <w:hideMark/>
          </w:tcPr>
          <w:p w14:paraId="33D40234"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60</w:t>
            </w:r>
          </w:p>
        </w:tc>
        <w:tc>
          <w:tcPr>
            <w:tcW w:w="2096" w:type="dxa"/>
            <w:tcBorders>
              <w:top w:val="nil"/>
              <w:left w:val="nil"/>
              <w:bottom w:val="single" w:sz="8" w:space="0" w:color="666666"/>
              <w:right w:val="single" w:sz="8" w:space="0" w:color="666666"/>
            </w:tcBorders>
            <w:shd w:val="clear" w:color="000000" w:fill="CCCCCC"/>
            <w:noWrap/>
            <w:vAlign w:val="center"/>
            <w:hideMark/>
          </w:tcPr>
          <w:p w14:paraId="676558BC"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3</w:t>
            </w:r>
          </w:p>
        </w:tc>
        <w:tc>
          <w:tcPr>
            <w:tcW w:w="1750" w:type="dxa"/>
            <w:tcBorders>
              <w:top w:val="nil"/>
              <w:left w:val="nil"/>
              <w:bottom w:val="single" w:sz="8" w:space="0" w:color="666666"/>
              <w:right w:val="single" w:sz="8" w:space="0" w:color="666666"/>
            </w:tcBorders>
            <w:shd w:val="clear" w:color="000000" w:fill="CCCCCC"/>
            <w:noWrap/>
            <w:vAlign w:val="center"/>
            <w:hideMark/>
          </w:tcPr>
          <w:p w14:paraId="360A07F4"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1</w:t>
            </w:r>
          </w:p>
        </w:tc>
        <w:tc>
          <w:tcPr>
            <w:tcW w:w="2394" w:type="dxa"/>
            <w:tcBorders>
              <w:top w:val="nil"/>
              <w:left w:val="nil"/>
              <w:bottom w:val="single" w:sz="8" w:space="0" w:color="666666"/>
              <w:right w:val="single" w:sz="8" w:space="0" w:color="666666"/>
            </w:tcBorders>
            <w:shd w:val="clear" w:color="000000" w:fill="CCCCCC"/>
            <w:noWrap/>
            <w:vAlign w:val="center"/>
            <w:hideMark/>
          </w:tcPr>
          <w:p w14:paraId="39DFE572"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64</w:t>
            </w:r>
          </w:p>
        </w:tc>
      </w:tr>
      <w:tr w:rsidR="00DE27E4" w:rsidRPr="00DE27E4" w14:paraId="6E0E586E" w14:textId="77777777" w:rsidTr="00C012D5">
        <w:trPr>
          <w:trHeight w:val="300"/>
        </w:trPr>
        <w:tc>
          <w:tcPr>
            <w:tcW w:w="1098" w:type="dxa"/>
            <w:tcBorders>
              <w:top w:val="nil"/>
              <w:left w:val="single" w:sz="8" w:space="0" w:color="666666"/>
              <w:bottom w:val="single" w:sz="8" w:space="0" w:color="666666"/>
              <w:right w:val="single" w:sz="8" w:space="0" w:color="666666"/>
            </w:tcBorders>
            <w:shd w:val="clear" w:color="auto" w:fill="auto"/>
            <w:noWrap/>
            <w:vAlign w:val="center"/>
            <w:hideMark/>
          </w:tcPr>
          <w:p w14:paraId="7DD094D8" w14:textId="77777777" w:rsidR="00DE27E4" w:rsidRPr="00DE27E4" w:rsidRDefault="00DE27E4" w:rsidP="00DE27E4">
            <w:pPr>
              <w:spacing w:after="0" w:line="240" w:lineRule="auto"/>
              <w:jc w:val="both"/>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Q2</w:t>
            </w:r>
          </w:p>
        </w:tc>
        <w:tc>
          <w:tcPr>
            <w:tcW w:w="1616" w:type="dxa"/>
            <w:tcBorders>
              <w:top w:val="nil"/>
              <w:left w:val="nil"/>
              <w:bottom w:val="single" w:sz="8" w:space="0" w:color="666666"/>
              <w:right w:val="single" w:sz="8" w:space="0" w:color="666666"/>
            </w:tcBorders>
            <w:shd w:val="clear" w:color="auto" w:fill="auto"/>
            <w:noWrap/>
            <w:vAlign w:val="center"/>
            <w:hideMark/>
          </w:tcPr>
          <w:p w14:paraId="45EB139C"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54</w:t>
            </w:r>
          </w:p>
        </w:tc>
        <w:tc>
          <w:tcPr>
            <w:tcW w:w="2096" w:type="dxa"/>
            <w:tcBorders>
              <w:top w:val="nil"/>
              <w:left w:val="nil"/>
              <w:bottom w:val="single" w:sz="8" w:space="0" w:color="666666"/>
              <w:right w:val="single" w:sz="8" w:space="0" w:color="666666"/>
            </w:tcBorders>
            <w:shd w:val="clear" w:color="auto" w:fill="auto"/>
            <w:noWrap/>
            <w:vAlign w:val="center"/>
            <w:hideMark/>
          </w:tcPr>
          <w:p w14:paraId="665C2C4C"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2</w:t>
            </w:r>
          </w:p>
        </w:tc>
        <w:tc>
          <w:tcPr>
            <w:tcW w:w="1750" w:type="dxa"/>
            <w:tcBorders>
              <w:top w:val="nil"/>
              <w:left w:val="nil"/>
              <w:bottom w:val="single" w:sz="8" w:space="0" w:color="666666"/>
              <w:right w:val="single" w:sz="8" w:space="0" w:color="666666"/>
            </w:tcBorders>
            <w:shd w:val="clear" w:color="auto" w:fill="auto"/>
            <w:noWrap/>
            <w:vAlign w:val="center"/>
            <w:hideMark/>
          </w:tcPr>
          <w:p w14:paraId="791C5DA3"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1</w:t>
            </w:r>
          </w:p>
        </w:tc>
        <w:tc>
          <w:tcPr>
            <w:tcW w:w="2394" w:type="dxa"/>
            <w:tcBorders>
              <w:top w:val="nil"/>
              <w:left w:val="nil"/>
              <w:bottom w:val="single" w:sz="8" w:space="0" w:color="666666"/>
              <w:right w:val="single" w:sz="8" w:space="0" w:color="666666"/>
            </w:tcBorders>
            <w:shd w:val="clear" w:color="auto" w:fill="auto"/>
            <w:noWrap/>
            <w:vAlign w:val="center"/>
            <w:hideMark/>
          </w:tcPr>
          <w:p w14:paraId="504123FC"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57</w:t>
            </w:r>
          </w:p>
        </w:tc>
      </w:tr>
      <w:tr w:rsidR="00DE27E4" w:rsidRPr="00DE27E4" w14:paraId="1E26120A" w14:textId="77777777" w:rsidTr="00C012D5">
        <w:trPr>
          <w:trHeight w:val="300"/>
        </w:trPr>
        <w:tc>
          <w:tcPr>
            <w:tcW w:w="1098" w:type="dxa"/>
            <w:tcBorders>
              <w:top w:val="nil"/>
              <w:left w:val="single" w:sz="8" w:space="0" w:color="666666"/>
              <w:bottom w:val="single" w:sz="8" w:space="0" w:color="666666"/>
              <w:right w:val="single" w:sz="8" w:space="0" w:color="666666"/>
            </w:tcBorders>
            <w:shd w:val="clear" w:color="000000" w:fill="CCCCCC"/>
            <w:noWrap/>
            <w:vAlign w:val="center"/>
            <w:hideMark/>
          </w:tcPr>
          <w:p w14:paraId="376364A7" w14:textId="77777777" w:rsidR="00DE27E4" w:rsidRPr="00DE27E4" w:rsidRDefault="00DE27E4" w:rsidP="00DE27E4">
            <w:pPr>
              <w:spacing w:after="0" w:line="240" w:lineRule="auto"/>
              <w:jc w:val="both"/>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Q3</w:t>
            </w:r>
          </w:p>
        </w:tc>
        <w:tc>
          <w:tcPr>
            <w:tcW w:w="1616" w:type="dxa"/>
            <w:tcBorders>
              <w:top w:val="nil"/>
              <w:left w:val="nil"/>
              <w:bottom w:val="single" w:sz="8" w:space="0" w:color="666666"/>
              <w:right w:val="single" w:sz="8" w:space="0" w:color="666666"/>
            </w:tcBorders>
            <w:shd w:val="clear" w:color="000000" w:fill="CCCCCC"/>
            <w:noWrap/>
            <w:vAlign w:val="center"/>
            <w:hideMark/>
          </w:tcPr>
          <w:p w14:paraId="7B193BB2"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42</w:t>
            </w:r>
          </w:p>
        </w:tc>
        <w:tc>
          <w:tcPr>
            <w:tcW w:w="2096" w:type="dxa"/>
            <w:tcBorders>
              <w:top w:val="nil"/>
              <w:left w:val="nil"/>
              <w:bottom w:val="single" w:sz="8" w:space="0" w:color="666666"/>
              <w:right w:val="single" w:sz="8" w:space="0" w:color="666666"/>
            </w:tcBorders>
            <w:shd w:val="clear" w:color="000000" w:fill="CCCCCC"/>
            <w:noWrap/>
            <w:vAlign w:val="center"/>
            <w:hideMark/>
          </w:tcPr>
          <w:p w14:paraId="1214247C"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2</w:t>
            </w:r>
          </w:p>
        </w:tc>
        <w:tc>
          <w:tcPr>
            <w:tcW w:w="1750" w:type="dxa"/>
            <w:tcBorders>
              <w:top w:val="nil"/>
              <w:left w:val="nil"/>
              <w:bottom w:val="single" w:sz="8" w:space="0" w:color="666666"/>
              <w:right w:val="single" w:sz="8" w:space="0" w:color="666666"/>
            </w:tcBorders>
            <w:shd w:val="clear" w:color="000000" w:fill="CCCCCC"/>
            <w:noWrap/>
            <w:vAlign w:val="center"/>
            <w:hideMark/>
          </w:tcPr>
          <w:p w14:paraId="29C87699"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0</w:t>
            </w:r>
          </w:p>
        </w:tc>
        <w:tc>
          <w:tcPr>
            <w:tcW w:w="2394" w:type="dxa"/>
            <w:tcBorders>
              <w:top w:val="nil"/>
              <w:left w:val="nil"/>
              <w:bottom w:val="single" w:sz="8" w:space="0" w:color="666666"/>
              <w:right w:val="single" w:sz="8" w:space="0" w:color="666666"/>
            </w:tcBorders>
            <w:shd w:val="clear" w:color="000000" w:fill="CCCCCC"/>
            <w:noWrap/>
            <w:vAlign w:val="center"/>
            <w:hideMark/>
          </w:tcPr>
          <w:p w14:paraId="0A7AA55A"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44</w:t>
            </w:r>
          </w:p>
        </w:tc>
      </w:tr>
      <w:tr w:rsidR="00DE27E4" w:rsidRPr="00DE27E4" w14:paraId="45FC6658" w14:textId="77777777" w:rsidTr="00C012D5">
        <w:trPr>
          <w:trHeight w:val="300"/>
        </w:trPr>
        <w:tc>
          <w:tcPr>
            <w:tcW w:w="1098" w:type="dxa"/>
            <w:tcBorders>
              <w:top w:val="nil"/>
              <w:left w:val="single" w:sz="8" w:space="0" w:color="666666"/>
              <w:bottom w:val="single" w:sz="8" w:space="0" w:color="666666"/>
              <w:right w:val="single" w:sz="8" w:space="0" w:color="666666"/>
            </w:tcBorders>
            <w:shd w:val="clear" w:color="auto" w:fill="auto"/>
            <w:noWrap/>
            <w:vAlign w:val="center"/>
            <w:hideMark/>
          </w:tcPr>
          <w:p w14:paraId="358EC0C8" w14:textId="77777777" w:rsidR="00DE27E4" w:rsidRPr="00DE27E4" w:rsidRDefault="00DE27E4" w:rsidP="00DE27E4">
            <w:pPr>
              <w:spacing w:after="0" w:line="240" w:lineRule="auto"/>
              <w:jc w:val="both"/>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Q4</w:t>
            </w:r>
          </w:p>
        </w:tc>
        <w:tc>
          <w:tcPr>
            <w:tcW w:w="1616" w:type="dxa"/>
            <w:tcBorders>
              <w:top w:val="nil"/>
              <w:left w:val="nil"/>
              <w:bottom w:val="single" w:sz="8" w:space="0" w:color="666666"/>
              <w:right w:val="single" w:sz="8" w:space="0" w:color="666666"/>
            </w:tcBorders>
            <w:shd w:val="clear" w:color="auto" w:fill="auto"/>
            <w:noWrap/>
            <w:vAlign w:val="center"/>
            <w:hideMark/>
          </w:tcPr>
          <w:p w14:paraId="40868682"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47</w:t>
            </w:r>
          </w:p>
        </w:tc>
        <w:tc>
          <w:tcPr>
            <w:tcW w:w="2096" w:type="dxa"/>
            <w:tcBorders>
              <w:top w:val="nil"/>
              <w:left w:val="nil"/>
              <w:bottom w:val="single" w:sz="8" w:space="0" w:color="666666"/>
              <w:right w:val="single" w:sz="8" w:space="0" w:color="666666"/>
            </w:tcBorders>
            <w:shd w:val="clear" w:color="auto" w:fill="auto"/>
            <w:noWrap/>
            <w:vAlign w:val="center"/>
            <w:hideMark/>
          </w:tcPr>
          <w:p w14:paraId="03E2F881"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1</w:t>
            </w:r>
          </w:p>
        </w:tc>
        <w:tc>
          <w:tcPr>
            <w:tcW w:w="1750" w:type="dxa"/>
            <w:tcBorders>
              <w:top w:val="nil"/>
              <w:left w:val="nil"/>
              <w:bottom w:val="single" w:sz="8" w:space="0" w:color="666666"/>
              <w:right w:val="single" w:sz="8" w:space="0" w:color="666666"/>
            </w:tcBorders>
            <w:shd w:val="clear" w:color="auto" w:fill="auto"/>
            <w:noWrap/>
            <w:vAlign w:val="center"/>
            <w:hideMark/>
          </w:tcPr>
          <w:p w14:paraId="35642715"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5</w:t>
            </w:r>
          </w:p>
        </w:tc>
        <w:tc>
          <w:tcPr>
            <w:tcW w:w="2394" w:type="dxa"/>
            <w:tcBorders>
              <w:top w:val="nil"/>
              <w:left w:val="nil"/>
              <w:bottom w:val="single" w:sz="8" w:space="0" w:color="666666"/>
              <w:right w:val="single" w:sz="8" w:space="0" w:color="666666"/>
            </w:tcBorders>
            <w:shd w:val="clear" w:color="auto" w:fill="auto"/>
            <w:noWrap/>
            <w:vAlign w:val="center"/>
            <w:hideMark/>
          </w:tcPr>
          <w:p w14:paraId="5E3C2FA3" w14:textId="77777777" w:rsidR="00DE27E4" w:rsidRPr="00DE27E4" w:rsidRDefault="00DE27E4" w:rsidP="00C012D5">
            <w:pPr>
              <w:spacing w:after="0" w:line="240" w:lineRule="auto"/>
              <w:jc w:val="center"/>
              <w:rPr>
                <w:rFonts w:ascii="Baskerville Old Face" w:eastAsia="Times New Roman" w:hAnsi="Baskerville Old Face" w:cs="Times New Roman"/>
                <w:color w:val="000000"/>
                <w:kern w:val="0"/>
                <w14:ligatures w14:val="none"/>
              </w:rPr>
            </w:pPr>
            <w:r w:rsidRPr="00DE27E4">
              <w:rPr>
                <w:rFonts w:ascii="Baskerville Old Face" w:eastAsia="Times New Roman" w:hAnsi="Baskerville Old Face" w:cs="Times New Roman"/>
                <w:color w:val="000000"/>
                <w:kern w:val="0"/>
                <w14:ligatures w14:val="none"/>
              </w:rPr>
              <w:t>64</w:t>
            </w:r>
          </w:p>
        </w:tc>
      </w:tr>
      <w:tr w:rsidR="00DE27E4" w:rsidRPr="00DE27E4" w14:paraId="58809D25" w14:textId="77777777" w:rsidTr="00C012D5">
        <w:trPr>
          <w:trHeight w:val="588"/>
        </w:trPr>
        <w:tc>
          <w:tcPr>
            <w:tcW w:w="1098" w:type="dxa"/>
            <w:tcBorders>
              <w:top w:val="nil"/>
              <w:left w:val="single" w:sz="8" w:space="0" w:color="666666"/>
              <w:bottom w:val="single" w:sz="8" w:space="0" w:color="666666"/>
              <w:right w:val="single" w:sz="8" w:space="0" w:color="666666"/>
            </w:tcBorders>
            <w:shd w:val="clear" w:color="000000" w:fill="CCCCCC"/>
            <w:noWrap/>
            <w:vAlign w:val="center"/>
            <w:hideMark/>
          </w:tcPr>
          <w:p w14:paraId="7EEF078B" w14:textId="77777777" w:rsidR="00DE27E4" w:rsidRPr="00DE27E4" w:rsidRDefault="00DE27E4" w:rsidP="00DE27E4">
            <w:pPr>
              <w:spacing w:after="0" w:line="240" w:lineRule="auto"/>
              <w:jc w:val="both"/>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TOTALS</w:t>
            </w:r>
          </w:p>
        </w:tc>
        <w:tc>
          <w:tcPr>
            <w:tcW w:w="1616" w:type="dxa"/>
            <w:tcBorders>
              <w:top w:val="nil"/>
              <w:left w:val="nil"/>
              <w:bottom w:val="single" w:sz="8" w:space="0" w:color="666666"/>
              <w:right w:val="single" w:sz="8" w:space="0" w:color="666666"/>
            </w:tcBorders>
            <w:shd w:val="clear" w:color="000000" w:fill="CCCCCC"/>
            <w:noWrap/>
            <w:vAlign w:val="center"/>
            <w:hideMark/>
          </w:tcPr>
          <w:p w14:paraId="33016DF0" w14:textId="77777777" w:rsidR="00DE27E4" w:rsidRPr="00DE27E4" w:rsidRDefault="00DE27E4" w:rsidP="00C012D5">
            <w:pPr>
              <w:spacing w:after="0" w:line="240" w:lineRule="auto"/>
              <w:jc w:val="center"/>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203</w:t>
            </w:r>
          </w:p>
        </w:tc>
        <w:tc>
          <w:tcPr>
            <w:tcW w:w="2096" w:type="dxa"/>
            <w:tcBorders>
              <w:top w:val="nil"/>
              <w:left w:val="nil"/>
              <w:bottom w:val="single" w:sz="8" w:space="0" w:color="666666"/>
              <w:right w:val="single" w:sz="8" w:space="0" w:color="666666"/>
            </w:tcBorders>
            <w:shd w:val="clear" w:color="000000" w:fill="CCCCCC"/>
            <w:noWrap/>
            <w:vAlign w:val="center"/>
            <w:hideMark/>
          </w:tcPr>
          <w:p w14:paraId="58E34F33" w14:textId="77777777" w:rsidR="00DE27E4" w:rsidRPr="00DE27E4" w:rsidRDefault="00DE27E4" w:rsidP="00C012D5">
            <w:pPr>
              <w:spacing w:after="0" w:line="240" w:lineRule="auto"/>
              <w:jc w:val="center"/>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8</w:t>
            </w:r>
          </w:p>
        </w:tc>
        <w:tc>
          <w:tcPr>
            <w:tcW w:w="1750" w:type="dxa"/>
            <w:tcBorders>
              <w:top w:val="nil"/>
              <w:left w:val="nil"/>
              <w:bottom w:val="single" w:sz="8" w:space="0" w:color="666666"/>
              <w:right w:val="single" w:sz="8" w:space="0" w:color="666666"/>
            </w:tcBorders>
            <w:shd w:val="clear" w:color="000000" w:fill="CCCCCC"/>
            <w:noWrap/>
            <w:vAlign w:val="center"/>
            <w:hideMark/>
          </w:tcPr>
          <w:p w14:paraId="23624E84" w14:textId="77777777" w:rsidR="00DE27E4" w:rsidRPr="00DE27E4" w:rsidRDefault="00DE27E4" w:rsidP="00C012D5">
            <w:pPr>
              <w:spacing w:after="0" w:line="240" w:lineRule="auto"/>
              <w:jc w:val="center"/>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7</w:t>
            </w:r>
          </w:p>
        </w:tc>
        <w:tc>
          <w:tcPr>
            <w:tcW w:w="2394" w:type="dxa"/>
            <w:tcBorders>
              <w:top w:val="nil"/>
              <w:left w:val="nil"/>
              <w:bottom w:val="single" w:sz="8" w:space="0" w:color="666666"/>
              <w:right w:val="single" w:sz="8" w:space="0" w:color="666666"/>
            </w:tcBorders>
            <w:shd w:val="clear" w:color="000000" w:fill="CCCCCC"/>
            <w:noWrap/>
            <w:vAlign w:val="center"/>
            <w:hideMark/>
          </w:tcPr>
          <w:p w14:paraId="0D6AE284" w14:textId="48FD1DC9" w:rsidR="00DE27E4" w:rsidRPr="00DE27E4" w:rsidRDefault="00DE27E4" w:rsidP="00C012D5">
            <w:pPr>
              <w:spacing w:after="0" w:line="240" w:lineRule="auto"/>
              <w:jc w:val="center"/>
              <w:rPr>
                <w:rFonts w:ascii="Baskerville Old Face" w:eastAsia="Times New Roman" w:hAnsi="Baskerville Old Face" w:cs="Times New Roman"/>
                <w:b/>
                <w:bCs/>
                <w:color w:val="000000"/>
                <w:kern w:val="0"/>
                <w14:ligatures w14:val="none"/>
              </w:rPr>
            </w:pPr>
            <w:r w:rsidRPr="00DE27E4">
              <w:rPr>
                <w:rFonts w:ascii="Baskerville Old Face" w:eastAsia="Times New Roman" w:hAnsi="Baskerville Old Face" w:cs="Times New Roman"/>
                <w:b/>
                <w:bCs/>
                <w:color w:val="000000"/>
                <w:kern w:val="0"/>
                <w14:ligatures w14:val="none"/>
              </w:rPr>
              <w:t>2</w:t>
            </w:r>
            <w:r>
              <w:rPr>
                <w:rFonts w:ascii="Baskerville Old Face" w:eastAsia="Times New Roman" w:hAnsi="Baskerville Old Face" w:cs="Times New Roman"/>
                <w:b/>
                <w:bCs/>
                <w:color w:val="000000"/>
                <w:kern w:val="0"/>
                <w14:ligatures w14:val="none"/>
              </w:rPr>
              <w:t>18</w:t>
            </w:r>
          </w:p>
        </w:tc>
      </w:tr>
    </w:tbl>
    <w:p w14:paraId="5C1F96A9"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BD54BAF" w14:textId="5FE2B53B"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 xml:space="preserve">Furthermore, the unit completed the </w:t>
      </w:r>
      <w:r w:rsidRPr="00B12A61">
        <w:rPr>
          <w:rFonts w:ascii="Baskerville Old Face" w:hAnsi="Baskerville Old Face" w:cs="Times New Roman"/>
          <w:sz w:val="24"/>
          <w:szCs w:val="24"/>
        </w:rPr>
        <w:t xml:space="preserve">profiling of </w:t>
      </w:r>
      <w:r w:rsidR="00ED5CB0" w:rsidRPr="00B12A61">
        <w:rPr>
          <w:rFonts w:ascii="Baskerville Old Face" w:hAnsi="Baskerville Old Face" w:cs="Times New Roman"/>
          <w:sz w:val="24"/>
          <w:szCs w:val="24"/>
        </w:rPr>
        <w:t>33</w:t>
      </w:r>
      <w:r w:rsidRPr="00B12A61">
        <w:rPr>
          <w:rFonts w:ascii="Baskerville Old Face" w:hAnsi="Baskerville Old Face" w:cs="Times New Roman"/>
          <w:sz w:val="24"/>
          <w:szCs w:val="24"/>
        </w:rPr>
        <w:t xml:space="preserve"> declarants/brokers</w:t>
      </w:r>
      <w:r w:rsidRPr="00FE2CA9">
        <w:rPr>
          <w:rFonts w:ascii="Baskerville Old Face" w:hAnsi="Baskerville Old Face" w:cs="Times New Roman"/>
          <w:sz w:val="24"/>
          <w:szCs w:val="24"/>
        </w:rPr>
        <w:t xml:space="preserve"> during the same period. Of these, </w:t>
      </w:r>
      <w:r w:rsidR="00ED5CB0">
        <w:rPr>
          <w:rFonts w:ascii="Baskerville Old Face" w:hAnsi="Baskerville Old Face" w:cs="Times New Roman"/>
          <w:sz w:val="24"/>
          <w:szCs w:val="24"/>
        </w:rPr>
        <w:t>12</w:t>
      </w:r>
      <w:r w:rsidRPr="00FE2CA9">
        <w:rPr>
          <w:rFonts w:ascii="Baskerville Old Face" w:hAnsi="Baskerville Old Face" w:cs="Times New Roman"/>
          <w:sz w:val="24"/>
          <w:szCs w:val="24"/>
        </w:rPr>
        <w:t xml:space="preserve"> brokers (</w:t>
      </w:r>
      <w:r w:rsidR="00ED5CB0">
        <w:rPr>
          <w:rFonts w:ascii="Baskerville Old Face" w:hAnsi="Baskerville Old Face" w:cs="Times New Roman"/>
          <w:sz w:val="24"/>
          <w:szCs w:val="24"/>
        </w:rPr>
        <w:t>33</w:t>
      </w:r>
      <w:r w:rsidRPr="00FE2CA9">
        <w:rPr>
          <w:rFonts w:ascii="Baskerville Old Face" w:hAnsi="Baskerville Old Face" w:cs="Times New Roman"/>
          <w:sz w:val="24"/>
          <w:szCs w:val="24"/>
        </w:rPr>
        <w:t>.</w:t>
      </w:r>
      <w:r w:rsidR="00ED5CB0">
        <w:rPr>
          <w:rFonts w:ascii="Baskerville Old Face" w:hAnsi="Baskerville Old Face" w:cs="Times New Roman"/>
          <w:sz w:val="24"/>
          <w:szCs w:val="24"/>
        </w:rPr>
        <w:t>4</w:t>
      </w:r>
      <w:r w:rsidRPr="00FE2CA9">
        <w:rPr>
          <w:rFonts w:ascii="Baskerville Old Face" w:hAnsi="Baskerville Old Face" w:cs="Times New Roman"/>
          <w:sz w:val="24"/>
          <w:szCs w:val="24"/>
        </w:rPr>
        <w:t xml:space="preserve">%) were considered compliant (Blue Lane), </w:t>
      </w:r>
      <w:r w:rsidR="00ED5CB0">
        <w:rPr>
          <w:rFonts w:ascii="Baskerville Old Face" w:hAnsi="Baskerville Old Face" w:cs="Times New Roman"/>
          <w:sz w:val="24"/>
          <w:szCs w:val="24"/>
        </w:rPr>
        <w:t>15</w:t>
      </w:r>
      <w:r w:rsidRPr="00FE2CA9">
        <w:rPr>
          <w:rFonts w:ascii="Baskerville Old Face" w:hAnsi="Baskerville Old Face" w:cs="Times New Roman"/>
          <w:sz w:val="24"/>
          <w:szCs w:val="24"/>
        </w:rPr>
        <w:t xml:space="preserve"> (</w:t>
      </w:r>
      <w:r w:rsidR="00ED5CB0">
        <w:rPr>
          <w:rFonts w:ascii="Baskerville Old Face" w:hAnsi="Baskerville Old Face" w:cs="Times New Roman"/>
          <w:sz w:val="24"/>
          <w:szCs w:val="24"/>
        </w:rPr>
        <w:t>45</w:t>
      </w:r>
      <w:r w:rsidRPr="00FE2CA9">
        <w:rPr>
          <w:rFonts w:ascii="Baskerville Old Face" w:hAnsi="Baskerville Old Face" w:cs="Times New Roman"/>
          <w:sz w:val="24"/>
          <w:szCs w:val="24"/>
        </w:rPr>
        <w:t>.</w:t>
      </w:r>
      <w:r w:rsidR="00ED5CB0">
        <w:rPr>
          <w:rFonts w:ascii="Baskerville Old Face" w:hAnsi="Baskerville Old Face" w:cs="Times New Roman"/>
          <w:sz w:val="24"/>
          <w:szCs w:val="24"/>
        </w:rPr>
        <w:t>5</w:t>
      </w:r>
      <w:r w:rsidRPr="00FE2CA9">
        <w:rPr>
          <w:rFonts w:ascii="Baskerville Old Face" w:hAnsi="Baskerville Old Face" w:cs="Times New Roman"/>
          <w:sz w:val="24"/>
          <w:szCs w:val="24"/>
        </w:rPr>
        <w:t xml:space="preserve">%) were </w:t>
      </w:r>
      <w:proofErr w:type="spellStart"/>
      <w:r w:rsidRPr="00FE2CA9">
        <w:rPr>
          <w:rFonts w:ascii="Baskerville Old Face" w:hAnsi="Baskerville Old Face" w:cs="Times New Roman"/>
          <w:sz w:val="24"/>
          <w:szCs w:val="24"/>
        </w:rPr>
        <w:t>categori</w:t>
      </w:r>
      <w:r w:rsidR="00ED5CB0">
        <w:rPr>
          <w:rFonts w:ascii="Baskerville Old Face" w:hAnsi="Baskerville Old Face" w:cs="Times New Roman"/>
          <w:sz w:val="24"/>
          <w:szCs w:val="24"/>
        </w:rPr>
        <w:t>s</w:t>
      </w:r>
      <w:r w:rsidRPr="00FE2CA9">
        <w:rPr>
          <w:rFonts w:ascii="Baskerville Old Face" w:hAnsi="Baskerville Old Face" w:cs="Times New Roman"/>
          <w:sz w:val="24"/>
          <w:szCs w:val="24"/>
        </w:rPr>
        <w:t>ed</w:t>
      </w:r>
      <w:proofErr w:type="spellEnd"/>
      <w:r w:rsidRPr="00FE2CA9">
        <w:rPr>
          <w:rFonts w:ascii="Baskerville Old Face" w:hAnsi="Baskerville Old Face" w:cs="Times New Roman"/>
          <w:sz w:val="24"/>
          <w:szCs w:val="24"/>
        </w:rPr>
        <w:t xml:space="preserve"> as moderately compliant (Yellow Lane), and </w:t>
      </w:r>
      <w:r w:rsidR="00ED5CB0">
        <w:rPr>
          <w:rFonts w:ascii="Baskerville Old Face" w:hAnsi="Baskerville Old Face" w:cs="Times New Roman"/>
          <w:sz w:val="24"/>
          <w:szCs w:val="24"/>
        </w:rPr>
        <w:t>6</w:t>
      </w:r>
      <w:r w:rsidRPr="00FE2CA9">
        <w:rPr>
          <w:rFonts w:ascii="Baskerville Old Face" w:hAnsi="Baskerville Old Face" w:cs="Times New Roman"/>
          <w:sz w:val="24"/>
          <w:szCs w:val="24"/>
        </w:rPr>
        <w:t xml:space="preserve"> brokers (</w:t>
      </w:r>
      <w:r w:rsidR="00ED5CB0">
        <w:rPr>
          <w:rFonts w:ascii="Baskerville Old Face" w:hAnsi="Baskerville Old Face" w:cs="Times New Roman"/>
          <w:sz w:val="24"/>
          <w:szCs w:val="24"/>
        </w:rPr>
        <w:t>1</w:t>
      </w:r>
      <w:r w:rsidRPr="00FE2CA9">
        <w:rPr>
          <w:rFonts w:ascii="Baskerville Old Face" w:hAnsi="Baskerville Old Face" w:cs="Times New Roman"/>
          <w:sz w:val="24"/>
          <w:szCs w:val="24"/>
        </w:rPr>
        <w:t>8.</w:t>
      </w:r>
      <w:r w:rsidR="00ED5CB0">
        <w:rPr>
          <w:rFonts w:ascii="Baskerville Old Face" w:hAnsi="Baskerville Old Face" w:cs="Times New Roman"/>
          <w:sz w:val="24"/>
          <w:szCs w:val="24"/>
        </w:rPr>
        <w:t>2</w:t>
      </w:r>
      <w:r w:rsidRPr="00FE2CA9">
        <w:rPr>
          <w:rFonts w:ascii="Baskerville Old Face" w:hAnsi="Baskerville Old Face" w:cs="Times New Roman"/>
          <w:sz w:val="24"/>
          <w:szCs w:val="24"/>
        </w:rPr>
        <w:t>%) were identified as non-compliant (Red Lane).</w:t>
      </w:r>
    </w:p>
    <w:p w14:paraId="703B6F36" w14:textId="47C2419A" w:rsidR="00700CFC" w:rsidRPr="00520DD2" w:rsidRDefault="00520DD2" w:rsidP="00395E0D">
      <w:pPr>
        <w:pStyle w:val="Heading3"/>
        <w:rPr>
          <w:rFonts w:ascii="Baskerville Old Face" w:hAnsi="Baskerville Old Face"/>
          <w:b/>
          <w:bCs/>
        </w:rPr>
      </w:pPr>
      <w:bookmarkStart w:id="88" w:name="_Toc198043947"/>
      <w:r w:rsidRPr="00520DD2">
        <w:rPr>
          <w:rFonts w:ascii="Baskerville Old Face" w:hAnsi="Baskerville Old Face"/>
          <w:b/>
          <w:bCs/>
        </w:rPr>
        <w:t xml:space="preserve">4.7.2 </w:t>
      </w:r>
      <w:r w:rsidR="00700CFC" w:rsidRPr="00520DD2">
        <w:rPr>
          <w:rFonts w:ascii="Baskerville Old Face" w:hAnsi="Baskerville Old Face"/>
          <w:b/>
          <w:bCs/>
        </w:rPr>
        <w:t>Additional Revenue Generated through RMU Interventions</w:t>
      </w:r>
      <w:bookmarkEnd w:id="88"/>
    </w:p>
    <w:p w14:paraId="37F836CE" w14:textId="0F294DC3" w:rsidR="0003123A" w:rsidRDefault="00700CFC" w:rsidP="00917E63">
      <w:pPr>
        <w:spacing w:line="276"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 xml:space="preserve">In the reporting period, a total of </w:t>
      </w:r>
      <w:r w:rsidR="00425D91" w:rsidRPr="00B12A61">
        <w:rPr>
          <w:rFonts w:ascii="Baskerville Old Face" w:hAnsi="Baskerville Old Face" w:cs="Times New Roman"/>
          <w:sz w:val="24"/>
          <w:szCs w:val="24"/>
        </w:rPr>
        <w:t>43</w:t>
      </w:r>
      <w:r w:rsidRPr="00B12A61">
        <w:rPr>
          <w:rFonts w:ascii="Baskerville Old Face" w:hAnsi="Baskerville Old Face" w:cs="Times New Roman"/>
          <w:sz w:val="24"/>
          <w:szCs w:val="24"/>
        </w:rPr>
        <w:t xml:space="preserve"> declarations were flagged as 'High Risk' for potential revenue loss. Vigilant monitoring and proactive measures led to the generation of additional revenue totaling </w:t>
      </w:r>
      <w:proofErr w:type="spellStart"/>
      <w:r w:rsidRPr="00B12A61">
        <w:rPr>
          <w:rFonts w:ascii="Baskerville Old Face" w:hAnsi="Baskerville Old Face" w:cs="Times New Roman"/>
          <w:sz w:val="24"/>
          <w:szCs w:val="24"/>
        </w:rPr>
        <w:t>NLe</w:t>
      </w:r>
      <w:proofErr w:type="spellEnd"/>
      <w:r w:rsidRPr="00B12A61">
        <w:rPr>
          <w:rFonts w:ascii="Baskerville Old Face" w:hAnsi="Baskerville Old Face" w:cs="Times New Roman"/>
          <w:sz w:val="24"/>
          <w:szCs w:val="24"/>
        </w:rPr>
        <w:t xml:space="preserve"> </w:t>
      </w:r>
      <w:r w:rsidR="00425D91" w:rsidRPr="00B12A61">
        <w:rPr>
          <w:rFonts w:ascii="Baskerville Old Face" w:hAnsi="Baskerville Old Face" w:cs="Times New Roman"/>
          <w:sz w:val="24"/>
          <w:szCs w:val="24"/>
        </w:rPr>
        <w:t>3</w:t>
      </w:r>
      <w:r w:rsidRPr="00B12A61">
        <w:rPr>
          <w:rFonts w:ascii="Baskerville Old Face" w:hAnsi="Baskerville Old Face" w:cs="Times New Roman"/>
          <w:sz w:val="24"/>
          <w:szCs w:val="24"/>
        </w:rPr>
        <w:t>.</w:t>
      </w:r>
      <w:r w:rsidR="00425D91" w:rsidRPr="00B12A61">
        <w:rPr>
          <w:rFonts w:ascii="Baskerville Old Face" w:hAnsi="Baskerville Old Face" w:cs="Times New Roman"/>
          <w:sz w:val="24"/>
          <w:szCs w:val="24"/>
        </w:rPr>
        <w:t>793</w:t>
      </w:r>
      <w:r w:rsidRPr="00B12A61">
        <w:rPr>
          <w:rFonts w:ascii="Baskerville Old Face" w:hAnsi="Baskerville Old Face" w:cs="Times New Roman"/>
          <w:sz w:val="24"/>
          <w:szCs w:val="24"/>
        </w:rPr>
        <w:t xml:space="preserve"> million</w:t>
      </w:r>
      <w:r w:rsidRPr="00700CFC">
        <w:rPr>
          <w:rFonts w:ascii="Baskerville Old Face" w:hAnsi="Baskerville Old Face" w:cs="Times New Roman"/>
          <w:sz w:val="24"/>
          <w:szCs w:val="24"/>
        </w:rPr>
        <w:t xml:space="preserve">. </w:t>
      </w:r>
      <w:r w:rsidR="00572579" w:rsidRPr="00C012D5">
        <w:rPr>
          <w:rFonts w:ascii="Baskerville Old Face" w:hAnsi="Baskerville Old Face" w:cs="Times New Roman"/>
          <w:sz w:val="24"/>
          <w:szCs w:val="24"/>
        </w:rPr>
        <w:t>T</w:t>
      </w:r>
      <w:r w:rsidRPr="00C012D5">
        <w:rPr>
          <w:rFonts w:ascii="Baskerville Old Face" w:hAnsi="Baskerville Old Face" w:cs="Times New Roman"/>
          <w:sz w:val="24"/>
          <w:szCs w:val="24"/>
        </w:rPr>
        <w:t xml:space="preserve">able </w:t>
      </w:r>
      <w:r w:rsidR="00572579" w:rsidRPr="00C012D5">
        <w:rPr>
          <w:rFonts w:ascii="Baskerville Old Face" w:hAnsi="Baskerville Old Face" w:cs="Times New Roman"/>
          <w:sz w:val="24"/>
          <w:szCs w:val="24"/>
        </w:rPr>
        <w:t>2</w:t>
      </w:r>
      <w:r w:rsidR="00C012D5" w:rsidRPr="00C012D5">
        <w:rPr>
          <w:rFonts w:ascii="Baskerville Old Face" w:hAnsi="Baskerville Old Face" w:cs="Times New Roman"/>
          <w:sz w:val="24"/>
          <w:szCs w:val="24"/>
        </w:rPr>
        <w:t>0</w:t>
      </w:r>
      <w:r w:rsidRPr="00700CFC">
        <w:rPr>
          <w:rFonts w:ascii="Baskerville Old Face" w:hAnsi="Baskerville Old Face" w:cs="Times New Roman"/>
          <w:sz w:val="24"/>
          <w:szCs w:val="24"/>
        </w:rPr>
        <w:t xml:space="preserve"> provides a breakdown of the additional revenue generated along with </w:t>
      </w:r>
      <w:r w:rsidR="00292695">
        <w:rPr>
          <w:rFonts w:ascii="Baskerville Old Face" w:hAnsi="Baskerville Old Face" w:cs="Times New Roman"/>
          <w:sz w:val="24"/>
          <w:szCs w:val="24"/>
        </w:rPr>
        <w:t>the</w:t>
      </w:r>
      <w:r w:rsidRPr="00700CFC">
        <w:rPr>
          <w:rFonts w:ascii="Baskerville Old Face" w:hAnsi="Baskerville Old Face" w:cs="Times New Roman"/>
          <w:sz w:val="24"/>
          <w:szCs w:val="24"/>
        </w:rPr>
        <w:t xml:space="preserve"> corresponding risk factors. According to the table, the largest portion of additional revenue resulted from incorrect </w:t>
      </w:r>
      <w:r w:rsidR="00425D91">
        <w:rPr>
          <w:rFonts w:ascii="Baskerville Old Face" w:hAnsi="Baskerville Old Face" w:cs="Times New Roman"/>
          <w:sz w:val="24"/>
          <w:szCs w:val="24"/>
        </w:rPr>
        <w:t>declaration of commodity values</w:t>
      </w:r>
      <w:r w:rsidRPr="00700CFC">
        <w:rPr>
          <w:rFonts w:ascii="Baskerville Old Face" w:hAnsi="Baskerville Old Face" w:cs="Times New Roman"/>
          <w:sz w:val="24"/>
          <w:szCs w:val="24"/>
        </w:rPr>
        <w:t>, accounting for 47.</w:t>
      </w:r>
      <w:r w:rsidR="00425D91">
        <w:rPr>
          <w:rFonts w:ascii="Baskerville Old Face" w:hAnsi="Baskerville Old Face" w:cs="Times New Roman"/>
          <w:sz w:val="24"/>
          <w:szCs w:val="24"/>
        </w:rPr>
        <w:t>0</w:t>
      </w:r>
      <w:r w:rsidRPr="00700CFC">
        <w:rPr>
          <w:rFonts w:ascii="Baskerville Old Face" w:hAnsi="Baskerville Old Face" w:cs="Times New Roman"/>
          <w:sz w:val="24"/>
          <w:szCs w:val="24"/>
        </w:rPr>
        <w:t xml:space="preserve">%, followed by inaccurate </w:t>
      </w:r>
      <w:r w:rsidR="00425D91">
        <w:rPr>
          <w:rFonts w:ascii="Baskerville Old Face" w:hAnsi="Baskerville Old Face" w:cs="Times New Roman"/>
          <w:sz w:val="24"/>
          <w:szCs w:val="24"/>
        </w:rPr>
        <w:t>CVC input</w:t>
      </w:r>
      <w:r w:rsidRPr="00700CFC">
        <w:rPr>
          <w:rFonts w:ascii="Baskerville Old Face" w:hAnsi="Baskerville Old Face" w:cs="Times New Roman"/>
          <w:sz w:val="24"/>
          <w:szCs w:val="24"/>
        </w:rPr>
        <w:t xml:space="preserve"> at </w:t>
      </w:r>
      <w:r w:rsidR="00425D91">
        <w:rPr>
          <w:rFonts w:ascii="Baskerville Old Face" w:hAnsi="Baskerville Old Face" w:cs="Times New Roman"/>
          <w:sz w:val="24"/>
          <w:szCs w:val="24"/>
        </w:rPr>
        <w:t>19</w:t>
      </w:r>
      <w:r w:rsidRPr="00700CFC">
        <w:rPr>
          <w:rFonts w:ascii="Baskerville Old Face" w:hAnsi="Baskerville Old Face" w:cs="Times New Roman"/>
          <w:sz w:val="24"/>
          <w:szCs w:val="24"/>
        </w:rPr>
        <w:t>.</w:t>
      </w:r>
      <w:r w:rsidR="00425D91">
        <w:rPr>
          <w:rFonts w:ascii="Baskerville Old Face" w:hAnsi="Baskerville Old Face" w:cs="Times New Roman"/>
          <w:sz w:val="24"/>
          <w:szCs w:val="24"/>
        </w:rPr>
        <w:t>9</w:t>
      </w:r>
      <w:r w:rsidRPr="00700CFC">
        <w:rPr>
          <w:rFonts w:ascii="Baskerville Old Face" w:hAnsi="Baskerville Old Face" w:cs="Times New Roman"/>
          <w:sz w:val="24"/>
          <w:szCs w:val="24"/>
        </w:rPr>
        <w:t>%</w:t>
      </w:r>
      <w:r w:rsidR="00425D91">
        <w:rPr>
          <w:rFonts w:ascii="Baskerville Old Face" w:hAnsi="Baskerville Old Face" w:cs="Times New Roman"/>
          <w:sz w:val="24"/>
          <w:szCs w:val="24"/>
        </w:rPr>
        <w:t xml:space="preserve">. </w:t>
      </w:r>
    </w:p>
    <w:p w14:paraId="33F1EB19" w14:textId="63700B14" w:rsidR="0071721B" w:rsidRPr="002465E3" w:rsidRDefault="0071721B" w:rsidP="0071721B">
      <w:pPr>
        <w:pStyle w:val="Caption"/>
        <w:keepNext/>
        <w:rPr>
          <w:rFonts w:ascii="Baskerville Old Face" w:hAnsi="Baskerville Old Face"/>
          <w:b/>
          <w:bCs/>
          <w:sz w:val="24"/>
          <w:szCs w:val="24"/>
        </w:rPr>
      </w:pPr>
      <w:bookmarkStart w:id="89" w:name="_Toc198044038"/>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20</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Revenue Raised by the Risk Management Unit, 2024</w:t>
      </w:r>
      <w:bookmarkEnd w:id="89"/>
    </w:p>
    <w:tbl>
      <w:tblPr>
        <w:tblStyle w:val="GridTable6ColourfulAccent6"/>
        <w:tblW w:w="0" w:type="auto"/>
        <w:tblLook w:val="04A0" w:firstRow="1" w:lastRow="0" w:firstColumn="1" w:lastColumn="0" w:noHBand="0" w:noVBand="1"/>
      </w:tblPr>
      <w:tblGrid>
        <w:gridCol w:w="680"/>
        <w:gridCol w:w="2440"/>
        <w:gridCol w:w="2500"/>
        <w:gridCol w:w="1520"/>
      </w:tblGrid>
      <w:tr w:rsidR="00700CFC" w:rsidRPr="00917E63" w14:paraId="10B76351" w14:textId="77777777" w:rsidTr="00EF0624">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58237A4" w14:textId="3FC5E726" w:rsidR="00700CFC" w:rsidRPr="00917E63" w:rsidRDefault="00EF0624" w:rsidP="00F9112B">
            <w:pPr>
              <w:jc w:val="both"/>
              <w:rPr>
                <w:rFonts w:ascii="Baskerville Old Face" w:hAnsi="Baskerville Old Face"/>
                <w:b w:val="0"/>
                <w:bCs w:val="0"/>
                <w:color w:val="auto"/>
                <w:sz w:val="24"/>
                <w:szCs w:val="24"/>
              </w:rPr>
            </w:pPr>
            <w:r w:rsidRPr="00917E63">
              <w:rPr>
                <w:rFonts w:ascii="Baskerville Old Face" w:hAnsi="Baskerville Old Face"/>
                <w:color w:val="auto"/>
                <w:sz w:val="24"/>
                <w:szCs w:val="24"/>
              </w:rPr>
              <w:t>No.</w:t>
            </w:r>
          </w:p>
        </w:tc>
        <w:tc>
          <w:tcPr>
            <w:tcW w:w="2440" w:type="dxa"/>
            <w:hideMark/>
          </w:tcPr>
          <w:p w14:paraId="5F9D58C1" w14:textId="37CAB11D" w:rsidR="00700CFC" w:rsidRPr="00917E63"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sz w:val="24"/>
                <w:szCs w:val="24"/>
              </w:rPr>
            </w:pPr>
            <w:r w:rsidRPr="00917E63">
              <w:rPr>
                <w:rFonts w:ascii="Baskerville Old Face" w:hAnsi="Baskerville Old Face"/>
                <w:color w:val="auto"/>
                <w:sz w:val="24"/>
                <w:szCs w:val="24"/>
              </w:rPr>
              <w:t xml:space="preserve">Suspected Risk </w:t>
            </w:r>
          </w:p>
        </w:tc>
        <w:tc>
          <w:tcPr>
            <w:tcW w:w="2500" w:type="dxa"/>
            <w:hideMark/>
          </w:tcPr>
          <w:p w14:paraId="3262DD93" w14:textId="02FCE517" w:rsidR="00700CFC" w:rsidRPr="00917E63" w:rsidRDefault="00EF0624" w:rsidP="00917E63">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sz w:val="24"/>
                <w:szCs w:val="24"/>
              </w:rPr>
            </w:pPr>
            <w:r w:rsidRPr="00917E63">
              <w:rPr>
                <w:rFonts w:ascii="Baskerville Old Face" w:hAnsi="Baskerville Old Face"/>
                <w:color w:val="auto"/>
                <w:sz w:val="24"/>
                <w:szCs w:val="24"/>
              </w:rPr>
              <w:t>Additional Revenue</w:t>
            </w:r>
          </w:p>
        </w:tc>
        <w:tc>
          <w:tcPr>
            <w:tcW w:w="1520" w:type="dxa"/>
            <w:hideMark/>
          </w:tcPr>
          <w:p w14:paraId="15DB14BD" w14:textId="62D2B895" w:rsidR="00700CFC" w:rsidRPr="00917E63" w:rsidRDefault="00EF0624" w:rsidP="00917E63">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sz w:val="24"/>
                <w:szCs w:val="24"/>
              </w:rPr>
            </w:pPr>
            <w:r w:rsidRPr="00917E63">
              <w:rPr>
                <w:rFonts w:ascii="Baskerville Old Face" w:hAnsi="Baskerville Old Face"/>
                <w:color w:val="auto"/>
                <w:sz w:val="24"/>
                <w:szCs w:val="24"/>
              </w:rPr>
              <w:t>% Share</w:t>
            </w:r>
          </w:p>
        </w:tc>
      </w:tr>
      <w:tr w:rsidR="00ED5CB0" w:rsidRPr="00917E63" w14:paraId="3E7F32F9"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6669C6EE"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1</w:t>
            </w:r>
          </w:p>
        </w:tc>
        <w:tc>
          <w:tcPr>
            <w:tcW w:w="2440" w:type="dxa"/>
            <w:hideMark/>
          </w:tcPr>
          <w:p w14:paraId="0301949F" w14:textId="77777777" w:rsidR="00ED5CB0" w:rsidRPr="00917E63" w:rsidRDefault="00ED5CB0" w:rsidP="00ED5CB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Value Issues</w:t>
            </w:r>
          </w:p>
        </w:tc>
        <w:tc>
          <w:tcPr>
            <w:tcW w:w="2500" w:type="dxa"/>
            <w:hideMark/>
          </w:tcPr>
          <w:p w14:paraId="6EAF4A69" w14:textId="714E03B0"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1,783,004.71</w:t>
            </w:r>
          </w:p>
        </w:tc>
        <w:tc>
          <w:tcPr>
            <w:tcW w:w="1520" w:type="dxa"/>
            <w:hideMark/>
          </w:tcPr>
          <w:p w14:paraId="55C69642" w14:textId="666BD1FE"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47.0%</w:t>
            </w:r>
          </w:p>
        </w:tc>
      </w:tr>
      <w:tr w:rsidR="00ED5CB0" w:rsidRPr="00917E63" w14:paraId="02FEFA89"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0D361DC"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2</w:t>
            </w:r>
          </w:p>
        </w:tc>
        <w:tc>
          <w:tcPr>
            <w:tcW w:w="2440" w:type="dxa"/>
            <w:hideMark/>
          </w:tcPr>
          <w:p w14:paraId="385E01E0" w14:textId="77777777" w:rsidR="00ED5CB0" w:rsidRPr="00917E63" w:rsidRDefault="00ED5CB0" w:rsidP="00ED5CB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Wrong CVC Input</w:t>
            </w:r>
          </w:p>
        </w:tc>
        <w:tc>
          <w:tcPr>
            <w:tcW w:w="2500" w:type="dxa"/>
            <w:hideMark/>
          </w:tcPr>
          <w:p w14:paraId="097AB6C2" w14:textId="3AED5C9A"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756,229.06</w:t>
            </w:r>
          </w:p>
        </w:tc>
        <w:tc>
          <w:tcPr>
            <w:tcW w:w="1520" w:type="dxa"/>
            <w:hideMark/>
          </w:tcPr>
          <w:p w14:paraId="43C1F5C9" w14:textId="01EF1ACB"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19.9%</w:t>
            </w:r>
          </w:p>
        </w:tc>
      </w:tr>
      <w:tr w:rsidR="00ED5CB0" w:rsidRPr="00917E63" w14:paraId="4EAF5F0A"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0ADE1D6F"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3</w:t>
            </w:r>
          </w:p>
        </w:tc>
        <w:tc>
          <w:tcPr>
            <w:tcW w:w="2440" w:type="dxa"/>
            <w:hideMark/>
          </w:tcPr>
          <w:p w14:paraId="061BDFA1" w14:textId="13ADA1FF" w:rsidR="00ED5CB0" w:rsidRPr="00917E63" w:rsidRDefault="00ED5CB0" w:rsidP="00ED5CB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Wrong Excise</w:t>
            </w:r>
          </w:p>
        </w:tc>
        <w:tc>
          <w:tcPr>
            <w:tcW w:w="2500" w:type="dxa"/>
            <w:hideMark/>
          </w:tcPr>
          <w:p w14:paraId="765EE5B6" w14:textId="3F065118"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612,518.00</w:t>
            </w:r>
          </w:p>
        </w:tc>
        <w:tc>
          <w:tcPr>
            <w:tcW w:w="1520" w:type="dxa"/>
            <w:hideMark/>
          </w:tcPr>
          <w:p w14:paraId="319F7DF1" w14:textId="4FDCD9AD"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16.1%</w:t>
            </w:r>
          </w:p>
        </w:tc>
      </w:tr>
      <w:tr w:rsidR="00ED5CB0" w:rsidRPr="00917E63" w14:paraId="5148ED44"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8DDF054"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4</w:t>
            </w:r>
          </w:p>
        </w:tc>
        <w:tc>
          <w:tcPr>
            <w:tcW w:w="2440" w:type="dxa"/>
            <w:hideMark/>
          </w:tcPr>
          <w:p w14:paraId="35599D5C" w14:textId="77777777" w:rsidR="00ED5CB0" w:rsidRPr="00917E63" w:rsidRDefault="00ED5CB0" w:rsidP="00ED5CB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Wrong HS Code</w:t>
            </w:r>
          </w:p>
        </w:tc>
        <w:tc>
          <w:tcPr>
            <w:tcW w:w="2500" w:type="dxa"/>
            <w:hideMark/>
          </w:tcPr>
          <w:p w14:paraId="49F699E7" w14:textId="7061EBB2"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268,413.82</w:t>
            </w:r>
          </w:p>
        </w:tc>
        <w:tc>
          <w:tcPr>
            <w:tcW w:w="1520" w:type="dxa"/>
            <w:hideMark/>
          </w:tcPr>
          <w:p w14:paraId="147B17B3" w14:textId="61F19876"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7.1%</w:t>
            </w:r>
          </w:p>
        </w:tc>
      </w:tr>
      <w:tr w:rsidR="00ED5CB0" w:rsidRPr="00917E63" w14:paraId="6D615185"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5C32F3A"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5</w:t>
            </w:r>
          </w:p>
        </w:tc>
        <w:tc>
          <w:tcPr>
            <w:tcW w:w="2440" w:type="dxa"/>
            <w:hideMark/>
          </w:tcPr>
          <w:p w14:paraId="5BF7C8FE" w14:textId="77777777" w:rsidR="00ED5CB0" w:rsidRPr="00917E63" w:rsidRDefault="00ED5CB0" w:rsidP="00ED5CB0">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Freight Infringement</w:t>
            </w:r>
          </w:p>
        </w:tc>
        <w:tc>
          <w:tcPr>
            <w:tcW w:w="2500" w:type="dxa"/>
            <w:hideMark/>
          </w:tcPr>
          <w:p w14:paraId="4BE69B1A" w14:textId="587657DF"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372,812.05</w:t>
            </w:r>
          </w:p>
        </w:tc>
        <w:tc>
          <w:tcPr>
            <w:tcW w:w="1520" w:type="dxa"/>
            <w:hideMark/>
          </w:tcPr>
          <w:p w14:paraId="68D924B0" w14:textId="2A9C82D0" w:rsidR="00ED5CB0" w:rsidRPr="00917E63" w:rsidRDefault="00ED5CB0" w:rsidP="00917E6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sz w:val="24"/>
                <w:szCs w:val="24"/>
              </w:rPr>
            </w:pPr>
            <w:r w:rsidRPr="00917E63">
              <w:rPr>
                <w:rFonts w:ascii="Baskerville Old Face" w:hAnsi="Baskerville Old Face"/>
                <w:color w:val="auto"/>
                <w:sz w:val="24"/>
                <w:szCs w:val="24"/>
              </w:rPr>
              <w:t>9.8%</w:t>
            </w:r>
          </w:p>
        </w:tc>
      </w:tr>
      <w:tr w:rsidR="00ED5CB0" w:rsidRPr="00917E63" w14:paraId="6E781EEE"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36850B2" w14:textId="77777777" w:rsidR="00ED5CB0" w:rsidRPr="00917E63" w:rsidRDefault="00ED5CB0" w:rsidP="00ED5CB0">
            <w:pPr>
              <w:jc w:val="both"/>
              <w:rPr>
                <w:rFonts w:ascii="Baskerville Old Face" w:hAnsi="Baskerville Old Face"/>
                <w:color w:val="auto"/>
                <w:sz w:val="24"/>
                <w:szCs w:val="24"/>
              </w:rPr>
            </w:pPr>
            <w:r w:rsidRPr="00917E63">
              <w:rPr>
                <w:rFonts w:ascii="Baskerville Old Face" w:hAnsi="Baskerville Old Face"/>
                <w:color w:val="auto"/>
                <w:sz w:val="24"/>
                <w:szCs w:val="24"/>
              </w:rPr>
              <w:t> </w:t>
            </w:r>
          </w:p>
        </w:tc>
        <w:tc>
          <w:tcPr>
            <w:tcW w:w="2440" w:type="dxa"/>
            <w:hideMark/>
          </w:tcPr>
          <w:p w14:paraId="03ECBA53" w14:textId="77777777" w:rsidR="00ED5CB0" w:rsidRPr="00917E63" w:rsidRDefault="00ED5CB0" w:rsidP="00ED5CB0">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color w:val="auto"/>
                <w:sz w:val="24"/>
                <w:szCs w:val="24"/>
              </w:rPr>
            </w:pPr>
            <w:r w:rsidRPr="00917E63">
              <w:rPr>
                <w:rFonts w:ascii="Baskerville Old Face" w:hAnsi="Baskerville Old Face"/>
                <w:b/>
                <w:bCs/>
                <w:color w:val="auto"/>
                <w:sz w:val="24"/>
                <w:szCs w:val="24"/>
              </w:rPr>
              <w:t>TOTAL</w:t>
            </w:r>
          </w:p>
        </w:tc>
        <w:tc>
          <w:tcPr>
            <w:tcW w:w="2500" w:type="dxa"/>
            <w:hideMark/>
          </w:tcPr>
          <w:p w14:paraId="2BB4A6CB" w14:textId="779BEDAB"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color w:val="auto"/>
                <w:sz w:val="24"/>
                <w:szCs w:val="24"/>
              </w:rPr>
            </w:pPr>
            <w:r w:rsidRPr="00917E63">
              <w:rPr>
                <w:rFonts w:ascii="Baskerville Old Face" w:hAnsi="Baskerville Old Face"/>
                <w:b/>
                <w:bCs/>
                <w:color w:val="auto"/>
                <w:sz w:val="24"/>
                <w:szCs w:val="24"/>
              </w:rPr>
              <w:t>3,792,977.64</w:t>
            </w:r>
          </w:p>
        </w:tc>
        <w:tc>
          <w:tcPr>
            <w:tcW w:w="1520" w:type="dxa"/>
            <w:hideMark/>
          </w:tcPr>
          <w:p w14:paraId="4C6F8CC4" w14:textId="33F9A971" w:rsidR="00ED5CB0" w:rsidRPr="00917E63" w:rsidRDefault="00ED5CB0" w:rsidP="00917E6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color w:val="auto"/>
                <w:sz w:val="24"/>
                <w:szCs w:val="24"/>
              </w:rPr>
            </w:pPr>
          </w:p>
        </w:tc>
      </w:tr>
    </w:tbl>
    <w:p w14:paraId="1147879A" w14:textId="77777777" w:rsidR="00700CFC" w:rsidRPr="00F021ED" w:rsidRDefault="00700CFC" w:rsidP="00700CFC">
      <w:pPr>
        <w:jc w:val="both"/>
        <w:rPr>
          <w:rFonts w:ascii="Baskerville Old Face" w:hAnsi="Baskerville Old Face" w:cs="Times New Roman"/>
          <w:i/>
          <w:iCs/>
          <w:sz w:val="18"/>
          <w:szCs w:val="18"/>
          <w:lang w:val="en-GB"/>
        </w:rPr>
      </w:pPr>
      <w:r w:rsidRPr="00F021ED">
        <w:rPr>
          <w:rFonts w:ascii="Baskerville Old Face" w:hAnsi="Baskerville Old Face" w:cs="Times New Roman"/>
          <w:i/>
          <w:iCs/>
          <w:sz w:val="18"/>
          <w:szCs w:val="18"/>
          <w:lang w:val="en-GB"/>
        </w:rPr>
        <w:t>Source: CSD</w:t>
      </w:r>
    </w:p>
    <w:p w14:paraId="3B97F904" w14:textId="66E78BA7" w:rsidR="00E42D98" w:rsidRPr="00292695" w:rsidRDefault="00520DD2" w:rsidP="00395E0D">
      <w:pPr>
        <w:pStyle w:val="Heading2"/>
        <w:rPr>
          <w:rFonts w:ascii="Baskerville Old Face" w:hAnsi="Baskerville Old Face"/>
          <w:b/>
          <w:bCs/>
          <w:lang w:val="en-GB"/>
        </w:rPr>
      </w:pPr>
      <w:bookmarkStart w:id="90" w:name="_Toc198043948"/>
      <w:r w:rsidRPr="00292695">
        <w:rPr>
          <w:rFonts w:ascii="Baskerville Old Face" w:hAnsi="Baskerville Old Face"/>
          <w:b/>
          <w:bCs/>
          <w:lang w:val="en-GB"/>
        </w:rPr>
        <w:lastRenderedPageBreak/>
        <w:t xml:space="preserve">4.8 </w:t>
      </w:r>
      <w:r w:rsidR="00116D56" w:rsidRPr="00292695">
        <w:rPr>
          <w:rFonts w:ascii="Baskerville Old Face" w:hAnsi="Baskerville Old Face"/>
          <w:b/>
          <w:bCs/>
          <w:lang w:val="en-GB"/>
        </w:rPr>
        <w:t>CUSTOMS VALUATION, GOODS CLASSIFICATION, AND TAX ASSESSMENT</w:t>
      </w:r>
      <w:bookmarkEnd w:id="90"/>
    </w:p>
    <w:p w14:paraId="2F1E1E12" w14:textId="65172375" w:rsidR="007A27B0" w:rsidRPr="007A27B0" w:rsidRDefault="00E42D98" w:rsidP="007A27B0">
      <w:pPr>
        <w:spacing w:line="276" w:lineRule="auto"/>
        <w:jc w:val="both"/>
        <w:rPr>
          <w:rFonts w:ascii="Baskerville Old Face" w:hAnsi="Baskerville Old Face"/>
          <w:sz w:val="24"/>
          <w:szCs w:val="24"/>
        </w:rPr>
      </w:pPr>
      <w:r w:rsidRPr="007A27B0">
        <w:rPr>
          <w:rFonts w:ascii="Baskerville Old Face" w:hAnsi="Baskerville Old Face" w:cs="Times New Roman"/>
          <w:kern w:val="0"/>
          <w:sz w:val="24"/>
          <w:szCs w:val="24"/>
          <w:lang w:val="en-GB"/>
          <w14:ligatures w14:val="none"/>
        </w:rPr>
        <w:t xml:space="preserve">The Trade and Tariff Unit within the CSD is responsible for conducting customs valuation, goods classification, and documentary verification to ensure accurate tax assessment. Its activities are geared towards ensuring that import assessments are calculated based on transaction value and that correct commodity descriptions and applicable rates are applied. The Unit handles the processing and assessment of IM4 (import for home consumption), IM7 (imports for warehousing), and IM8 (transit and transshipment) declarations flagged for inspection in the Red and Yellow Lanes. </w:t>
      </w:r>
      <w:r w:rsidR="004463FE">
        <w:rPr>
          <w:rFonts w:ascii="Baskerville Old Face" w:hAnsi="Baskerville Old Face" w:cs="Times New Roman"/>
          <w:kern w:val="0"/>
          <w:sz w:val="24"/>
          <w:szCs w:val="24"/>
          <w:lang w:val="en-GB"/>
          <w14:ligatures w14:val="none"/>
        </w:rPr>
        <w:t xml:space="preserve">Figure </w:t>
      </w:r>
      <w:r w:rsidR="0068040E">
        <w:rPr>
          <w:rFonts w:ascii="Baskerville Old Face" w:hAnsi="Baskerville Old Face" w:cs="Times New Roman"/>
          <w:kern w:val="0"/>
          <w:sz w:val="24"/>
          <w:szCs w:val="24"/>
          <w:lang w:val="en-GB"/>
          <w14:ligatures w14:val="none"/>
        </w:rPr>
        <w:t>10</w:t>
      </w:r>
      <w:r w:rsidRPr="007A27B0">
        <w:rPr>
          <w:rFonts w:ascii="Baskerville Old Face" w:hAnsi="Baskerville Old Face" w:cs="Times New Roman"/>
          <w:kern w:val="0"/>
          <w:sz w:val="24"/>
          <w:szCs w:val="24"/>
          <w:lang w:val="en-GB"/>
          <w14:ligatures w14:val="none"/>
        </w:rPr>
        <w:t xml:space="preserve"> illustrates the </w:t>
      </w:r>
      <w:r w:rsidR="00A15BC9">
        <w:rPr>
          <w:rFonts w:ascii="Baskerville Old Face" w:hAnsi="Baskerville Old Face" w:cs="Times New Roman"/>
          <w:kern w:val="0"/>
          <w:sz w:val="24"/>
          <w:szCs w:val="24"/>
          <w:lang w:val="en-GB"/>
          <w14:ligatures w14:val="none"/>
        </w:rPr>
        <w:t xml:space="preserve">monthly </w:t>
      </w:r>
      <w:r w:rsidRPr="007A27B0">
        <w:rPr>
          <w:rFonts w:ascii="Baskerville Old Face" w:hAnsi="Baskerville Old Face" w:cs="Times New Roman"/>
          <w:kern w:val="0"/>
          <w:sz w:val="24"/>
          <w:szCs w:val="24"/>
          <w:lang w:val="en-GB"/>
          <w14:ligatures w14:val="none"/>
        </w:rPr>
        <w:t xml:space="preserve">additional revenue generated by the Trade and Tariff Unit through adjustments made to the values provided by the Integrated Trade Services (ITS), the government-authorized valuator, during the reporting period. </w:t>
      </w:r>
      <w:r w:rsidR="007A27B0" w:rsidRPr="007A27B0">
        <w:rPr>
          <w:rFonts w:ascii="Baskerville Old Face" w:hAnsi="Baskerville Old Face"/>
          <w:sz w:val="24"/>
          <w:szCs w:val="24"/>
        </w:rPr>
        <w:t xml:space="preserve">A total of </w:t>
      </w:r>
      <w:proofErr w:type="spellStart"/>
      <w:r w:rsidR="007A27B0" w:rsidRPr="00B12A61">
        <w:rPr>
          <w:rFonts w:ascii="Baskerville Old Face" w:hAnsi="Baskerville Old Face"/>
          <w:sz w:val="24"/>
          <w:szCs w:val="24"/>
        </w:rPr>
        <w:t>NLe</w:t>
      </w:r>
      <w:proofErr w:type="spellEnd"/>
      <w:r w:rsidR="007A27B0" w:rsidRPr="00B12A61">
        <w:rPr>
          <w:rFonts w:ascii="Baskerville Old Face" w:hAnsi="Baskerville Old Face"/>
          <w:sz w:val="24"/>
          <w:szCs w:val="24"/>
        </w:rPr>
        <w:t xml:space="preserve"> 9.122 million was collected </w:t>
      </w:r>
      <w:r w:rsidR="007A27B0" w:rsidRPr="007A27B0">
        <w:rPr>
          <w:rFonts w:ascii="Baskerville Old Face" w:hAnsi="Baskerville Old Face"/>
          <w:sz w:val="24"/>
          <w:szCs w:val="24"/>
        </w:rPr>
        <w:t xml:space="preserve">during the review period following the Unit’s verification of the accurate value of imported goods. This marks an increase from the </w:t>
      </w:r>
      <w:proofErr w:type="spellStart"/>
      <w:r w:rsidR="007A27B0" w:rsidRPr="007A27B0">
        <w:rPr>
          <w:rFonts w:ascii="Baskerville Old Face" w:hAnsi="Baskerville Old Face"/>
          <w:sz w:val="24"/>
          <w:szCs w:val="24"/>
        </w:rPr>
        <w:t>NLe</w:t>
      </w:r>
      <w:proofErr w:type="spellEnd"/>
      <w:r w:rsidR="007A27B0" w:rsidRPr="007A27B0">
        <w:rPr>
          <w:rFonts w:ascii="Baskerville Old Face" w:hAnsi="Baskerville Old Face"/>
          <w:sz w:val="24"/>
          <w:szCs w:val="24"/>
        </w:rPr>
        <w:t xml:space="preserve"> 5.158 million recovered as additional revenue in 2023.</w:t>
      </w:r>
    </w:p>
    <w:p w14:paraId="53F3EE0F" w14:textId="25255EE5" w:rsidR="0068040E" w:rsidRPr="002465E3" w:rsidRDefault="0068040E" w:rsidP="0068040E">
      <w:pPr>
        <w:pStyle w:val="Caption"/>
        <w:rPr>
          <w:rFonts w:ascii="Baskerville Old Face" w:eastAsia="Calibri" w:hAnsi="Baskerville Old Face" w:cs="Times New Roman"/>
          <w:b/>
          <w:bCs/>
          <w:sz w:val="24"/>
          <w:szCs w:val="24"/>
        </w:rPr>
      </w:pPr>
      <w:bookmarkStart w:id="91" w:name="_Toc198044056"/>
      <w:r w:rsidRPr="002465E3">
        <w:rPr>
          <w:rFonts w:ascii="Baskerville Old Face" w:hAnsi="Baskerville Old Face"/>
          <w:b/>
          <w:bCs/>
          <w:sz w:val="24"/>
          <w:szCs w:val="24"/>
        </w:rPr>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10</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Monthly Uplift revenue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 xml:space="preserve"> Thousand) by the Trade and Tariff Unit, 2024</w:t>
      </w:r>
      <w:bookmarkEnd w:id="91"/>
    </w:p>
    <w:p w14:paraId="334DA232" w14:textId="736C4B6C" w:rsidR="007A27B0" w:rsidRDefault="007A27B0" w:rsidP="00E42D98">
      <w:pPr>
        <w:jc w:val="both"/>
        <w:rPr>
          <w:rFonts w:ascii="Baskerville Old Face" w:eastAsia="Calibri" w:hAnsi="Baskerville Old Face" w:cs="Times New Roman"/>
          <w:b/>
          <w:bCs/>
          <w:i/>
          <w:iCs/>
        </w:rPr>
      </w:pPr>
      <w:r>
        <w:rPr>
          <w:noProof/>
        </w:rPr>
        <w:drawing>
          <wp:inline distT="0" distB="0" distL="0" distR="0" wp14:anchorId="1C96708A" wp14:editId="47B4D575">
            <wp:extent cx="6231467" cy="2743200"/>
            <wp:effectExtent l="0" t="0" r="17145" b="0"/>
            <wp:docPr id="1376232286" name="Chart 1">
              <a:extLst xmlns:a="http://schemas.openxmlformats.org/drawingml/2006/main">
                <a:ext uri="{FF2B5EF4-FFF2-40B4-BE49-F238E27FC236}">
                  <a16:creationId xmlns:a16="http://schemas.microsoft.com/office/drawing/2014/main" id="{7E2579A8-8AEC-EDFD-C4D3-BD67E5072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625743" w14:textId="2627AEFA" w:rsidR="00586A09" w:rsidRPr="00C24203" w:rsidRDefault="00F021ED" w:rsidP="00C24203">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795166A4" w14:textId="781FEE05" w:rsidR="00E42D98" w:rsidRPr="00292695" w:rsidRDefault="00520DD2" w:rsidP="00395E0D">
      <w:pPr>
        <w:pStyle w:val="Heading2"/>
        <w:rPr>
          <w:rFonts w:ascii="Baskerville Old Face" w:hAnsi="Baskerville Old Face"/>
          <w:b/>
          <w:bCs/>
          <w:lang w:val="en-GB"/>
        </w:rPr>
      </w:pPr>
      <w:bookmarkStart w:id="92" w:name="_Toc198043949"/>
      <w:r w:rsidRPr="00292695">
        <w:rPr>
          <w:rFonts w:ascii="Baskerville Old Face" w:hAnsi="Baskerville Old Face"/>
          <w:b/>
          <w:bCs/>
          <w:lang w:val="en-GB"/>
        </w:rPr>
        <w:t xml:space="preserve">4.9 </w:t>
      </w:r>
      <w:r w:rsidR="00116D56" w:rsidRPr="00292695">
        <w:rPr>
          <w:rFonts w:ascii="Baskerville Old Face" w:hAnsi="Baskerville Old Face"/>
          <w:b/>
          <w:bCs/>
          <w:lang w:val="en-GB"/>
        </w:rPr>
        <w:t>CUSTOMS RECOVERIES FROM ADJUSTMENTS AND AMENDMENTS</w:t>
      </w:r>
      <w:bookmarkEnd w:id="92"/>
    </w:p>
    <w:p w14:paraId="42DB97D1" w14:textId="77777777" w:rsidR="00E42D98" w:rsidRPr="00E42D98" w:rsidRDefault="00E42D98" w:rsidP="00183775">
      <w:pPr>
        <w:spacing w:line="276"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The Query and Amendment Unit provides essential support to the Trade and Tariff Unit in rectifying violations. This Unit manages assessments leading to alterations in monetary value and necessary corrections.</w:t>
      </w:r>
    </w:p>
    <w:p w14:paraId="50A8E6CB" w14:textId="77777777" w:rsidR="00264046" w:rsidRDefault="00183775" w:rsidP="009D6241">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7C456B">
        <w:rPr>
          <w:rFonts w:ascii="Baskerville Old Face" w:eastAsia="Times New Roman" w:hAnsi="Baskerville Old Face" w:cs="Times New Roman"/>
          <w:kern w:val="0"/>
          <w:sz w:val="24"/>
          <w:szCs w:val="24"/>
          <w14:ligatures w14:val="none"/>
        </w:rPr>
        <w:t xml:space="preserve">During the reporting period, 1,956 declarations were flagged in the system. Of these, </w:t>
      </w:r>
      <w:r w:rsidRPr="00B12A61">
        <w:rPr>
          <w:rFonts w:ascii="Baskerville Old Face" w:eastAsia="Times New Roman" w:hAnsi="Baskerville Old Face" w:cs="Times New Roman"/>
          <w:kern w:val="0"/>
          <w:sz w:val="24"/>
          <w:szCs w:val="24"/>
          <w14:ligatures w14:val="none"/>
        </w:rPr>
        <w:t xml:space="preserve">1,359 were non-revenue related, while 258 led to revenue recoveries. These queries resulted in the recovery of </w:t>
      </w:r>
      <w:proofErr w:type="spellStart"/>
      <w:r w:rsidRPr="00B12A61">
        <w:rPr>
          <w:rFonts w:ascii="Baskerville Old Face" w:eastAsia="Times New Roman" w:hAnsi="Baskerville Old Face" w:cs="Times New Roman"/>
          <w:kern w:val="0"/>
          <w:sz w:val="24"/>
          <w:szCs w:val="24"/>
          <w14:ligatures w14:val="none"/>
        </w:rPr>
        <w:t>NLe</w:t>
      </w:r>
      <w:proofErr w:type="spellEnd"/>
      <w:r w:rsidRPr="00B12A61">
        <w:rPr>
          <w:rFonts w:ascii="Baskerville Old Face" w:eastAsia="Times New Roman" w:hAnsi="Baskerville Old Face" w:cs="Times New Roman"/>
          <w:kern w:val="0"/>
          <w:sz w:val="24"/>
          <w:szCs w:val="24"/>
          <w14:ligatures w14:val="none"/>
        </w:rPr>
        <w:t xml:space="preserve"> 20</w:t>
      </w:r>
      <w:r w:rsidR="00564D01" w:rsidRPr="00B12A61">
        <w:rPr>
          <w:rFonts w:ascii="Baskerville Old Face" w:eastAsia="Times New Roman" w:hAnsi="Baskerville Old Face" w:cs="Times New Roman"/>
          <w:kern w:val="0"/>
          <w:sz w:val="24"/>
          <w:szCs w:val="24"/>
          <w14:ligatures w14:val="none"/>
        </w:rPr>
        <w:t>.</w:t>
      </w:r>
      <w:r w:rsidRPr="00B12A61">
        <w:rPr>
          <w:rFonts w:ascii="Baskerville Old Face" w:eastAsia="Times New Roman" w:hAnsi="Baskerville Old Face" w:cs="Times New Roman"/>
          <w:kern w:val="0"/>
          <w:sz w:val="24"/>
          <w:szCs w:val="24"/>
          <w14:ligatures w14:val="none"/>
        </w:rPr>
        <w:t>783</w:t>
      </w:r>
      <w:r w:rsidR="00564D01" w:rsidRPr="00B12A61">
        <w:rPr>
          <w:rFonts w:ascii="Baskerville Old Face" w:eastAsia="Times New Roman" w:hAnsi="Baskerville Old Face" w:cs="Times New Roman"/>
          <w:kern w:val="0"/>
          <w:sz w:val="24"/>
          <w:szCs w:val="24"/>
          <w14:ligatures w14:val="none"/>
        </w:rPr>
        <w:t xml:space="preserve"> million</w:t>
      </w:r>
      <w:r w:rsidRPr="00B12A61">
        <w:rPr>
          <w:rFonts w:ascii="Baskerville Old Face" w:eastAsia="Times New Roman" w:hAnsi="Baskerville Old Face" w:cs="Times New Roman"/>
          <w:kern w:val="0"/>
          <w:sz w:val="24"/>
          <w:szCs w:val="24"/>
          <w14:ligatures w14:val="none"/>
        </w:rPr>
        <w:t xml:space="preserve">. </w:t>
      </w:r>
      <w:r w:rsidRPr="004C18B8">
        <w:rPr>
          <w:rFonts w:ascii="Baskerville Old Face" w:eastAsia="Times New Roman" w:hAnsi="Baskerville Old Face" w:cs="Times New Roman"/>
          <w:kern w:val="0"/>
          <w:sz w:val="24"/>
          <w:szCs w:val="24"/>
          <w14:ligatures w14:val="none"/>
        </w:rPr>
        <w:t xml:space="preserve">In </w:t>
      </w:r>
      <w:r w:rsidRPr="007C456B">
        <w:rPr>
          <w:rFonts w:ascii="Baskerville Old Face" w:eastAsia="Times New Roman" w:hAnsi="Baskerville Old Face" w:cs="Times New Roman"/>
          <w:kern w:val="0"/>
          <w:sz w:val="24"/>
          <w:szCs w:val="24"/>
          <w14:ligatures w14:val="none"/>
        </w:rPr>
        <w:t xml:space="preserve">comparison, 2023 saw 3,892 declarations flagged for various customs-related infractions, which were subsequently amended, yielding a recovery of </w:t>
      </w:r>
      <w:proofErr w:type="spellStart"/>
      <w:r w:rsidRPr="007C456B">
        <w:rPr>
          <w:rFonts w:ascii="Baskerville Old Face" w:eastAsia="Times New Roman" w:hAnsi="Baskerville Old Face" w:cs="Times New Roman"/>
          <w:kern w:val="0"/>
          <w:sz w:val="24"/>
          <w:szCs w:val="24"/>
          <w14:ligatures w14:val="none"/>
        </w:rPr>
        <w:t>NLe</w:t>
      </w:r>
      <w:proofErr w:type="spellEnd"/>
      <w:r w:rsidRPr="007C456B">
        <w:rPr>
          <w:rFonts w:ascii="Baskerville Old Face" w:eastAsia="Times New Roman" w:hAnsi="Baskerville Old Face" w:cs="Times New Roman"/>
          <w:kern w:val="0"/>
          <w:sz w:val="24"/>
          <w:szCs w:val="24"/>
          <w14:ligatures w14:val="none"/>
        </w:rPr>
        <w:t xml:space="preserve"> 12.817 million.</w:t>
      </w:r>
      <w:r w:rsidR="00264046">
        <w:rPr>
          <w:rFonts w:ascii="Baskerville Old Face" w:eastAsia="Times New Roman" w:hAnsi="Baskerville Old Face" w:cs="Times New Roman"/>
          <w:kern w:val="0"/>
          <w:sz w:val="24"/>
          <w:szCs w:val="24"/>
          <w14:ligatures w14:val="none"/>
        </w:rPr>
        <w:t xml:space="preserve"> </w:t>
      </w:r>
    </w:p>
    <w:p w14:paraId="4A8BEB80" w14:textId="67DE27C7" w:rsidR="00183775" w:rsidRDefault="00183775" w:rsidP="009D6241">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7C456B">
        <w:rPr>
          <w:rFonts w:ascii="Baskerville Old Face" w:eastAsia="Times New Roman" w:hAnsi="Baskerville Old Face" w:cs="Times New Roman"/>
          <w:kern w:val="0"/>
          <w:sz w:val="24"/>
          <w:szCs w:val="24"/>
          <w14:ligatures w14:val="none"/>
        </w:rPr>
        <w:lastRenderedPageBreak/>
        <w:t xml:space="preserve">The most frequent issues included incomplete declarations, incorrect quantities, short collections, undervaluation, incorrect freight charges, application of the wrong foreign exchange rate, miscalculated excise duties, and incorrect tariff classifications. The </w:t>
      </w:r>
      <w:r w:rsidR="00335EC3">
        <w:rPr>
          <w:rFonts w:ascii="Baskerville Old Face" w:eastAsia="Times New Roman" w:hAnsi="Baskerville Old Face" w:cs="Times New Roman"/>
          <w:kern w:val="0"/>
          <w:sz w:val="24"/>
          <w:szCs w:val="24"/>
          <w14:ligatures w14:val="none"/>
        </w:rPr>
        <w:t>type of goods</w:t>
      </w:r>
      <w:r w:rsidRPr="007C456B">
        <w:rPr>
          <w:rFonts w:ascii="Baskerville Old Face" w:eastAsia="Times New Roman" w:hAnsi="Baskerville Old Face" w:cs="Times New Roman"/>
          <w:kern w:val="0"/>
          <w:sz w:val="24"/>
          <w:szCs w:val="24"/>
          <w14:ligatures w14:val="none"/>
        </w:rPr>
        <w:t xml:space="preserve"> that posed the highest revenue risks in 2024 were telecommunications equipment, mixed goods, auto spare parts, and factory raw materials.</w:t>
      </w:r>
    </w:p>
    <w:p w14:paraId="1D18D40E" w14:textId="79AA6BB0" w:rsidR="004D5FD6" w:rsidRPr="00292695" w:rsidRDefault="00520DD2" w:rsidP="00395E0D">
      <w:pPr>
        <w:pStyle w:val="Heading2"/>
        <w:rPr>
          <w:rFonts w:ascii="Baskerville Old Face" w:hAnsi="Baskerville Old Face"/>
          <w:b/>
          <w:bCs/>
          <w:lang w:val="en-GB"/>
        </w:rPr>
      </w:pPr>
      <w:bookmarkStart w:id="93" w:name="_Toc198043950"/>
      <w:r w:rsidRPr="00292695">
        <w:rPr>
          <w:rFonts w:ascii="Baskerville Old Face" w:hAnsi="Baskerville Old Face"/>
          <w:b/>
          <w:bCs/>
          <w:lang w:val="en-GB"/>
        </w:rPr>
        <w:t xml:space="preserve">4.10 </w:t>
      </w:r>
      <w:r w:rsidR="00EA47E4" w:rsidRPr="00292695">
        <w:rPr>
          <w:rFonts w:ascii="Baskerville Old Face" w:hAnsi="Baskerville Old Face"/>
          <w:b/>
          <w:bCs/>
          <w:lang w:val="en-GB"/>
        </w:rPr>
        <w:t>IMPORT STATISTICS (202</w:t>
      </w:r>
      <w:r w:rsidR="00144318" w:rsidRPr="00292695">
        <w:rPr>
          <w:rFonts w:ascii="Baskerville Old Face" w:hAnsi="Baskerville Old Face"/>
          <w:b/>
          <w:bCs/>
          <w:lang w:val="en-GB"/>
        </w:rPr>
        <w:t>4</w:t>
      </w:r>
      <w:r w:rsidR="00EA47E4" w:rsidRPr="00292695">
        <w:rPr>
          <w:rFonts w:ascii="Baskerville Old Face" w:hAnsi="Baskerville Old Face"/>
          <w:b/>
          <w:bCs/>
          <w:lang w:val="en-GB"/>
        </w:rPr>
        <w:t xml:space="preserve"> </w:t>
      </w:r>
      <w:r w:rsidR="00743C28" w:rsidRPr="00292695">
        <w:rPr>
          <w:rFonts w:ascii="Baskerville Old Face" w:hAnsi="Baskerville Old Face"/>
          <w:b/>
          <w:bCs/>
          <w:lang w:val="en-GB"/>
        </w:rPr>
        <w:t>AND</w:t>
      </w:r>
      <w:r w:rsidR="00EA47E4" w:rsidRPr="00292695">
        <w:rPr>
          <w:rFonts w:ascii="Baskerville Old Face" w:hAnsi="Baskerville Old Face"/>
          <w:b/>
          <w:bCs/>
          <w:lang w:val="en-GB"/>
        </w:rPr>
        <w:t xml:space="preserve"> 202</w:t>
      </w:r>
      <w:r w:rsidR="00144318" w:rsidRPr="00292695">
        <w:rPr>
          <w:rFonts w:ascii="Baskerville Old Face" w:hAnsi="Baskerville Old Face"/>
          <w:b/>
          <w:bCs/>
          <w:lang w:val="en-GB"/>
        </w:rPr>
        <w:t>3</w:t>
      </w:r>
      <w:r w:rsidR="00EA47E4" w:rsidRPr="00292695">
        <w:rPr>
          <w:rFonts w:ascii="Baskerville Old Face" w:hAnsi="Baskerville Old Face"/>
          <w:b/>
          <w:bCs/>
          <w:lang w:val="en-GB"/>
        </w:rPr>
        <w:t>)</w:t>
      </w:r>
      <w:bookmarkEnd w:id="93"/>
    </w:p>
    <w:p w14:paraId="37C78CA1" w14:textId="13BE3A97" w:rsidR="00413330" w:rsidRPr="00B12A61" w:rsidRDefault="000C11AC" w:rsidP="00144318">
      <w:pPr>
        <w:spacing w:line="276"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Statistics on dutiable and non-dutiable imports were extracted from ASYCUDA World and are presented in </w:t>
      </w:r>
      <w:r w:rsidRPr="0039146F">
        <w:rPr>
          <w:rFonts w:ascii="Baskerville Old Face" w:hAnsi="Baskerville Old Face" w:cs="Times New Roman"/>
          <w:kern w:val="0"/>
          <w:sz w:val="24"/>
          <w:szCs w:val="24"/>
          <w:lang w:val="en-GB"/>
          <w14:ligatures w14:val="none"/>
        </w:rPr>
        <w:t xml:space="preserve">Tables </w:t>
      </w:r>
      <w:r w:rsidR="00F7531C" w:rsidRPr="0039146F">
        <w:rPr>
          <w:rFonts w:ascii="Baskerville Old Face" w:hAnsi="Baskerville Old Face" w:cs="Times New Roman"/>
          <w:kern w:val="0"/>
          <w:sz w:val="24"/>
          <w:szCs w:val="24"/>
          <w:lang w:val="en-GB"/>
          <w14:ligatures w14:val="none"/>
        </w:rPr>
        <w:t>2</w:t>
      </w:r>
      <w:r w:rsidR="0039146F">
        <w:rPr>
          <w:rFonts w:ascii="Baskerville Old Face" w:hAnsi="Baskerville Old Face" w:cs="Times New Roman"/>
          <w:kern w:val="0"/>
          <w:sz w:val="24"/>
          <w:szCs w:val="24"/>
          <w:lang w:val="en-GB"/>
          <w14:ligatures w14:val="none"/>
        </w:rPr>
        <w:t>1</w:t>
      </w:r>
      <w:r w:rsidRPr="0039146F">
        <w:rPr>
          <w:rFonts w:ascii="Baskerville Old Face" w:hAnsi="Baskerville Old Face" w:cs="Times New Roman"/>
          <w:kern w:val="0"/>
          <w:sz w:val="24"/>
          <w:szCs w:val="24"/>
          <w:lang w:val="en-GB"/>
          <w14:ligatures w14:val="none"/>
        </w:rPr>
        <w:t xml:space="preserve"> and </w:t>
      </w:r>
      <w:r w:rsidR="00F7531C" w:rsidRPr="0039146F">
        <w:rPr>
          <w:rFonts w:ascii="Baskerville Old Face" w:hAnsi="Baskerville Old Face" w:cs="Times New Roman"/>
          <w:kern w:val="0"/>
          <w:sz w:val="24"/>
          <w:szCs w:val="24"/>
          <w:lang w:val="en-GB"/>
          <w14:ligatures w14:val="none"/>
        </w:rPr>
        <w:t>2</w:t>
      </w:r>
      <w:r w:rsidR="0039146F">
        <w:rPr>
          <w:rFonts w:ascii="Baskerville Old Face" w:hAnsi="Baskerville Old Face" w:cs="Times New Roman"/>
          <w:kern w:val="0"/>
          <w:sz w:val="24"/>
          <w:szCs w:val="24"/>
          <w:lang w:val="en-GB"/>
          <w14:ligatures w14:val="none"/>
        </w:rPr>
        <w:t>2</w:t>
      </w:r>
      <w:r w:rsidRPr="00285F16">
        <w:rPr>
          <w:rFonts w:ascii="Baskerville Old Face" w:hAnsi="Baskerville Old Face" w:cs="Times New Roman"/>
          <w:kern w:val="0"/>
          <w:sz w:val="24"/>
          <w:szCs w:val="24"/>
          <w:lang w:val="en-GB"/>
          <w14:ligatures w14:val="none"/>
        </w:rPr>
        <w:t xml:space="preserve"> respectively</w:t>
      </w:r>
      <w:r w:rsidRPr="00B12A61">
        <w:rPr>
          <w:rFonts w:ascii="Baskerville Old Face" w:hAnsi="Baskerville Old Face" w:cs="Times New Roman"/>
          <w:kern w:val="0"/>
          <w:sz w:val="24"/>
          <w:szCs w:val="24"/>
          <w:lang w:val="en-GB"/>
          <w14:ligatures w14:val="none"/>
        </w:rPr>
        <w:t>. Total imports in 202</w:t>
      </w:r>
      <w:r w:rsidR="00540ACA" w:rsidRPr="00B12A61">
        <w:rPr>
          <w:rFonts w:ascii="Baskerville Old Face" w:hAnsi="Baskerville Old Face" w:cs="Times New Roman"/>
          <w:kern w:val="0"/>
          <w:sz w:val="24"/>
          <w:szCs w:val="24"/>
          <w:lang w:val="en-GB"/>
          <w14:ligatures w14:val="none"/>
        </w:rPr>
        <w:t>4</w:t>
      </w:r>
      <w:r w:rsidRPr="00B12A61">
        <w:rPr>
          <w:rFonts w:ascii="Baskerville Old Face" w:hAnsi="Baskerville Old Face" w:cs="Times New Roman"/>
          <w:kern w:val="0"/>
          <w:sz w:val="24"/>
          <w:szCs w:val="24"/>
          <w:lang w:val="en-GB"/>
          <w14:ligatures w14:val="none"/>
        </w:rPr>
        <w:t xml:space="preserve"> increased by Le </w:t>
      </w:r>
      <w:r w:rsidR="00540ACA" w:rsidRPr="00B12A61">
        <w:rPr>
          <w:rFonts w:ascii="Baskerville Old Face" w:hAnsi="Baskerville Old Face" w:cs="Times New Roman"/>
          <w:kern w:val="0"/>
          <w:sz w:val="24"/>
          <w:szCs w:val="24"/>
          <w:lang w:val="en-GB"/>
          <w14:ligatures w14:val="none"/>
        </w:rPr>
        <w:t>8</w:t>
      </w:r>
      <w:r w:rsidR="00772570"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120</w:t>
      </w:r>
      <w:r w:rsidRPr="00B12A61">
        <w:rPr>
          <w:rFonts w:ascii="Baskerville Old Face" w:hAnsi="Baskerville Old Face" w:cs="Times New Roman"/>
          <w:kern w:val="0"/>
          <w:sz w:val="24"/>
          <w:szCs w:val="24"/>
          <w:lang w:val="en-GB"/>
          <w14:ligatures w14:val="none"/>
        </w:rPr>
        <w:t xml:space="preserve"> billion (an increase of </w:t>
      </w:r>
      <w:r w:rsidR="00540ACA" w:rsidRPr="00B12A61">
        <w:rPr>
          <w:rFonts w:ascii="Baskerville Old Face" w:hAnsi="Baskerville Old Face" w:cs="Times New Roman"/>
          <w:kern w:val="0"/>
          <w:sz w:val="24"/>
          <w:szCs w:val="24"/>
          <w:lang w:val="en-GB"/>
          <w14:ligatures w14:val="none"/>
        </w:rPr>
        <w:t>23</w:t>
      </w:r>
      <w:r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2</w:t>
      </w:r>
      <w:r w:rsidRPr="00B12A61">
        <w:rPr>
          <w:rFonts w:ascii="Baskerville Old Face" w:hAnsi="Baskerville Old Face" w:cs="Times New Roman"/>
          <w:kern w:val="0"/>
          <w:sz w:val="24"/>
          <w:szCs w:val="24"/>
          <w:lang w:val="en-GB"/>
          <w14:ligatures w14:val="none"/>
        </w:rPr>
        <w:t>%). Of the total imports in 202</w:t>
      </w:r>
      <w:r w:rsidR="00540ACA" w:rsidRPr="00B12A61">
        <w:rPr>
          <w:rFonts w:ascii="Baskerville Old Face" w:hAnsi="Baskerville Old Face" w:cs="Times New Roman"/>
          <w:kern w:val="0"/>
          <w:sz w:val="24"/>
          <w:szCs w:val="24"/>
          <w:lang w:val="en-GB"/>
          <w14:ligatures w14:val="none"/>
        </w:rPr>
        <w:t>4</w:t>
      </w:r>
      <w:r w:rsidRPr="00B12A61">
        <w:rPr>
          <w:rFonts w:ascii="Baskerville Old Face" w:hAnsi="Baskerville Old Face" w:cs="Times New Roman"/>
          <w:kern w:val="0"/>
          <w:sz w:val="24"/>
          <w:szCs w:val="24"/>
          <w:lang w:val="en-GB"/>
          <w14:ligatures w14:val="none"/>
        </w:rPr>
        <w:t xml:space="preserve">, dutiable imports accounted for </w:t>
      </w:r>
      <w:r w:rsidR="00540ACA" w:rsidRPr="00B12A61">
        <w:rPr>
          <w:rFonts w:ascii="Baskerville Old Face" w:hAnsi="Baskerville Old Face" w:cs="Times New Roman"/>
          <w:kern w:val="0"/>
          <w:sz w:val="24"/>
          <w:szCs w:val="24"/>
          <w:lang w:val="en-GB"/>
          <w14:ligatures w14:val="none"/>
        </w:rPr>
        <w:t>83</w:t>
      </w:r>
      <w:r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7</w:t>
      </w:r>
      <w:r w:rsidRPr="00B12A61">
        <w:rPr>
          <w:rFonts w:ascii="Baskerville Old Face" w:hAnsi="Baskerville Old Face" w:cs="Times New Roman"/>
          <w:kern w:val="0"/>
          <w:sz w:val="24"/>
          <w:szCs w:val="24"/>
          <w:lang w:val="en-GB"/>
          <w14:ligatures w14:val="none"/>
        </w:rPr>
        <w:t>%</w:t>
      </w:r>
      <w:r w:rsidR="00F93191" w:rsidRPr="00B12A61">
        <w:rPr>
          <w:rFonts w:ascii="Baskerville Old Face" w:hAnsi="Baskerville Old Face" w:cs="Times New Roman"/>
          <w:kern w:val="0"/>
          <w:sz w:val="24"/>
          <w:szCs w:val="24"/>
          <w:lang w:val="en-GB"/>
          <w14:ligatures w14:val="none"/>
        </w:rPr>
        <w:t>,</w:t>
      </w:r>
      <w:r w:rsidRPr="00B12A61">
        <w:rPr>
          <w:rFonts w:ascii="Baskerville Old Face" w:hAnsi="Baskerville Old Face" w:cs="Times New Roman"/>
          <w:kern w:val="0"/>
          <w:sz w:val="24"/>
          <w:szCs w:val="24"/>
          <w:lang w:val="en-GB"/>
          <w14:ligatures w14:val="none"/>
        </w:rPr>
        <w:t xml:space="preserve"> </w:t>
      </w:r>
      <w:r w:rsidR="004F609A" w:rsidRPr="00B12A61">
        <w:rPr>
          <w:rFonts w:ascii="Baskerville Old Face" w:hAnsi="Baskerville Old Face" w:cs="Times New Roman"/>
          <w:kern w:val="0"/>
          <w:sz w:val="24"/>
          <w:szCs w:val="24"/>
          <w:lang w:val="en-GB"/>
          <w14:ligatures w14:val="none"/>
        </w:rPr>
        <w:t xml:space="preserve">experiencing an increase of </w:t>
      </w:r>
      <w:r w:rsidR="00540ACA" w:rsidRPr="00B12A61">
        <w:rPr>
          <w:rFonts w:ascii="Baskerville Old Face" w:hAnsi="Baskerville Old Face" w:cs="Times New Roman"/>
          <w:kern w:val="0"/>
          <w:sz w:val="24"/>
          <w:szCs w:val="24"/>
          <w:lang w:val="en-GB"/>
          <w14:ligatures w14:val="none"/>
        </w:rPr>
        <w:t>33</w:t>
      </w:r>
      <w:r w:rsidR="004F609A"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1</w:t>
      </w:r>
      <w:r w:rsidR="004F609A" w:rsidRPr="00B12A61">
        <w:rPr>
          <w:rFonts w:ascii="Baskerville Old Face" w:hAnsi="Baskerville Old Face" w:cs="Times New Roman"/>
          <w:kern w:val="0"/>
          <w:sz w:val="24"/>
          <w:szCs w:val="24"/>
          <w:lang w:val="en-GB"/>
          <w14:ligatures w14:val="none"/>
        </w:rPr>
        <w:t xml:space="preserve">% from Le </w:t>
      </w:r>
      <w:r w:rsidR="00540ACA" w:rsidRPr="00B12A61">
        <w:rPr>
          <w:rFonts w:ascii="Baskerville Old Face" w:hAnsi="Baskerville Old Face" w:cs="Times New Roman"/>
          <w:kern w:val="0"/>
          <w:sz w:val="24"/>
          <w:szCs w:val="24"/>
          <w:lang w:val="en-GB"/>
          <w14:ligatures w14:val="none"/>
        </w:rPr>
        <w:t>27</w:t>
      </w:r>
      <w:r w:rsidR="00772570"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128</w:t>
      </w:r>
      <w:r w:rsidR="004F609A" w:rsidRPr="00B12A61">
        <w:rPr>
          <w:rFonts w:ascii="Baskerville Old Face" w:hAnsi="Baskerville Old Face" w:cs="Times New Roman"/>
          <w:kern w:val="0"/>
          <w:sz w:val="24"/>
          <w:szCs w:val="24"/>
          <w:lang w:val="en-GB"/>
          <w14:ligatures w14:val="none"/>
        </w:rPr>
        <w:t xml:space="preserve"> billion in 202</w:t>
      </w:r>
      <w:r w:rsidR="00540ACA" w:rsidRPr="00B12A61">
        <w:rPr>
          <w:rFonts w:ascii="Baskerville Old Face" w:hAnsi="Baskerville Old Face" w:cs="Times New Roman"/>
          <w:kern w:val="0"/>
          <w:sz w:val="24"/>
          <w:szCs w:val="24"/>
          <w:lang w:val="en-GB"/>
          <w14:ligatures w14:val="none"/>
        </w:rPr>
        <w:t>3, while</w:t>
      </w:r>
      <w:r w:rsidRPr="00B12A61">
        <w:rPr>
          <w:rFonts w:ascii="Baskerville Old Face" w:hAnsi="Baskerville Old Face" w:cs="Times New Roman"/>
          <w:kern w:val="0"/>
          <w:sz w:val="24"/>
          <w:szCs w:val="24"/>
          <w:lang w:val="en-GB"/>
          <w14:ligatures w14:val="none"/>
        </w:rPr>
        <w:t xml:space="preserve"> total non-dutiable imports </w:t>
      </w:r>
      <w:r w:rsidR="00540ACA" w:rsidRPr="00B12A61">
        <w:rPr>
          <w:rFonts w:ascii="Baskerville Old Face" w:hAnsi="Baskerville Old Face" w:cs="Times New Roman"/>
          <w:kern w:val="0"/>
          <w:sz w:val="24"/>
          <w:szCs w:val="24"/>
          <w:lang w:val="en-GB"/>
          <w14:ligatures w14:val="none"/>
        </w:rPr>
        <w:t>de</w:t>
      </w:r>
      <w:r w:rsidRPr="00B12A61">
        <w:rPr>
          <w:rFonts w:ascii="Baskerville Old Face" w:hAnsi="Baskerville Old Face" w:cs="Times New Roman"/>
          <w:kern w:val="0"/>
          <w:sz w:val="24"/>
          <w:szCs w:val="24"/>
          <w:lang w:val="en-GB"/>
          <w14:ligatures w14:val="none"/>
        </w:rPr>
        <w:t xml:space="preserve">creased </w:t>
      </w:r>
      <w:r w:rsidR="00CD7F7D" w:rsidRPr="00B12A61">
        <w:rPr>
          <w:rFonts w:ascii="Baskerville Old Face" w:hAnsi="Baskerville Old Face" w:cs="Times New Roman"/>
          <w:kern w:val="0"/>
          <w:sz w:val="24"/>
          <w:szCs w:val="24"/>
          <w:lang w:val="en-GB"/>
          <w14:ligatures w14:val="none"/>
        </w:rPr>
        <w:t>in 202</w:t>
      </w:r>
      <w:r w:rsidR="00540ACA" w:rsidRPr="00B12A61">
        <w:rPr>
          <w:rFonts w:ascii="Baskerville Old Face" w:hAnsi="Baskerville Old Face" w:cs="Times New Roman"/>
          <w:kern w:val="0"/>
          <w:sz w:val="24"/>
          <w:szCs w:val="24"/>
          <w:lang w:val="en-GB"/>
          <w14:ligatures w14:val="none"/>
        </w:rPr>
        <w:t>4</w:t>
      </w:r>
      <w:r w:rsidR="00CD7F7D" w:rsidRPr="00B12A61">
        <w:rPr>
          <w:rFonts w:ascii="Baskerville Old Face" w:hAnsi="Baskerville Old Face" w:cs="Times New Roman"/>
          <w:kern w:val="0"/>
          <w:sz w:val="24"/>
          <w:szCs w:val="24"/>
          <w:lang w:val="en-GB"/>
          <w14:ligatures w14:val="none"/>
        </w:rPr>
        <w:t xml:space="preserve"> </w:t>
      </w:r>
      <w:r w:rsidRPr="00B12A61">
        <w:rPr>
          <w:rFonts w:ascii="Baskerville Old Face" w:hAnsi="Baskerville Old Face" w:cs="Times New Roman"/>
          <w:kern w:val="0"/>
          <w:sz w:val="24"/>
          <w:szCs w:val="24"/>
          <w:lang w:val="en-GB"/>
          <w14:ligatures w14:val="none"/>
        </w:rPr>
        <w:t xml:space="preserve">by </w:t>
      </w:r>
      <w:r w:rsidR="00CD7F7D" w:rsidRPr="00B12A61">
        <w:rPr>
          <w:rFonts w:ascii="Baskerville Old Face" w:hAnsi="Baskerville Old Face" w:cs="Times New Roman"/>
          <w:kern w:val="0"/>
          <w:sz w:val="24"/>
          <w:szCs w:val="24"/>
          <w:lang w:val="en-GB"/>
          <w14:ligatures w14:val="none"/>
        </w:rPr>
        <w:t>1</w:t>
      </w:r>
      <w:r w:rsidR="00540ACA" w:rsidRPr="00B12A61">
        <w:rPr>
          <w:rFonts w:ascii="Baskerville Old Face" w:hAnsi="Baskerville Old Face" w:cs="Times New Roman"/>
          <w:kern w:val="0"/>
          <w:sz w:val="24"/>
          <w:szCs w:val="24"/>
          <w:lang w:val="en-GB"/>
          <w14:ligatures w14:val="none"/>
        </w:rPr>
        <w:t>0</w:t>
      </w:r>
      <w:r w:rsidRPr="00B12A61">
        <w:rPr>
          <w:rFonts w:ascii="Baskerville Old Face" w:hAnsi="Baskerville Old Face" w:cs="Times New Roman"/>
          <w:kern w:val="0"/>
          <w:sz w:val="24"/>
          <w:szCs w:val="24"/>
          <w:lang w:val="en-GB"/>
          <w14:ligatures w14:val="none"/>
        </w:rPr>
        <w:t>.</w:t>
      </w:r>
      <w:r w:rsidR="00CD7F7D" w:rsidRPr="00B12A61">
        <w:rPr>
          <w:rFonts w:ascii="Baskerville Old Face" w:hAnsi="Baskerville Old Face" w:cs="Times New Roman"/>
          <w:kern w:val="0"/>
          <w:sz w:val="24"/>
          <w:szCs w:val="24"/>
          <w:lang w:val="en-GB"/>
          <w14:ligatures w14:val="none"/>
        </w:rPr>
        <w:t>8</w:t>
      </w:r>
      <w:r w:rsidRPr="00B12A61">
        <w:rPr>
          <w:rFonts w:ascii="Baskerville Old Face" w:hAnsi="Baskerville Old Face" w:cs="Times New Roman"/>
          <w:kern w:val="0"/>
          <w:sz w:val="24"/>
          <w:szCs w:val="24"/>
          <w:lang w:val="en-GB"/>
          <w14:ligatures w14:val="none"/>
        </w:rPr>
        <w:t xml:space="preserve">% from Le </w:t>
      </w:r>
      <w:r w:rsidR="00540ACA" w:rsidRPr="00B12A61">
        <w:rPr>
          <w:rFonts w:ascii="Baskerville Old Face" w:hAnsi="Baskerville Old Face" w:cs="Times New Roman"/>
          <w:kern w:val="0"/>
          <w:sz w:val="24"/>
          <w:szCs w:val="24"/>
          <w:lang w:val="en-GB"/>
          <w14:ligatures w14:val="none"/>
        </w:rPr>
        <w:t>7</w:t>
      </w:r>
      <w:r w:rsidR="00772570" w:rsidRPr="00B12A61">
        <w:rPr>
          <w:rFonts w:ascii="Baskerville Old Face" w:hAnsi="Baskerville Old Face" w:cs="Times New Roman"/>
          <w:kern w:val="0"/>
          <w:sz w:val="24"/>
          <w:szCs w:val="24"/>
          <w:lang w:val="en-GB"/>
          <w14:ligatures w14:val="none"/>
        </w:rPr>
        <w:t>.</w:t>
      </w:r>
      <w:r w:rsidR="00540ACA" w:rsidRPr="00B12A61">
        <w:rPr>
          <w:rFonts w:ascii="Baskerville Old Face" w:hAnsi="Baskerville Old Face" w:cs="Times New Roman"/>
          <w:kern w:val="0"/>
          <w:sz w:val="24"/>
          <w:szCs w:val="24"/>
          <w:lang w:val="en-GB"/>
          <w14:ligatures w14:val="none"/>
        </w:rPr>
        <w:t>907</w:t>
      </w:r>
      <w:r w:rsidRPr="00B12A61">
        <w:rPr>
          <w:rFonts w:ascii="Baskerville Old Face" w:hAnsi="Baskerville Old Face" w:cs="Times New Roman"/>
          <w:kern w:val="0"/>
          <w:sz w:val="24"/>
          <w:szCs w:val="24"/>
          <w:lang w:val="en-GB"/>
          <w14:ligatures w14:val="none"/>
        </w:rPr>
        <w:t xml:space="preserve"> billion in 202</w:t>
      </w:r>
      <w:r w:rsidR="00540ACA" w:rsidRPr="00B12A61">
        <w:rPr>
          <w:rFonts w:ascii="Baskerville Old Face" w:hAnsi="Baskerville Old Face" w:cs="Times New Roman"/>
          <w:kern w:val="0"/>
          <w:sz w:val="24"/>
          <w:szCs w:val="24"/>
          <w:lang w:val="en-GB"/>
          <w14:ligatures w14:val="none"/>
        </w:rPr>
        <w:t>3</w:t>
      </w:r>
      <w:r w:rsidRPr="00B12A61">
        <w:rPr>
          <w:rFonts w:ascii="Baskerville Old Face" w:hAnsi="Baskerville Old Face" w:cs="Times New Roman"/>
          <w:kern w:val="0"/>
          <w:sz w:val="24"/>
          <w:szCs w:val="24"/>
          <w:lang w:val="en-GB"/>
          <w14:ligatures w14:val="none"/>
        </w:rPr>
        <w:t xml:space="preserve">.    </w:t>
      </w:r>
    </w:p>
    <w:p w14:paraId="090605D3" w14:textId="55EE2456" w:rsidR="004B0212" w:rsidRPr="00A94124" w:rsidRDefault="000C11AC" w:rsidP="004B0212">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12A61">
        <w:rPr>
          <w:rFonts w:ascii="Baskerville Old Face" w:hAnsi="Baskerville Old Face" w:cs="Times New Roman"/>
          <w:kern w:val="0"/>
          <w:sz w:val="24"/>
          <w:szCs w:val="24"/>
          <w:lang w:val="en-GB"/>
          <w14:ligatures w14:val="none"/>
        </w:rPr>
        <w:t xml:space="preserve">As shown in </w:t>
      </w:r>
      <w:r w:rsidRPr="0039146F">
        <w:rPr>
          <w:rFonts w:ascii="Baskerville Old Face" w:hAnsi="Baskerville Old Face" w:cs="Times New Roman"/>
          <w:kern w:val="0"/>
          <w:sz w:val="24"/>
          <w:szCs w:val="24"/>
          <w:lang w:val="en-GB"/>
          <w14:ligatures w14:val="none"/>
        </w:rPr>
        <w:t xml:space="preserve">Table </w:t>
      </w:r>
      <w:r w:rsidR="00F7531C" w:rsidRPr="0039146F">
        <w:rPr>
          <w:rFonts w:ascii="Baskerville Old Face" w:hAnsi="Baskerville Old Face" w:cs="Times New Roman"/>
          <w:kern w:val="0"/>
          <w:sz w:val="24"/>
          <w:szCs w:val="24"/>
          <w:lang w:val="en-GB"/>
          <w14:ligatures w14:val="none"/>
        </w:rPr>
        <w:t>2</w:t>
      </w:r>
      <w:r w:rsidR="0039146F" w:rsidRPr="0039146F">
        <w:rPr>
          <w:rFonts w:ascii="Baskerville Old Face" w:hAnsi="Baskerville Old Face" w:cs="Times New Roman"/>
          <w:kern w:val="0"/>
          <w:sz w:val="24"/>
          <w:szCs w:val="24"/>
          <w:lang w:val="en-GB"/>
          <w14:ligatures w14:val="none"/>
        </w:rPr>
        <w:t>1</w:t>
      </w:r>
      <w:r w:rsidR="004B0212" w:rsidRPr="00B12A61">
        <w:rPr>
          <w:rFonts w:ascii="Baskerville Old Face" w:hAnsi="Baskerville Old Face" w:cs="Times New Roman"/>
          <w:kern w:val="0"/>
          <w:sz w:val="24"/>
          <w:szCs w:val="24"/>
          <w:lang w:val="en-GB"/>
          <w14:ligatures w14:val="none"/>
        </w:rPr>
        <w:t>,</w:t>
      </w:r>
      <w:r w:rsidR="004B0212" w:rsidRPr="00B12A61">
        <w:rPr>
          <w:rFonts w:ascii="Baskerville Old Face" w:eastAsia="Times New Roman" w:hAnsi="Baskerville Old Face" w:cs="Times New Roman"/>
          <w:kern w:val="0"/>
          <w:sz w:val="24"/>
          <w:szCs w:val="24"/>
          <w14:ligatures w14:val="none"/>
        </w:rPr>
        <w:t xml:space="preserve"> the highest growth was observed in Section 3 – Mineral Fuels, Lubricants and Related Materials, </w:t>
      </w:r>
      <w:r w:rsidR="004B0212" w:rsidRPr="00A94124">
        <w:rPr>
          <w:rFonts w:ascii="Baskerville Old Face" w:eastAsia="Times New Roman" w:hAnsi="Baskerville Old Face" w:cs="Times New Roman"/>
          <w:kern w:val="0"/>
          <w:sz w:val="24"/>
          <w:szCs w:val="24"/>
          <w14:ligatures w14:val="none"/>
        </w:rPr>
        <w:t xml:space="preserve">which more than doubled (up by 100.3%) from </w:t>
      </w:r>
      <w:proofErr w:type="spellStart"/>
      <w:r w:rsidR="004B0212" w:rsidRPr="00A94124">
        <w:rPr>
          <w:rFonts w:ascii="Baskerville Old Face" w:eastAsia="Times New Roman" w:hAnsi="Baskerville Old Face" w:cs="Times New Roman"/>
          <w:kern w:val="0"/>
          <w:sz w:val="24"/>
          <w:szCs w:val="24"/>
          <w14:ligatures w14:val="none"/>
        </w:rPr>
        <w:t>NLe</w:t>
      </w:r>
      <w:proofErr w:type="spellEnd"/>
      <w:r w:rsidR="004B0212" w:rsidRPr="00A94124">
        <w:rPr>
          <w:rFonts w:ascii="Baskerville Old Face" w:eastAsia="Times New Roman" w:hAnsi="Baskerville Old Face" w:cs="Times New Roman"/>
          <w:kern w:val="0"/>
          <w:sz w:val="24"/>
          <w:szCs w:val="24"/>
          <w14:ligatures w14:val="none"/>
        </w:rPr>
        <w:t xml:space="preserve"> 9.16 billion in 2023 to </w:t>
      </w:r>
      <w:proofErr w:type="spellStart"/>
      <w:r w:rsidR="004B0212" w:rsidRPr="00A94124">
        <w:rPr>
          <w:rFonts w:ascii="Baskerville Old Face" w:eastAsia="Times New Roman" w:hAnsi="Baskerville Old Face" w:cs="Times New Roman"/>
          <w:kern w:val="0"/>
          <w:sz w:val="24"/>
          <w:szCs w:val="24"/>
          <w14:ligatures w14:val="none"/>
        </w:rPr>
        <w:t>NLe</w:t>
      </w:r>
      <w:proofErr w:type="spellEnd"/>
      <w:r w:rsidR="004B0212" w:rsidRPr="00A94124">
        <w:rPr>
          <w:rFonts w:ascii="Baskerville Old Face" w:eastAsia="Times New Roman" w:hAnsi="Baskerville Old Face" w:cs="Times New Roman"/>
          <w:kern w:val="0"/>
          <w:sz w:val="24"/>
          <w:szCs w:val="24"/>
          <w14:ligatures w14:val="none"/>
        </w:rPr>
        <w:t xml:space="preserve"> 18.35 billion in 2024. This category alone accounted for the majority of the overall increase, highlighting its growing share in the import structure and indicating rising fuel demand </w:t>
      </w:r>
      <w:r w:rsidR="004B0212">
        <w:rPr>
          <w:rFonts w:ascii="Baskerville Old Face" w:eastAsia="Times New Roman" w:hAnsi="Baskerville Old Face" w:cs="Times New Roman"/>
          <w:kern w:val="0"/>
          <w:sz w:val="24"/>
          <w:szCs w:val="24"/>
          <w14:ligatures w14:val="none"/>
        </w:rPr>
        <w:t>and/</w:t>
      </w:r>
      <w:r w:rsidR="004B0212" w:rsidRPr="00A94124">
        <w:rPr>
          <w:rFonts w:ascii="Baskerville Old Face" w:eastAsia="Times New Roman" w:hAnsi="Baskerville Old Face" w:cs="Times New Roman"/>
          <w:kern w:val="0"/>
          <w:sz w:val="24"/>
          <w:szCs w:val="24"/>
          <w14:ligatures w14:val="none"/>
        </w:rPr>
        <w:t>or higher international fuel prices.</w:t>
      </w:r>
    </w:p>
    <w:p w14:paraId="471A2AB2" w14:textId="77777777" w:rsidR="004B0212" w:rsidRPr="00A94124" w:rsidRDefault="004B0212" w:rsidP="004B0212">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kern w:val="0"/>
          <w:sz w:val="24"/>
          <w:szCs w:val="24"/>
          <w14:ligatures w14:val="none"/>
        </w:rPr>
        <w:t>Other notable increases include:</w:t>
      </w:r>
    </w:p>
    <w:p w14:paraId="51E4CD99" w14:textId="77777777" w:rsidR="004B0212" w:rsidRPr="00A94124" w:rsidRDefault="004B0212" w:rsidP="00931C1A">
      <w:pPr>
        <w:numPr>
          <w:ilvl w:val="0"/>
          <w:numId w:val="12"/>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b/>
          <w:bCs/>
          <w:kern w:val="0"/>
          <w:sz w:val="24"/>
          <w:szCs w:val="24"/>
          <w14:ligatures w14:val="none"/>
        </w:rPr>
        <w:t>Section 0 – Food and Live Animals</w:t>
      </w:r>
      <w:r w:rsidRPr="00A94124">
        <w:rPr>
          <w:rFonts w:ascii="Baskerville Old Face" w:eastAsia="Times New Roman" w:hAnsi="Baskerville Old Face" w:cs="Times New Roman"/>
          <w:kern w:val="0"/>
          <w:sz w:val="24"/>
          <w:szCs w:val="24"/>
          <w14:ligatures w14:val="none"/>
        </w:rPr>
        <w:t>, which rose by 10.6% (</w:t>
      </w:r>
      <w:proofErr w:type="spellStart"/>
      <w:r w:rsidRPr="00A94124">
        <w:rPr>
          <w:rFonts w:ascii="Baskerville Old Face" w:eastAsia="Times New Roman" w:hAnsi="Baskerville Old Face" w:cs="Times New Roman"/>
          <w:kern w:val="0"/>
          <w:sz w:val="24"/>
          <w:szCs w:val="24"/>
          <w14:ligatures w14:val="none"/>
        </w:rPr>
        <w:t>NLe</w:t>
      </w:r>
      <w:proofErr w:type="spellEnd"/>
      <w:r w:rsidRPr="00A94124">
        <w:rPr>
          <w:rFonts w:ascii="Baskerville Old Face" w:eastAsia="Times New Roman" w:hAnsi="Baskerville Old Face" w:cs="Times New Roman"/>
          <w:kern w:val="0"/>
          <w:sz w:val="24"/>
          <w:szCs w:val="24"/>
          <w14:ligatures w14:val="none"/>
        </w:rPr>
        <w:t xml:space="preserve"> 544.9 million), reflecting increased food imports.</w:t>
      </w:r>
    </w:p>
    <w:p w14:paraId="51B045BD" w14:textId="77777777" w:rsidR="004B0212" w:rsidRPr="00A94124" w:rsidRDefault="004B0212" w:rsidP="00931C1A">
      <w:pPr>
        <w:numPr>
          <w:ilvl w:val="0"/>
          <w:numId w:val="12"/>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b/>
          <w:bCs/>
          <w:kern w:val="0"/>
          <w:sz w:val="24"/>
          <w:szCs w:val="24"/>
          <w14:ligatures w14:val="none"/>
        </w:rPr>
        <w:t>Section 1A – Beverages</w:t>
      </w:r>
      <w:r w:rsidRPr="00A94124">
        <w:rPr>
          <w:rFonts w:ascii="Baskerville Old Face" w:eastAsia="Times New Roman" w:hAnsi="Baskerville Old Face" w:cs="Times New Roman"/>
          <w:kern w:val="0"/>
          <w:sz w:val="24"/>
          <w:szCs w:val="24"/>
          <w14:ligatures w14:val="none"/>
        </w:rPr>
        <w:t>, with a significant jump of 50.4%.</w:t>
      </w:r>
    </w:p>
    <w:p w14:paraId="727057B9" w14:textId="582BBEA4" w:rsidR="004B0212" w:rsidRPr="00A94124" w:rsidRDefault="004B0212" w:rsidP="00931C1A">
      <w:pPr>
        <w:numPr>
          <w:ilvl w:val="0"/>
          <w:numId w:val="12"/>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b/>
          <w:bCs/>
          <w:kern w:val="0"/>
          <w:sz w:val="24"/>
          <w:szCs w:val="24"/>
          <w14:ligatures w14:val="none"/>
        </w:rPr>
        <w:t>Other Items</w:t>
      </w:r>
      <w:r w:rsidRPr="00A94124">
        <w:rPr>
          <w:rFonts w:ascii="Baskerville Old Face" w:eastAsia="Times New Roman" w:hAnsi="Baskerville Old Face" w:cs="Times New Roman"/>
          <w:kern w:val="0"/>
          <w:sz w:val="24"/>
          <w:szCs w:val="24"/>
          <w14:ligatures w14:val="none"/>
        </w:rPr>
        <w:t>, which surged by 214.1%.</w:t>
      </w:r>
    </w:p>
    <w:p w14:paraId="5AE23BE8" w14:textId="77777777" w:rsidR="004B0212" w:rsidRPr="00A94124" w:rsidRDefault="004B0212" w:rsidP="004B0212">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kern w:val="0"/>
          <w:sz w:val="24"/>
          <w:szCs w:val="24"/>
          <w14:ligatures w14:val="none"/>
        </w:rPr>
        <w:t>Conversely, several key import categories saw declines:</w:t>
      </w:r>
    </w:p>
    <w:p w14:paraId="34211C1B" w14:textId="213D8567" w:rsidR="004B0212" w:rsidRPr="00A94124" w:rsidRDefault="004B0212" w:rsidP="00931C1A">
      <w:pPr>
        <w:numPr>
          <w:ilvl w:val="0"/>
          <w:numId w:val="13"/>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b/>
          <w:bCs/>
          <w:kern w:val="0"/>
          <w:sz w:val="24"/>
          <w:szCs w:val="24"/>
          <w14:ligatures w14:val="none"/>
        </w:rPr>
        <w:t>Section 7 – Machinery and Transport Equipment</w:t>
      </w:r>
      <w:r w:rsidRPr="00A94124">
        <w:rPr>
          <w:rFonts w:ascii="Baskerville Old Face" w:eastAsia="Times New Roman" w:hAnsi="Baskerville Old Face" w:cs="Times New Roman"/>
          <w:kern w:val="0"/>
          <w:sz w:val="24"/>
          <w:szCs w:val="24"/>
          <w14:ligatures w14:val="none"/>
        </w:rPr>
        <w:t xml:space="preserve"> dropped by 10.3.</w:t>
      </w:r>
    </w:p>
    <w:p w14:paraId="75401611" w14:textId="77777777" w:rsidR="004B0212" w:rsidRPr="00A94124" w:rsidRDefault="004B0212" w:rsidP="00931C1A">
      <w:pPr>
        <w:numPr>
          <w:ilvl w:val="0"/>
          <w:numId w:val="13"/>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A94124">
        <w:rPr>
          <w:rFonts w:ascii="Baskerville Old Face" w:eastAsia="Times New Roman" w:hAnsi="Baskerville Old Face" w:cs="Times New Roman"/>
          <w:b/>
          <w:bCs/>
          <w:kern w:val="0"/>
          <w:sz w:val="24"/>
          <w:szCs w:val="24"/>
          <w14:ligatures w14:val="none"/>
        </w:rPr>
        <w:t>Section 6 – Manufactured Goods</w:t>
      </w:r>
      <w:r w:rsidRPr="00A94124">
        <w:rPr>
          <w:rFonts w:ascii="Baskerville Old Face" w:eastAsia="Times New Roman" w:hAnsi="Baskerville Old Face" w:cs="Times New Roman"/>
          <w:kern w:val="0"/>
          <w:sz w:val="24"/>
          <w:szCs w:val="24"/>
          <w14:ligatures w14:val="none"/>
        </w:rPr>
        <w:t xml:space="preserve"> and </w:t>
      </w:r>
      <w:r w:rsidRPr="00A94124">
        <w:rPr>
          <w:rFonts w:ascii="Baskerville Old Face" w:eastAsia="Times New Roman" w:hAnsi="Baskerville Old Face" w:cs="Times New Roman"/>
          <w:b/>
          <w:bCs/>
          <w:kern w:val="0"/>
          <w:sz w:val="24"/>
          <w:szCs w:val="24"/>
          <w14:ligatures w14:val="none"/>
        </w:rPr>
        <w:t>Section 5 – Chemicals</w:t>
      </w:r>
      <w:r w:rsidRPr="00A94124">
        <w:rPr>
          <w:rFonts w:ascii="Baskerville Old Face" w:eastAsia="Times New Roman" w:hAnsi="Baskerville Old Face" w:cs="Times New Roman"/>
          <w:kern w:val="0"/>
          <w:sz w:val="24"/>
          <w:szCs w:val="24"/>
          <w14:ligatures w14:val="none"/>
        </w:rPr>
        <w:t xml:space="preserve"> fell by 7.5% and 10.9% respectively, while </w:t>
      </w:r>
      <w:r w:rsidRPr="00A94124">
        <w:rPr>
          <w:rFonts w:ascii="Baskerville Old Face" w:eastAsia="Times New Roman" w:hAnsi="Baskerville Old Face" w:cs="Times New Roman"/>
          <w:b/>
          <w:bCs/>
          <w:kern w:val="0"/>
          <w:sz w:val="24"/>
          <w:szCs w:val="24"/>
          <w14:ligatures w14:val="none"/>
        </w:rPr>
        <w:t>Tobacco</w:t>
      </w:r>
      <w:r w:rsidRPr="00A94124">
        <w:rPr>
          <w:rFonts w:ascii="Baskerville Old Face" w:eastAsia="Times New Roman" w:hAnsi="Baskerville Old Face" w:cs="Times New Roman"/>
          <w:kern w:val="0"/>
          <w:sz w:val="24"/>
          <w:szCs w:val="24"/>
          <w14:ligatures w14:val="none"/>
        </w:rPr>
        <w:t xml:space="preserve"> imports decreased by 13.9%.</w:t>
      </w:r>
    </w:p>
    <w:p w14:paraId="391556E2" w14:textId="77777777" w:rsidR="002465E3" w:rsidRDefault="002465E3" w:rsidP="0071721B">
      <w:pPr>
        <w:pStyle w:val="Caption"/>
        <w:keepNext/>
        <w:rPr>
          <w:rFonts w:ascii="Baskerville Old Face" w:hAnsi="Baskerville Old Face"/>
          <w:b/>
          <w:bCs/>
          <w:sz w:val="24"/>
          <w:szCs w:val="24"/>
        </w:rPr>
      </w:pPr>
    </w:p>
    <w:p w14:paraId="3799A766" w14:textId="77777777" w:rsidR="002465E3" w:rsidRDefault="002465E3" w:rsidP="002465E3"/>
    <w:p w14:paraId="4EBC65E5" w14:textId="77777777" w:rsidR="002465E3" w:rsidRDefault="002465E3" w:rsidP="002465E3"/>
    <w:p w14:paraId="3E7C572D" w14:textId="77777777" w:rsidR="002465E3" w:rsidRDefault="002465E3" w:rsidP="002465E3"/>
    <w:p w14:paraId="1B8CCD6B" w14:textId="77777777" w:rsidR="002465E3" w:rsidRPr="002465E3" w:rsidRDefault="002465E3" w:rsidP="002465E3"/>
    <w:p w14:paraId="70F32FE2" w14:textId="77777777" w:rsidR="002465E3" w:rsidRDefault="002465E3" w:rsidP="0071721B">
      <w:pPr>
        <w:pStyle w:val="Caption"/>
        <w:keepNext/>
        <w:rPr>
          <w:rFonts w:ascii="Baskerville Old Face" w:hAnsi="Baskerville Old Face"/>
          <w:b/>
          <w:bCs/>
          <w:sz w:val="24"/>
          <w:szCs w:val="24"/>
        </w:rPr>
      </w:pPr>
    </w:p>
    <w:p w14:paraId="2B209225" w14:textId="38535BBD" w:rsidR="0071721B" w:rsidRPr="002465E3" w:rsidRDefault="0071721B" w:rsidP="0071721B">
      <w:pPr>
        <w:pStyle w:val="Caption"/>
        <w:keepNext/>
        <w:rPr>
          <w:rFonts w:ascii="Baskerville Old Face" w:hAnsi="Baskerville Old Face"/>
          <w:b/>
          <w:bCs/>
          <w:sz w:val="24"/>
          <w:szCs w:val="24"/>
        </w:rPr>
      </w:pPr>
      <w:bookmarkStart w:id="94" w:name="_Toc198044039"/>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21</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Dutiable Imports CIF Value 2024 and 2023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w:t>
      </w:r>
      <w:bookmarkEnd w:id="94"/>
    </w:p>
    <w:tbl>
      <w:tblPr>
        <w:tblStyle w:val="GridTable4-Accent5"/>
        <w:tblW w:w="10412" w:type="dxa"/>
        <w:tblLook w:val="04A0" w:firstRow="1" w:lastRow="0" w:firstColumn="1" w:lastColumn="0" w:noHBand="0" w:noVBand="1"/>
      </w:tblPr>
      <w:tblGrid>
        <w:gridCol w:w="4585"/>
        <w:gridCol w:w="1565"/>
        <w:gridCol w:w="1710"/>
        <w:gridCol w:w="1457"/>
        <w:gridCol w:w="1095"/>
      </w:tblGrid>
      <w:tr w:rsidR="00EF61D2" w:rsidRPr="00EF61D2" w14:paraId="0E8387BC" w14:textId="77777777" w:rsidTr="0071721B">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34A8B902" w14:textId="77777777" w:rsidR="00EF61D2" w:rsidRPr="00EF61D2" w:rsidRDefault="00EF61D2">
            <w:pPr>
              <w:rPr>
                <w:rFonts w:ascii="Baskerville Old Face" w:hAnsi="Baskerville Old Face" w:cs="Times New Roman"/>
                <w:i/>
                <w:iCs/>
                <w:color w:val="auto"/>
                <w:kern w:val="0"/>
                <w14:ligatures w14:val="none"/>
              </w:rPr>
            </w:pPr>
            <w:r w:rsidRPr="00EF61D2">
              <w:rPr>
                <w:rFonts w:ascii="Baskerville Old Face" w:hAnsi="Baskerville Old Face" w:cs="Times New Roman"/>
                <w:i/>
                <w:iCs/>
                <w:color w:val="auto"/>
                <w:kern w:val="0"/>
                <w:lang w:val="en-GB"/>
                <w14:ligatures w14:val="none"/>
              </w:rPr>
              <w:t> SITC CATEGORY</w:t>
            </w:r>
          </w:p>
        </w:tc>
        <w:tc>
          <w:tcPr>
            <w:tcW w:w="1565" w:type="dxa"/>
            <w:noWrap/>
            <w:hideMark/>
          </w:tcPr>
          <w:p w14:paraId="47CE5E56" w14:textId="77777777" w:rsidR="00EF61D2" w:rsidRPr="00EF61D2" w:rsidRDefault="00EF61D2" w:rsidP="00EF61D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i/>
                <w:iCs/>
                <w:color w:val="auto"/>
                <w:kern w:val="0"/>
                <w14:ligatures w14:val="none"/>
              </w:rPr>
            </w:pPr>
            <w:r w:rsidRPr="00EF61D2">
              <w:rPr>
                <w:rFonts w:ascii="Baskerville Old Face" w:hAnsi="Baskerville Old Face" w:cs="Times New Roman"/>
                <w:i/>
                <w:iCs/>
                <w:color w:val="auto"/>
                <w:kern w:val="0"/>
                <w:lang w:val="en-GB"/>
                <w14:ligatures w14:val="none"/>
              </w:rPr>
              <w:t>2024</w:t>
            </w:r>
          </w:p>
        </w:tc>
        <w:tc>
          <w:tcPr>
            <w:tcW w:w="1710" w:type="dxa"/>
            <w:noWrap/>
            <w:hideMark/>
          </w:tcPr>
          <w:p w14:paraId="5305F690" w14:textId="77777777" w:rsidR="00EF61D2" w:rsidRPr="00EF61D2" w:rsidRDefault="00EF61D2" w:rsidP="00EF61D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i/>
                <w:iCs/>
                <w:color w:val="auto"/>
                <w:kern w:val="0"/>
                <w14:ligatures w14:val="none"/>
              </w:rPr>
            </w:pPr>
            <w:r w:rsidRPr="00EF61D2">
              <w:rPr>
                <w:rFonts w:ascii="Baskerville Old Face" w:hAnsi="Baskerville Old Face" w:cs="Times New Roman"/>
                <w:i/>
                <w:iCs/>
                <w:color w:val="auto"/>
                <w:kern w:val="0"/>
                <w14:ligatures w14:val="none"/>
              </w:rPr>
              <w:t>2023</w:t>
            </w:r>
          </w:p>
        </w:tc>
        <w:tc>
          <w:tcPr>
            <w:tcW w:w="1457" w:type="dxa"/>
            <w:noWrap/>
            <w:hideMark/>
          </w:tcPr>
          <w:p w14:paraId="26D0CCAE" w14:textId="77777777" w:rsidR="00EF61D2" w:rsidRPr="00EF61D2" w:rsidRDefault="00EF61D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i/>
                <w:iCs/>
                <w:color w:val="auto"/>
                <w:kern w:val="0"/>
                <w14:ligatures w14:val="none"/>
              </w:rPr>
            </w:pPr>
            <w:r w:rsidRPr="00EF61D2">
              <w:rPr>
                <w:rFonts w:ascii="Baskerville Old Face" w:hAnsi="Baskerville Old Face" w:cs="Times New Roman"/>
                <w:i/>
                <w:iCs/>
                <w:color w:val="auto"/>
                <w:kern w:val="0"/>
                <w:lang w:val="en-GB"/>
                <w14:ligatures w14:val="none"/>
              </w:rPr>
              <w:t>VARIANCE</w:t>
            </w:r>
          </w:p>
        </w:tc>
        <w:tc>
          <w:tcPr>
            <w:tcW w:w="1095" w:type="dxa"/>
            <w:noWrap/>
            <w:hideMark/>
          </w:tcPr>
          <w:p w14:paraId="3348E4F0" w14:textId="77777777" w:rsidR="00EF61D2" w:rsidRPr="00EF61D2" w:rsidRDefault="00EF61D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i/>
                <w:iCs/>
                <w:color w:val="auto"/>
                <w:kern w:val="0"/>
                <w14:ligatures w14:val="none"/>
              </w:rPr>
            </w:pPr>
            <w:r w:rsidRPr="00EF61D2">
              <w:rPr>
                <w:rFonts w:ascii="Baskerville Old Face" w:hAnsi="Baskerville Old Face" w:cs="Times New Roman"/>
                <w:i/>
                <w:iCs/>
                <w:color w:val="auto"/>
                <w:kern w:val="0"/>
                <w:lang w:val="en-GB"/>
                <w14:ligatures w14:val="none"/>
              </w:rPr>
              <w:t xml:space="preserve">% VAR </w:t>
            </w:r>
          </w:p>
        </w:tc>
      </w:tr>
      <w:tr w:rsidR="00EF61D2" w:rsidRPr="00EF61D2" w14:paraId="60B55989"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66FAE1C7"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1B - TOBACCO</w:t>
            </w:r>
          </w:p>
        </w:tc>
        <w:tc>
          <w:tcPr>
            <w:tcW w:w="1565" w:type="dxa"/>
            <w:noWrap/>
            <w:hideMark/>
          </w:tcPr>
          <w:p w14:paraId="41B48F1F"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250,108,117</w:t>
            </w:r>
          </w:p>
        </w:tc>
        <w:tc>
          <w:tcPr>
            <w:tcW w:w="1710" w:type="dxa"/>
            <w:noWrap/>
            <w:hideMark/>
          </w:tcPr>
          <w:p w14:paraId="46E36D75"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290,493,047</w:t>
            </w:r>
          </w:p>
        </w:tc>
        <w:tc>
          <w:tcPr>
            <w:tcW w:w="1457" w:type="dxa"/>
            <w:noWrap/>
            <w:hideMark/>
          </w:tcPr>
          <w:p w14:paraId="1DEAE923"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-40,384,930</w:t>
            </w:r>
          </w:p>
        </w:tc>
        <w:tc>
          <w:tcPr>
            <w:tcW w:w="1095" w:type="dxa"/>
            <w:noWrap/>
            <w:hideMark/>
          </w:tcPr>
          <w:p w14:paraId="57FEB011" w14:textId="5DBEECE6"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-13.9%</w:t>
            </w:r>
          </w:p>
        </w:tc>
      </w:tr>
      <w:tr w:rsidR="00EF61D2" w:rsidRPr="00EF61D2" w14:paraId="6C4EF5E5" w14:textId="77777777" w:rsidTr="0071721B">
        <w:trPr>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2838C30C"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0 - FOOD AND LIVE ANIMALS</w:t>
            </w:r>
          </w:p>
        </w:tc>
        <w:tc>
          <w:tcPr>
            <w:tcW w:w="1565" w:type="dxa"/>
            <w:noWrap/>
            <w:hideMark/>
          </w:tcPr>
          <w:p w14:paraId="249F7AE1"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5,706,844,011</w:t>
            </w:r>
          </w:p>
        </w:tc>
        <w:tc>
          <w:tcPr>
            <w:tcW w:w="1710" w:type="dxa"/>
            <w:noWrap/>
            <w:hideMark/>
          </w:tcPr>
          <w:p w14:paraId="1539C336"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5,161,943,978</w:t>
            </w:r>
          </w:p>
        </w:tc>
        <w:tc>
          <w:tcPr>
            <w:tcW w:w="1457" w:type="dxa"/>
            <w:noWrap/>
            <w:hideMark/>
          </w:tcPr>
          <w:p w14:paraId="6402AE4E"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544,900,033</w:t>
            </w:r>
          </w:p>
        </w:tc>
        <w:tc>
          <w:tcPr>
            <w:tcW w:w="1095" w:type="dxa"/>
            <w:noWrap/>
            <w:hideMark/>
          </w:tcPr>
          <w:p w14:paraId="55E5CF4F" w14:textId="25F9BBE8"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10.6%</w:t>
            </w:r>
          </w:p>
        </w:tc>
      </w:tr>
      <w:tr w:rsidR="00EF61D2" w:rsidRPr="00EF61D2" w14:paraId="58961DEF"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2C3C371F"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7 - MACHINERY AND TRANSPORT EQUIPMENT</w:t>
            </w:r>
          </w:p>
        </w:tc>
        <w:tc>
          <w:tcPr>
            <w:tcW w:w="1565" w:type="dxa"/>
            <w:noWrap/>
            <w:hideMark/>
          </w:tcPr>
          <w:p w14:paraId="1D1B6D84"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4,949,032,650</w:t>
            </w:r>
          </w:p>
        </w:tc>
        <w:tc>
          <w:tcPr>
            <w:tcW w:w="1710" w:type="dxa"/>
            <w:noWrap/>
            <w:hideMark/>
          </w:tcPr>
          <w:p w14:paraId="40451ED8"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5,514,299,723</w:t>
            </w:r>
          </w:p>
        </w:tc>
        <w:tc>
          <w:tcPr>
            <w:tcW w:w="1457" w:type="dxa"/>
            <w:noWrap/>
            <w:hideMark/>
          </w:tcPr>
          <w:p w14:paraId="36BD1FA8"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-565,267,073</w:t>
            </w:r>
          </w:p>
        </w:tc>
        <w:tc>
          <w:tcPr>
            <w:tcW w:w="1095" w:type="dxa"/>
            <w:noWrap/>
            <w:hideMark/>
          </w:tcPr>
          <w:p w14:paraId="10744C0C" w14:textId="3F00BD73"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-10.3%</w:t>
            </w:r>
          </w:p>
        </w:tc>
      </w:tr>
      <w:tr w:rsidR="00EF61D2" w:rsidRPr="00EF61D2" w14:paraId="3D8CA478" w14:textId="77777777" w:rsidTr="0071721B">
        <w:trPr>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12072ECC"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8 - MISCELLANEOUS MANUFACTURED ARTICLES</w:t>
            </w:r>
          </w:p>
        </w:tc>
        <w:tc>
          <w:tcPr>
            <w:tcW w:w="1565" w:type="dxa"/>
            <w:noWrap/>
            <w:hideMark/>
          </w:tcPr>
          <w:p w14:paraId="389AFAD6"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1,685,302,116</w:t>
            </w:r>
          </w:p>
        </w:tc>
        <w:tc>
          <w:tcPr>
            <w:tcW w:w="1710" w:type="dxa"/>
            <w:noWrap/>
            <w:hideMark/>
          </w:tcPr>
          <w:p w14:paraId="2C95BC75"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1,728,910,357</w:t>
            </w:r>
          </w:p>
        </w:tc>
        <w:tc>
          <w:tcPr>
            <w:tcW w:w="1457" w:type="dxa"/>
            <w:noWrap/>
            <w:hideMark/>
          </w:tcPr>
          <w:p w14:paraId="076BB0BF"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-43,608,241</w:t>
            </w:r>
          </w:p>
        </w:tc>
        <w:tc>
          <w:tcPr>
            <w:tcW w:w="1095" w:type="dxa"/>
            <w:noWrap/>
            <w:hideMark/>
          </w:tcPr>
          <w:p w14:paraId="49683380" w14:textId="70259DE6"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-2.5%</w:t>
            </w:r>
          </w:p>
        </w:tc>
      </w:tr>
      <w:tr w:rsidR="00EF61D2" w:rsidRPr="00EF61D2" w14:paraId="4412634C"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578E69CE"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1A - BEVERAGES</w:t>
            </w:r>
          </w:p>
        </w:tc>
        <w:tc>
          <w:tcPr>
            <w:tcW w:w="1565" w:type="dxa"/>
            <w:noWrap/>
            <w:hideMark/>
          </w:tcPr>
          <w:p w14:paraId="0D7DF85A"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116,433,480</w:t>
            </w:r>
          </w:p>
        </w:tc>
        <w:tc>
          <w:tcPr>
            <w:tcW w:w="1710" w:type="dxa"/>
            <w:noWrap/>
            <w:hideMark/>
          </w:tcPr>
          <w:p w14:paraId="34AD597B"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77,404,390</w:t>
            </w:r>
          </w:p>
        </w:tc>
        <w:tc>
          <w:tcPr>
            <w:tcW w:w="1457" w:type="dxa"/>
            <w:noWrap/>
            <w:hideMark/>
          </w:tcPr>
          <w:p w14:paraId="794E93C7"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39,029,090</w:t>
            </w:r>
          </w:p>
        </w:tc>
        <w:tc>
          <w:tcPr>
            <w:tcW w:w="1095" w:type="dxa"/>
            <w:noWrap/>
            <w:hideMark/>
          </w:tcPr>
          <w:p w14:paraId="5688402A" w14:textId="7A4A3DD4"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50.4%</w:t>
            </w:r>
          </w:p>
        </w:tc>
      </w:tr>
      <w:tr w:rsidR="00EF61D2" w:rsidRPr="00EF61D2" w14:paraId="2BCE33FC" w14:textId="77777777" w:rsidTr="0071721B">
        <w:trPr>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107844DC"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OTHER ITEMS</w:t>
            </w:r>
          </w:p>
        </w:tc>
        <w:tc>
          <w:tcPr>
            <w:tcW w:w="1565" w:type="dxa"/>
            <w:noWrap/>
            <w:hideMark/>
          </w:tcPr>
          <w:p w14:paraId="70F67520"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399,428,180</w:t>
            </w:r>
          </w:p>
        </w:tc>
        <w:tc>
          <w:tcPr>
            <w:tcW w:w="1710" w:type="dxa"/>
            <w:noWrap/>
            <w:hideMark/>
          </w:tcPr>
          <w:p w14:paraId="39F83839"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127,175,257</w:t>
            </w:r>
          </w:p>
        </w:tc>
        <w:tc>
          <w:tcPr>
            <w:tcW w:w="1457" w:type="dxa"/>
            <w:noWrap/>
            <w:hideMark/>
          </w:tcPr>
          <w:p w14:paraId="0291B642"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272,252,923</w:t>
            </w:r>
          </w:p>
        </w:tc>
        <w:tc>
          <w:tcPr>
            <w:tcW w:w="1095" w:type="dxa"/>
            <w:noWrap/>
            <w:hideMark/>
          </w:tcPr>
          <w:p w14:paraId="2B09A365" w14:textId="72B39113"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214.1%</w:t>
            </w:r>
          </w:p>
        </w:tc>
      </w:tr>
      <w:tr w:rsidR="00EF61D2" w:rsidRPr="00EF61D2" w14:paraId="579B4DCE"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20AD104F"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4 - ANIMAL AND VEGETABLE OILS, FATS AND WAXES</w:t>
            </w:r>
          </w:p>
        </w:tc>
        <w:tc>
          <w:tcPr>
            <w:tcW w:w="1565" w:type="dxa"/>
            <w:noWrap/>
            <w:hideMark/>
          </w:tcPr>
          <w:p w14:paraId="2A575E4C"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5,453,463</w:t>
            </w:r>
          </w:p>
        </w:tc>
        <w:tc>
          <w:tcPr>
            <w:tcW w:w="1710" w:type="dxa"/>
            <w:noWrap/>
            <w:hideMark/>
          </w:tcPr>
          <w:p w14:paraId="74C95AE7"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5,175,458</w:t>
            </w:r>
          </w:p>
        </w:tc>
        <w:tc>
          <w:tcPr>
            <w:tcW w:w="1457" w:type="dxa"/>
            <w:noWrap/>
            <w:hideMark/>
          </w:tcPr>
          <w:p w14:paraId="6BB15331"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278,005</w:t>
            </w:r>
          </w:p>
        </w:tc>
        <w:tc>
          <w:tcPr>
            <w:tcW w:w="1095" w:type="dxa"/>
            <w:noWrap/>
            <w:hideMark/>
          </w:tcPr>
          <w:p w14:paraId="0CD161A2" w14:textId="19747299"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5.4%</w:t>
            </w:r>
          </w:p>
        </w:tc>
      </w:tr>
      <w:tr w:rsidR="00EF61D2" w:rsidRPr="00EF61D2" w14:paraId="45312DFD" w14:textId="77777777" w:rsidTr="0071721B">
        <w:trPr>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7C04BC63"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2 - CRUDE MATERIALS, INEDIBLE, EXCEPT FUELS</w:t>
            </w:r>
          </w:p>
        </w:tc>
        <w:tc>
          <w:tcPr>
            <w:tcW w:w="1565" w:type="dxa"/>
            <w:noWrap/>
            <w:hideMark/>
          </w:tcPr>
          <w:p w14:paraId="5CBC1906"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240,189,896</w:t>
            </w:r>
          </w:p>
        </w:tc>
        <w:tc>
          <w:tcPr>
            <w:tcW w:w="1710" w:type="dxa"/>
            <w:noWrap/>
            <w:hideMark/>
          </w:tcPr>
          <w:p w14:paraId="3718ED26"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246,356,143</w:t>
            </w:r>
          </w:p>
        </w:tc>
        <w:tc>
          <w:tcPr>
            <w:tcW w:w="1457" w:type="dxa"/>
            <w:noWrap/>
            <w:hideMark/>
          </w:tcPr>
          <w:p w14:paraId="524E88D8"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-6,166,247</w:t>
            </w:r>
          </w:p>
        </w:tc>
        <w:tc>
          <w:tcPr>
            <w:tcW w:w="1095" w:type="dxa"/>
            <w:noWrap/>
            <w:hideMark/>
          </w:tcPr>
          <w:p w14:paraId="29E4AF98" w14:textId="42E896D9"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-2.5%</w:t>
            </w:r>
          </w:p>
        </w:tc>
      </w:tr>
      <w:tr w:rsidR="00EF61D2" w:rsidRPr="00EF61D2" w14:paraId="76278132"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0ABE1F9A"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6 - MANUFACTURED GOODS CLASSIFIED CHIEFLY BY MATERIAL</w:t>
            </w:r>
          </w:p>
        </w:tc>
        <w:tc>
          <w:tcPr>
            <w:tcW w:w="1565" w:type="dxa"/>
            <w:noWrap/>
            <w:hideMark/>
          </w:tcPr>
          <w:p w14:paraId="3ACEFE82"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3,076,318,591</w:t>
            </w:r>
          </w:p>
        </w:tc>
        <w:tc>
          <w:tcPr>
            <w:tcW w:w="1710" w:type="dxa"/>
            <w:noWrap/>
            <w:hideMark/>
          </w:tcPr>
          <w:p w14:paraId="32069778"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3,327,259,404</w:t>
            </w:r>
          </w:p>
        </w:tc>
        <w:tc>
          <w:tcPr>
            <w:tcW w:w="1457" w:type="dxa"/>
            <w:noWrap/>
            <w:hideMark/>
          </w:tcPr>
          <w:p w14:paraId="41EDB30E"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-250,940,813</w:t>
            </w:r>
          </w:p>
        </w:tc>
        <w:tc>
          <w:tcPr>
            <w:tcW w:w="1095" w:type="dxa"/>
            <w:noWrap/>
            <w:hideMark/>
          </w:tcPr>
          <w:p w14:paraId="56FAFF78" w14:textId="5D7EE059"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-7.5%</w:t>
            </w:r>
          </w:p>
        </w:tc>
      </w:tr>
      <w:tr w:rsidR="00EF61D2" w:rsidRPr="00EF61D2" w14:paraId="14528466" w14:textId="77777777" w:rsidTr="0071721B">
        <w:trPr>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64945CDD"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5 - CHEMICALS AND RELATED PRODUCTS, N.E.S.</w:t>
            </w:r>
          </w:p>
        </w:tc>
        <w:tc>
          <w:tcPr>
            <w:tcW w:w="1565" w:type="dxa"/>
            <w:noWrap/>
            <w:hideMark/>
          </w:tcPr>
          <w:p w14:paraId="2ABB744F"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1,325,308,648</w:t>
            </w:r>
          </w:p>
        </w:tc>
        <w:tc>
          <w:tcPr>
            <w:tcW w:w="1710" w:type="dxa"/>
            <w:noWrap/>
            <w:hideMark/>
          </w:tcPr>
          <w:p w14:paraId="7469D55C"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1,487,933,800</w:t>
            </w:r>
          </w:p>
        </w:tc>
        <w:tc>
          <w:tcPr>
            <w:tcW w:w="1457" w:type="dxa"/>
            <w:noWrap/>
            <w:hideMark/>
          </w:tcPr>
          <w:p w14:paraId="1B2B2262"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-162,625,152</w:t>
            </w:r>
          </w:p>
        </w:tc>
        <w:tc>
          <w:tcPr>
            <w:tcW w:w="1095" w:type="dxa"/>
            <w:noWrap/>
            <w:hideMark/>
          </w:tcPr>
          <w:p w14:paraId="60D2DC19" w14:textId="0D0A9EC3"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-10.9%</w:t>
            </w:r>
          </w:p>
        </w:tc>
      </w:tr>
      <w:tr w:rsidR="00EF61D2" w:rsidRPr="00EF61D2" w14:paraId="6332EC1A" w14:textId="77777777" w:rsidTr="0071721B">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585" w:type="dxa"/>
            <w:noWrap/>
            <w:hideMark/>
          </w:tcPr>
          <w:p w14:paraId="3CAE0450" w14:textId="77777777" w:rsidR="00EF61D2" w:rsidRPr="00EF61D2" w:rsidRDefault="00EF61D2" w:rsidP="00EF61D2">
            <w:pPr>
              <w:rPr>
                <w:rFonts w:ascii="Baskerville Old Face" w:hAnsi="Baskerville Old Face" w:cs="Times New Roman"/>
                <w:b w:val="0"/>
                <w:bCs w:val="0"/>
                <w:kern w:val="0"/>
                <w14:ligatures w14:val="none"/>
              </w:rPr>
            </w:pPr>
            <w:r w:rsidRPr="00EF61D2">
              <w:rPr>
                <w:rFonts w:ascii="Baskerville Old Face" w:hAnsi="Baskerville Old Face" w:cs="Times New Roman"/>
                <w:b w:val="0"/>
                <w:bCs w:val="0"/>
                <w:kern w:val="0"/>
                <w:lang w:val="en-GB"/>
                <w14:ligatures w14:val="none"/>
              </w:rPr>
              <w:t>SECTION 3 - MINERAL FUELS, LUBRICANTS AND RELATED MATERIALS</w:t>
            </w:r>
          </w:p>
        </w:tc>
        <w:tc>
          <w:tcPr>
            <w:tcW w:w="1565" w:type="dxa"/>
            <w:noWrap/>
            <w:hideMark/>
          </w:tcPr>
          <w:p w14:paraId="7AE840EF"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18,350,379,483</w:t>
            </w:r>
          </w:p>
        </w:tc>
        <w:tc>
          <w:tcPr>
            <w:tcW w:w="1710" w:type="dxa"/>
            <w:noWrap/>
            <w:hideMark/>
          </w:tcPr>
          <w:p w14:paraId="3B1002CA"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9,160,572,726</w:t>
            </w:r>
          </w:p>
        </w:tc>
        <w:tc>
          <w:tcPr>
            <w:tcW w:w="1457" w:type="dxa"/>
            <w:noWrap/>
            <w:hideMark/>
          </w:tcPr>
          <w:p w14:paraId="7047E3DC" w14:textId="77777777"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cs="Times New Roman"/>
                <w:kern w:val="0"/>
                <w14:ligatures w14:val="none"/>
              </w:rPr>
              <w:t>9,189,806,757</w:t>
            </w:r>
          </w:p>
        </w:tc>
        <w:tc>
          <w:tcPr>
            <w:tcW w:w="1095" w:type="dxa"/>
            <w:noWrap/>
            <w:hideMark/>
          </w:tcPr>
          <w:p w14:paraId="10FD5F05" w14:textId="264C96A3" w:rsidR="00EF61D2" w:rsidRPr="00EF61D2" w:rsidRDefault="00EF61D2" w:rsidP="00EF61D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EF61D2">
              <w:rPr>
                <w:rFonts w:ascii="Baskerville Old Face" w:hAnsi="Baskerville Old Face"/>
              </w:rPr>
              <w:t>100.3%</w:t>
            </w:r>
          </w:p>
        </w:tc>
      </w:tr>
      <w:tr w:rsidR="00EF61D2" w:rsidRPr="00EF61D2" w14:paraId="19DAF091" w14:textId="77777777" w:rsidTr="0071721B">
        <w:trPr>
          <w:trHeight w:val="276"/>
        </w:trPr>
        <w:tc>
          <w:tcPr>
            <w:cnfStyle w:val="001000000000" w:firstRow="0" w:lastRow="0" w:firstColumn="1" w:lastColumn="0" w:oddVBand="0" w:evenVBand="0" w:oddHBand="0" w:evenHBand="0" w:firstRowFirstColumn="0" w:firstRowLastColumn="0" w:lastRowFirstColumn="0" w:lastRowLastColumn="0"/>
            <w:tcW w:w="4585" w:type="dxa"/>
            <w:noWrap/>
            <w:hideMark/>
          </w:tcPr>
          <w:p w14:paraId="33987E82" w14:textId="77777777" w:rsidR="00EF61D2" w:rsidRPr="00EF61D2" w:rsidRDefault="00EF61D2">
            <w:pPr>
              <w:rPr>
                <w:rFonts w:ascii="Baskerville Old Face" w:hAnsi="Baskerville Old Face" w:cs="Times New Roman"/>
                <w:kern w:val="0"/>
                <w14:ligatures w14:val="none"/>
              </w:rPr>
            </w:pPr>
            <w:r w:rsidRPr="00EF61D2">
              <w:rPr>
                <w:rFonts w:ascii="Baskerville Old Face" w:hAnsi="Baskerville Old Face" w:cs="Times New Roman"/>
                <w:kern w:val="0"/>
                <w:lang w:val="en-GB"/>
                <w14:ligatures w14:val="none"/>
              </w:rPr>
              <w:t>TOTAL</w:t>
            </w:r>
          </w:p>
        </w:tc>
        <w:tc>
          <w:tcPr>
            <w:tcW w:w="1565" w:type="dxa"/>
            <w:noWrap/>
            <w:hideMark/>
          </w:tcPr>
          <w:p w14:paraId="7C3A0BA1"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EF61D2">
              <w:rPr>
                <w:rFonts w:ascii="Baskerville Old Face" w:hAnsi="Baskerville Old Face" w:cs="Times New Roman"/>
                <w:b/>
                <w:bCs/>
                <w:kern w:val="0"/>
                <w14:ligatures w14:val="none"/>
              </w:rPr>
              <w:t>36,104,798,635</w:t>
            </w:r>
          </w:p>
        </w:tc>
        <w:tc>
          <w:tcPr>
            <w:tcW w:w="1710" w:type="dxa"/>
            <w:noWrap/>
            <w:hideMark/>
          </w:tcPr>
          <w:p w14:paraId="59DD077D"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EF61D2">
              <w:rPr>
                <w:rFonts w:ascii="Baskerville Old Face" w:hAnsi="Baskerville Old Face" w:cs="Times New Roman"/>
                <w:b/>
                <w:bCs/>
                <w:kern w:val="0"/>
                <w14:ligatures w14:val="none"/>
              </w:rPr>
              <w:t>27,127,524,283</w:t>
            </w:r>
          </w:p>
        </w:tc>
        <w:tc>
          <w:tcPr>
            <w:tcW w:w="1457" w:type="dxa"/>
            <w:noWrap/>
            <w:hideMark/>
          </w:tcPr>
          <w:p w14:paraId="0F7524C0"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EF61D2">
              <w:rPr>
                <w:rFonts w:ascii="Baskerville Old Face" w:hAnsi="Baskerville Old Face" w:cs="Times New Roman"/>
                <w:b/>
                <w:bCs/>
                <w:kern w:val="0"/>
                <w:lang w:val="en-GB"/>
                <w14:ligatures w14:val="none"/>
              </w:rPr>
              <w:t>8,977,274,352</w:t>
            </w:r>
          </w:p>
        </w:tc>
        <w:tc>
          <w:tcPr>
            <w:tcW w:w="1095" w:type="dxa"/>
            <w:noWrap/>
            <w:hideMark/>
          </w:tcPr>
          <w:p w14:paraId="1C0F812A" w14:textId="77777777" w:rsidR="00EF61D2" w:rsidRPr="00EF61D2" w:rsidRDefault="00EF61D2" w:rsidP="00EF61D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EF61D2">
              <w:rPr>
                <w:rFonts w:ascii="Baskerville Old Face" w:hAnsi="Baskerville Old Face" w:cs="Times New Roman"/>
                <w:b/>
                <w:bCs/>
                <w:kern w:val="0"/>
                <w:lang w:val="en-GB"/>
                <w14:ligatures w14:val="none"/>
              </w:rPr>
              <w:t>33.09%</w:t>
            </w:r>
          </w:p>
        </w:tc>
      </w:tr>
    </w:tbl>
    <w:p w14:paraId="21841F85" w14:textId="77777777" w:rsidR="00413330" w:rsidRPr="00F46DF3" w:rsidRDefault="00413330" w:rsidP="00413330">
      <w:pPr>
        <w:spacing w:line="360" w:lineRule="auto"/>
        <w:jc w:val="both"/>
        <w:rPr>
          <w:rFonts w:ascii="Baskerville Old Face" w:hAnsi="Baskerville Old Face" w:cs="Times New Roman"/>
          <w:i/>
          <w:iCs/>
          <w:kern w:val="0"/>
          <w:sz w:val="18"/>
          <w:szCs w:val="18"/>
          <w:lang w:val="en-GB"/>
          <w14:ligatures w14:val="none"/>
        </w:rPr>
      </w:pPr>
      <w:r w:rsidRPr="00F46DF3">
        <w:rPr>
          <w:rFonts w:ascii="Baskerville Old Face" w:hAnsi="Baskerville Old Face" w:cs="Times New Roman"/>
          <w:i/>
          <w:iCs/>
          <w:kern w:val="0"/>
          <w:sz w:val="18"/>
          <w:szCs w:val="18"/>
          <w:lang w:val="en-GB"/>
          <w14:ligatures w14:val="none"/>
        </w:rPr>
        <w:t>Source: ASYCUDA World</w:t>
      </w:r>
    </w:p>
    <w:p w14:paraId="7C7B8915" w14:textId="16A68B88" w:rsidR="008D1FB6" w:rsidRDefault="001C035F" w:rsidP="008D1FB6">
      <w:pPr>
        <w:spacing w:line="276" w:lineRule="auto"/>
        <w:jc w:val="both"/>
        <w:rPr>
          <w:rFonts w:ascii="Baskerville Old Face" w:hAnsi="Baskerville Old Face"/>
          <w:sz w:val="24"/>
          <w:szCs w:val="24"/>
        </w:rPr>
      </w:pPr>
      <w:r w:rsidRPr="00270A42">
        <w:rPr>
          <w:rFonts w:ascii="Baskerville Old Face" w:hAnsi="Baskerville Old Face" w:cs="Times New Roman"/>
          <w:kern w:val="0"/>
          <w:sz w:val="24"/>
          <w:szCs w:val="24"/>
          <w:lang w:val="en-GB"/>
          <w14:ligatures w14:val="none"/>
        </w:rPr>
        <w:t>Analysis of</w:t>
      </w:r>
      <w:r w:rsidR="004C2B9F" w:rsidRPr="00270A42">
        <w:rPr>
          <w:rFonts w:ascii="Baskerville Old Face" w:hAnsi="Baskerville Old Face" w:cs="Times New Roman"/>
          <w:kern w:val="0"/>
          <w:sz w:val="24"/>
          <w:szCs w:val="24"/>
          <w:lang w:val="en-GB"/>
          <w14:ligatures w14:val="none"/>
        </w:rPr>
        <w:t xml:space="preserve"> </w:t>
      </w:r>
      <w:r w:rsidR="004C2B9F" w:rsidRPr="0039146F">
        <w:rPr>
          <w:rFonts w:ascii="Baskerville Old Face" w:hAnsi="Baskerville Old Face" w:cs="Times New Roman"/>
          <w:kern w:val="0"/>
          <w:sz w:val="24"/>
          <w:szCs w:val="24"/>
          <w:lang w:val="en-GB"/>
          <w14:ligatures w14:val="none"/>
        </w:rPr>
        <w:t xml:space="preserve">Table </w:t>
      </w:r>
      <w:r w:rsidR="00CE5583" w:rsidRPr="0039146F">
        <w:rPr>
          <w:rFonts w:ascii="Baskerville Old Face" w:hAnsi="Baskerville Old Face" w:cs="Times New Roman"/>
          <w:kern w:val="0"/>
          <w:sz w:val="24"/>
          <w:szCs w:val="24"/>
          <w:lang w:val="en-GB"/>
          <w14:ligatures w14:val="none"/>
        </w:rPr>
        <w:t>2</w:t>
      </w:r>
      <w:r w:rsidR="0039146F" w:rsidRPr="0039146F">
        <w:rPr>
          <w:rFonts w:ascii="Baskerville Old Face" w:hAnsi="Baskerville Old Face" w:cs="Times New Roman"/>
          <w:kern w:val="0"/>
          <w:sz w:val="24"/>
          <w:szCs w:val="24"/>
          <w:lang w:val="en-GB"/>
          <w14:ligatures w14:val="none"/>
        </w:rPr>
        <w:t>2</w:t>
      </w:r>
      <w:r w:rsidRPr="00270A42">
        <w:rPr>
          <w:rFonts w:ascii="Baskerville Old Face" w:hAnsi="Baskerville Old Face" w:cs="Times New Roman"/>
          <w:kern w:val="0"/>
          <w:sz w:val="24"/>
          <w:szCs w:val="24"/>
          <w:lang w:val="en-GB"/>
          <w14:ligatures w14:val="none"/>
        </w:rPr>
        <w:t xml:space="preserve"> reveals</w:t>
      </w:r>
      <w:r w:rsidR="008D1FB6" w:rsidRPr="00270A42">
        <w:rPr>
          <w:rFonts w:ascii="Baskerville Old Face" w:hAnsi="Baskerville Old Face" w:cs="Times New Roman"/>
          <w:kern w:val="0"/>
          <w:sz w:val="24"/>
          <w:szCs w:val="24"/>
          <w:lang w:val="en-GB"/>
          <w14:ligatures w14:val="none"/>
        </w:rPr>
        <w:t xml:space="preserve"> that,</w:t>
      </w:r>
      <w:r w:rsidR="004C2B9F" w:rsidRPr="00270A42">
        <w:rPr>
          <w:rFonts w:ascii="Baskerville Old Face" w:hAnsi="Baskerville Old Face" w:cs="Times New Roman"/>
          <w:kern w:val="0"/>
          <w:sz w:val="24"/>
          <w:szCs w:val="24"/>
          <w:lang w:val="en-GB"/>
          <w14:ligatures w14:val="none"/>
        </w:rPr>
        <w:t xml:space="preserve"> </w:t>
      </w:r>
      <w:r w:rsidR="008D1FB6" w:rsidRPr="00270A42">
        <w:rPr>
          <w:rFonts w:ascii="Baskerville Old Face" w:hAnsi="Baskerville Old Face" w:cs="Times New Roman"/>
          <w:kern w:val="0"/>
          <w:sz w:val="24"/>
          <w:szCs w:val="24"/>
          <w:lang w:val="en-GB"/>
          <w14:ligatures w14:val="none"/>
        </w:rPr>
        <w:t>d</w:t>
      </w:r>
      <w:proofErr w:type="spellStart"/>
      <w:r w:rsidR="008D1FB6" w:rsidRPr="00270A42">
        <w:rPr>
          <w:rFonts w:ascii="Baskerville Old Face" w:hAnsi="Baskerville Old Face"/>
          <w:sz w:val="24"/>
          <w:szCs w:val="24"/>
        </w:rPr>
        <w:t>espite</w:t>
      </w:r>
      <w:proofErr w:type="spellEnd"/>
      <w:r w:rsidR="008D1FB6" w:rsidRPr="00270A42">
        <w:rPr>
          <w:rFonts w:ascii="Baskerville Old Face" w:hAnsi="Baskerville Old Face"/>
          <w:sz w:val="24"/>
          <w:szCs w:val="24"/>
        </w:rPr>
        <w:t xml:space="preserve"> the overall drop</w:t>
      </w:r>
      <w:r w:rsidR="00FF61B7">
        <w:rPr>
          <w:rFonts w:ascii="Baskerville Old Face" w:hAnsi="Baskerville Old Face"/>
          <w:sz w:val="24"/>
          <w:szCs w:val="24"/>
        </w:rPr>
        <w:t xml:space="preserve"> in non-dutiable imports</w:t>
      </w:r>
      <w:r w:rsidR="008D1FB6" w:rsidRPr="00270A42">
        <w:rPr>
          <w:rFonts w:ascii="Baskerville Old Face" w:hAnsi="Baskerville Old Face"/>
          <w:sz w:val="24"/>
          <w:szCs w:val="24"/>
        </w:rPr>
        <w:t xml:space="preserve">, the main contributors in 2024 were </w:t>
      </w:r>
      <w:r w:rsidR="008D1FB6" w:rsidRPr="00B12A61">
        <w:rPr>
          <w:rStyle w:val="Strong"/>
          <w:rFonts w:ascii="Baskerville Old Face" w:hAnsi="Baskerville Old Face"/>
          <w:b w:val="0"/>
          <w:bCs w:val="0"/>
          <w:sz w:val="24"/>
          <w:szCs w:val="24"/>
        </w:rPr>
        <w:t>Machinery and Transport Equipment</w:t>
      </w:r>
      <w:r w:rsidR="008D1FB6" w:rsidRPr="00B12A61">
        <w:rPr>
          <w:rFonts w:ascii="Baskerville Old Face" w:hAnsi="Baskerville Old Face"/>
          <w:sz w:val="24"/>
          <w:szCs w:val="24"/>
        </w:rPr>
        <w:t xml:space="preserve"> (</w:t>
      </w:r>
      <w:proofErr w:type="spellStart"/>
      <w:r w:rsidR="008D1FB6" w:rsidRPr="00B12A61">
        <w:rPr>
          <w:rFonts w:ascii="Baskerville Old Face" w:hAnsi="Baskerville Old Face"/>
          <w:sz w:val="24"/>
          <w:szCs w:val="24"/>
        </w:rPr>
        <w:t>NLe</w:t>
      </w:r>
      <w:proofErr w:type="spellEnd"/>
      <w:r w:rsidR="008D1FB6" w:rsidRPr="00B12A61">
        <w:rPr>
          <w:rFonts w:ascii="Baskerville Old Face" w:hAnsi="Baskerville Old Face"/>
          <w:sz w:val="24"/>
          <w:szCs w:val="24"/>
        </w:rPr>
        <w:t xml:space="preserve"> 2.05</w:t>
      </w:r>
      <w:r w:rsidR="00FF61B7" w:rsidRPr="00B12A61">
        <w:rPr>
          <w:rFonts w:ascii="Baskerville Old Face" w:hAnsi="Baskerville Old Face"/>
          <w:sz w:val="24"/>
          <w:szCs w:val="24"/>
        </w:rPr>
        <w:t>0</w:t>
      </w:r>
      <w:r w:rsidR="008D1FB6" w:rsidRPr="00B12A61">
        <w:rPr>
          <w:rFonts w:ascii="Baskerville Old Face" w:hAnsi="Baskerville Old Face"/>
          <w:sz w:val="24"/>
          <w:szCs w:val="24"/>
        </w:rPr>
        <w:t xml:space="preserve"> billion), </w:t>
      </w:r>
      <w:r w:rsidR="008D1FB6" w:rsidRPr="00B12A61">
        <w:rPr>
          <w:rStyle w:val="Strong"/>
          <w:rFonts w:ascii="Baskerville Old Face" w:hAnsi="Baskerville Old Face"/>
          <w:b w:val="0"/>
          <w:bCs w:val="0"/>
          <w:sz w:val="24"/>
          <w:szCs w:val="24"/>
        </w:rPr>
        <w:t>Chemicals and Related Products</w:t>
      </w:r>
      <w:r w:rsidR="008D1FB6" w:rsidRPr="00B12A61">
        <w:rPr>
          <w:rFonts w:ascii="Baskerville Old Face" w:hAnsi="Baskerville Old Face"/>
          <w:sz w:val="24"/>
          <w:szCs w:val="24"/>
        </w:rPr>
        <w:t xml:space="preserve"> (</w:t>
      </w:r>
      <w:proofErr w:type="spellStart"/>
      <w:r w:rsidR="008D1FB6" w:rsidRPr="00B12A61">
        <w:rPr>
          <w:rFonts w:ascii="Baskerville Old Face" w:hAnsi="Baskerville Old Face"/>
          <w:sz w:val="24"/>
          <w:szCs w:val="24"/>
        </w:rPr>
        <w:t>NLe</w:t>
      </w:r>
      <w:proofErr w:type="spellEnd"/>
      <w:r w:rsidR="008D1FB6" w:rsidRPr="00B12A61">
        <w:rPr>
          <w:rFonts w:ascii="Baskerville Old Face" w:hAnsi="Baskerville Old Face"/>
          <w:sz w:val="24"/>
          <w:szCs w:val="24"/>
        </w:rPr>
        <w:t xml:space="preserve"> 1.30</w:t>
      </w:r>
      <w:r w:rsidR="00FF61B7" w:rsidRPr="00B12A61">
        <w:rPr>
          <w:rFonts w:ascii="Baskerville Old Face" w:hAnsi="Baskerville Old Face"/>
          <w:sz w:val="24"/>
          <w:szCs w:val="24"/>
        </w:rPr>
        <w:t>3</w:t>
      </w:r>
      <w:r w:rsidR="008D1FB6" w:rsidRPr="00B12A61">
        <w:rPr>
          <w:rFonts w:ascii="Baskerville Old Face" w:hAnsi="Baskerville Old Face"/>
          <w:sz w:val="24"/>
          <w:szCs w:val="24"/>
        </w:rPr>
        <w:t xml:space="preserve"> billion), </w:t>
      </w:r>
      <w:r w:rsidR="008D1FB6" w:rsidRPr="00B12A61">
        <w:rPr>
          <w:rStyle w:val="Strong"/>
          <w:rFonts w:ascii="Baskerville Old Face" w:hAnsi="Baskerville Old Face"/>
          <w:b w:val="0"/>
          <w:bCs w:val="0"/>
          <w:sz w:val="24"/>
          <w:szCs w:val="24"/>
        </w:rPr>
        <w:t>Miscellaneous Manufactured Articles</w:t>
      </w:r>
      <w:r w:rsidR="008D1FB6" w:rsidRPr="00B12A61">
        <w:rPr>
          <w:rFonts w:ascii="Baskerville Old Face" w:hAnsi="Baskerville Old Face"/>
          <w:sz w:val="24"/>
          <w:szCs w:val="24"/>
        </w:rPr>
        <w:t xml:space="preserve"> (</w:t>
      </w:r>
      <w:proofErr w:type="spellStart"/>
      <w:r w:rsidR="008D1FB6" w:rsidRPr="00B12A61">
        <w:rPr>
          <w:rFonts w:ascii="Baskerville Old Face" w:hAnsi="Baskerville Old Face"/>
          <w:sz w:val="24"/>
          <w:szCs w:val="24"/>
        </w:rPr>
        <w:t>NLe</w:t>
      </w:r>
      <w:proofErr w:type="spellEnd"/>
      <w:r w:rsidR="008D1FB6" w:rsidRPr="00B12A61">
        <w:rPr>
          <w:rFonts w:ascii="Baskerville Old Face" w:hAnsi="Baskerville Old Face"/>
          <w:sz w:val="24"/>
          <w:szCs w:val="24"/>
        </w:rPr>
        <w:t xml:space="preserve"> 1.0</w:t>
      </w:r>
      <w:r w:rsidR="00FF61B7" w:rsidRPr="00B12A61">
        <w:rPr>
          <w:rFonts w:ascii="Baskerville Old Face" w:hAnsi="Baskerville Old Face"/>
          <w:sz w:val="24"/>
          <w:szCs w:val="24"/>
        </w:rPr>
        <w:t>16</w:t>
      </w:r>
      <w:r w:rsidR="008D1FB6" w:rsidRPr="00B12A61">
        <w:rPr>
          <w:rFonts w:ascii="Baskerville Old Face" w:hAnsi="Baskerville Old Face"/>
          <w:sz w:val="24"/>
          <w:szCs w:val="24"/>
        </w:rPr>
        <w:t xml:space="preserve"> billion), and </w:t>
      </w:r>
      <w:r w:rsidR="008D1FB6" w:rsidRPr="00B12A61">
        <w:rPr>
          <w:rStyle w:val="Strong"/>
          <w:rFonts w:ascii="Baskerville Old Face" w:hAnsi="Baskerville Old Face"/>
          <w:b w:val="0"/>
          <w:bCs w:val="0"/>
          <w:sz w:val="24"/>
          <w:szCs w:val="24"/>
        </w:rPr>
        <w:t>Mineral Fuels</w:t>
      </w:r>
      <w:r w:rsidR="008D1FB6" w:rsidRPr="00B12A61">
        <w:rPr>
          <w:rFonts w:ascii="Baskerville Old Face" w:hAnsi="Baskerville Old Face"/>
          <w:sz w:val="24"/>
          <w:szCs w:val="24"/>
        </w:rPr>
        <w:t xml:space="preserve"> </w:t>
      </w:r>
      <w:r w:rsidR="008D1FB6" w:rsidRPr="00270A42">
        <w:rPr>
          <w:rFonts w:ascii="Baskerville Old Face" w:hAnsi="Baskerville Old Face"/>
          <w:sz w:val="24"/>
          <w:szCs w:val="24"/>
        </w:rPr>
        <w:t>(</w:t>
      </w:r>
      <w:proofErr w:type="spellStart"/>
      <w:r w:rsidR="008D1FB6" w:rsidRPr="00270A42">
        <w:rPr>
          <w:rFonts w:ascii="Baskerville Old Face" w:hAnsi="Baskerville Old Face"/>
          <w:sz w:val="24"/>
          <w:szCs w:val="24"/>
        </w:rPr>
        <w:t>NLe</w:t>
      </w:r>
      <w:proofErr w:type="spellEnd"/>
      <w:r w:rsidR="008D1FB6" w:rsidRPr="00270A42">
        <w:rPr>
          <w:rFonts w:ascii="Baskerville Old Face" w:hAnsi="Baskerville Old Face"/>
          <w:sz w:val="24"/>
          <w:szCs w:val="24"/>
        </w:rPr>
        <w:t xml:space="preserve"> 1.1</w:t>
      </w:r>
      <w:r w:rsidR="00FF61B7">
        <w:rPr>
          <w:rFonts w:ascii="Baskerville Old Face" w:hAnsi="Baskerville Old Face"/>
          <w:sz w:val="24"/>
          <w:szCs w:val="24"/>
        </w:rPr>
        <w:t>18</w:t>
      </w:r>
      <w:r w:rsidR="008D1FB6" w:rsidRPr="00270A42">
        <w:rPr>
          <w:rFonts w:ascii="Baskerville Old Face" w:hAnsi="Baskerville Old Face"/>
          <w:sz w:val="24"/>
          <w:szCs w:val="24"/>
        </w:rPr>
        <w:t xml:space="preserve"> billion). Together, these four categories accounted for over 75% of the total non-dutiable import value. </w:t>
      </w:r>
      <w:r w:rsidR="00FF61B7">
        <w:rPr>
          <w:rFonts w:ascii="Baskerville Old Face" w:hAnsi="Baskerville Old Face"/>
          <w:sz w:val="24"/>
          <w:szCs w:val="24"/>
        </w:rPr>
        <w:t>M</w:t>
      </w:r>
      <w:r w:rsidR="008D1FB6" w:rsidRPr="00270A42">
        <w:rPr>
          <w:rFonts w:ascii="Baskerville Old Face" w:hAnsi="Baskerville Old Face"/>
          <w:sz w:val="24"/>
          <w:szCs w:val="24"/>
        </w:rPr>
        <w:t xml:space="preserve">ost categories saw declines, </w:t>
      </w:r>
      <w:r w:rsidR="00FF61B7">
        <w:rPr>
          <w:rFonts w:ascii="Baskerville Old Face" w:hAnsi="Baskerville Old Face"/>
          <w:sz w:val="24"/>
          <w:szCs w:val="24"/>
        </w:rPr>
        <w:t xml:space="preserve">and </w:t>
      </w:r>
      <w:r w:rsidR="008D1FB6" w:rsidRPr="00270A42">
        <w:rPr>
          <w:rFonts w:ascii="Baskerville Old Face" w:hAnsi="Baskerville Old Face"/>
          <w:sz w:val="24"/>
          <w:szCs w:val="24"/>
        </w:rPr>
        <w:t xml:space="preserve">modest increase in fuel imports and the sharp rise in the “Other Items” category (up by 601.2%). </w:t>
      </w:r>
    </w:p>
    <w:p w14:paraId="303FF40F" w14:textId="77777777" w:rsidR="004D120F" w:rsidRDefault="004D120F" w:rsidP="008D1FB6">
      <w:pPr>
        <w:spacing w:line="276" w:lineRule="auto"/>
        <w:jc w:val="both"/>
        <w:rPr>
          <w:rFonts w:ascii="Baskerville Old Face" w:hAnsi="Baskerville Old Face"/>
          <w:sz w:val="24"/>
          <w:szCs w:val="24"/>
        </w:rPr>
      </w:pPr>
    </w:p>
    <w:p w14:paraId="4EE19CE1" w14:textId="77777777" w:rsidR="004D120F" w:rsidRDefault="004D120F" w:rsidP="008D1FB6">
      <w:pPr>
        <w:spacing w:line="276" w:lineRule="auto"/>
        <w:jc w:val="both"/>
        <w:rPr>
          <w:rFonts w:ascii="Baskerville Old Face" w:hAnsi="Baskerville Old Face"/>
          <w:sz w:val="24"/>
          <w:szCs w:val="24"/>
        </w:rPr>
      </w:pPr>
    </w:p>
    <w:p w14:paraId="2290413D" w14:textId="77777777" w:rsidR="004D120F" w:rsidRDefault="004D120F" w:rsidP="008D1FB6">
      <w:pPr>
        <w:spacing w:line="276" w:lineRule="auto"/>
        <w:jc w:val="both"/>
        <w:rPr>
          <w:rFonts w:ascii="Baskerville Old Face" w:hAnsi="Baskerville Old Face"/>
          <w:sz w:val="24"/>
          <w:szCs w:val="24"/>
        </w:rPr>
      </w:pPr>
    </w:p>
    <w:p w14:paraId="40E0149E" w14:textId="77777777" w:rsidR="004D120F" w:rsidRDefault="004D120F" w:rsidP="008D1FB6">
      <w:pPr>
        <w:spacing w:line="276" w:lineRule="auto"/>
        <w:jc w:val="both"/>
        <w:rPr>
          <w:rFonts w:ascii="Baskerville Old Face" w:hAnsi="Baskerville Old Face"/>
          <w:sz w:val="24"/>
          <w:szCs w:val="24"/>
        </w:rPr>
      </w:pPr>
    </w:p>
    <w:p w14:paraId="7781FD5F" w14:textId="77777777" w:rsidR="004D120F" w:rsidRDefault="004D120F" w:rsidP="008D1FB6">
      <w:pPr>
        <w:spacing w:line="276" w:lineRule="auto"/>
        <w:jc w:val="both"/>
        <w:rPr>
          <w:rFonts w:ascii="Baskerville Old Face" w:hAnsi="Baskerville Old Face"/>
          <w:sz w:val="24"/>
          <w:szCs w:val="24"/>
        </w:rPr>
      </w:pPr>
    </w:p>
    <w:p w14:paraId="2C201B42" w14:textId="77777777" w:rsidR="004D120F" w:rsidRDefault="004D120F" w:rsidP="008D1FB6">
      <w:pPr>
        <w:spacing w:line="276" w:lineRule="auto"/>
        <w:jc w:val="both"/>
        <w:rPr>
          <w:rFonts w:ascii="Baskerville Old Face" w:hAnsi="Baskerville Old Face"/>
          <w:sz w:val="24"/>
          <w:szCs w:val="24"/>
        </w:rPr>
      </w:pPr>
    </w:p>
    <w:p w14:paraId="48BBBCD6" w14:textId="77777777" w:rsidR="004D120F" w:rsidRDefault="004D120F" w:rsidP="008D1FB6">
      <w:pPr>
        <w:spacing w:line="276" w:lineRule="auto"/>
        <w:jc w:val="both"/>
        <w:rPr>
          <w:rFonts w:ascii="Baskerville Old Face" w:hAnsi="Baskerville Old Face"/>
          <w:sz w:val="24"/>
          <w:szCs w:val="24"/>
        </w:rPr>
      </w:pPr>
    </w:p>
    <w:p w14:paraId="66FFA10C" w14:textId="77777777" w:rsidR="004D120F" w:rsidRPr="00270A42" w:rsidRDefault="004D120F" w:rsidP="008D1FB6">
      <w:pPr>
        <w:spacing w:line="276" w:lineRule="auto"/>
        <w:jc w:val="both"/>
        <w:rPr>
          <w:rFonts w:ascii="Baskerville Old Face" w:hAnsi="Baskerville Old Face"/>
          <w:sz w:val="24"/>
          <w:szCs w:val="24"/>
        </w:rPr>
      </w:pPr>
    </w:p>
    <w:p w14:paraId="24BF36F6" w14:textId="270DE717" w:rsidR="0071721B" w:rsidRPr="002465E3" w:rsidRDefault="0071721B" w:rsidP="0071721B">
      <w:pPr>
        <w:pStyle w:val="Caption"/>
        <w:keepNext/>
        <w:rPr>
          <w:rFonts w:ascii="Baskerville Old Face" w:hAnsi="Baskerville Old Face"/>
          <w:b/>
          <w:bCs/>
          <w:sz w:val="24"/>
          <w:szCs w:val="24"/>
        </w:rPr>
      </w:pPr>
      <w:bookmarkStart w:id="95" w:name="_Toc198044040"/>
      <w:r w:rsidRPr="002465E3">
        <w:rPr>
          <w:rFonts w:ascii="Baskerville Old Face" w:hAnsi="Baskerville Old Face"/>
          <w:b/>
          <w:bCs/>
          <w:sz w:val="24"/>
          <w:szCs w:val="24"/>
        </w:rPr>
        <w:lastRenderedPageBreak/>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22</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Non-Dutiable Imports CIF Value 2024 and 2023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w:t>
      </w:r>
      <w:bookmarkEnd w:id="95"/>
    </w:p>
    <w:tbl>
      <w:tblPr>
        <w:tblStyle w:val="GridTable4-Accent63"/>
        <w:tblW w:w="10345" w:type="dxa"/>
        <w:tblLook w:val="04A0" w:firstRow="1" w:lastRow="0" w:firstColumn="1" w:lastColumn="0" w:noHBand="0" w:noVBand="1"/>
      </w:tblPr>
      <w:tblGrid>
        <w:gridCol w:w="4765"/>
        <w:gridCol w:w="1530"/>
        <w:gridCol w:w="1457"/>
        <w:gridCol w:w="1620"/>
        <w:gridCol w:w="973"/>
      </w:tblGrid>
      <w:tr w:rsidR="00275E9F" w:rsidRPr="00275E9F" w14:paraId="63D32CFC" w14:textId="77777777" w:rsidTr="00870CE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220FF2EC" w14:textId="77777777" w:rsidR="00870CE0" w:rsidRPr="00275E9F" w:rsidRDefault="00870CE0" w:rsidP="00870CE0">
            <w:pPr>
              <w:rPr>
                <w:rFonts w:ascii="Baskerville Old Face" w:hAnsi="Baskerville Old Face" w:cs="Times New Roman"/>
                <w:color w:val="auto"/>
                <w:kern w:val="0"/>
                <w14:ligatures w14:val="none"/>
              </w:rPr>
            </w:pPr>
            <w:r w:rsidRPr="00275E9F">
              <w:rPr>
                <w:rFonts w:ascii="Baskerville Old Face" w:hAnsi="Baskerville Old Face" w:cs="Times New Roman"/>
                <w:color w:val="auto"/>
                <w:kern w:val="0"/>
                <w:lang w:val="en-GB"/>
                <w14:ligatures w14:val="none"/>
              </w:rPr>
              <w:t> SITC CATEGORY</w:t>
            </w:r>
          </w:p>
        </w:tc>
        <w:tc>
          <w:tcPr>
            <w:tcW w:w="1530" w:type="dxa"/>
            <w:noWrap/>
            <w:hideMark/>
          </w:tcPr>
          <w:p w14:paraId="58E70E8A" w14:textId="77777777" w:rsidR="00870CE0" w:rsidRPr="00275E9F" w:rsidRDefault="00870CE0" w:rsidP="00870CE0">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14:ligatures w14:val="none"/>
              </w:rPr>
            </w:pPr>
            <w:r w:rsidRPr="00275E9F">
              <w:rPr>
                <w:rFonts w:ascii="Baskerville Old Face" w:hAnsi="Baskerville Old Face" w:cs="Times New Roman"/>
                <w:color w:val="auto"/>
                <w:kern w:val="0"/>
                <w:lang w:val="en-GB"/>
                <w14:ligatures w14:val="none"/>
              </w:rPr>
              <w:t>2024</w:t>
            </w:r>
          </w:p>
        </w:tc>
        <w:tc>
          <w:tcPr>
            <w:tcW w:w="1457" w:type="dxa"/>
            <w:noWrap/>
            <w:hideMark/>
          </w:tcPr>
          <w:p w14:paraId="3325B6ED" w14:textId="77777777" w:rsidR="00870CE0" w:rsidRPr="00275E9F" w:rsidRDefault="00870CE0" w:rsidP="00870CE0">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14:ligatures w14:val="none"/>
              </w:rPr>
            </w:pPr>
            <w:r w:rsidRPr="00275E9F">
              <w:rPr>
                <w:rFonts w:ascii="Baskerville Old Face" w:hAnsi="Baskerville Old Face" w:cs="Times New Roman"/>
                <w:color w:val="auto"/>
                <w:kern w:val="0"/>
                <w14:ligatures w14:val="none"/>
              </w:rPr>
              <w:t>2023</w:t>
            </w:r>
          </w:p>
        </w:tc>
        <w:tc>
          <w:tcPr>
            <w:tcW w:w="1620" w:type="dxa"/>
            <w:noWrap/>
            <w:hideMark/>
          </w:tcPr>
          <w:p w14:paraId="48E76010" w14:textId="77777777" w:rsidR="00870CE0" w:rsidRPr="00275E9F" w:rsidRDefault="00870CE0" w:rsidP="00870CE0">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14:ligatures w14:val="none"/>
              </w:rPr>
            </w:pPr>
            <w:r w:rsidRPr="00275E9F">
              <w:rPr>
                <w:rFonts w:ascii="Baskerville Old Face" w:hAnsi="Baskerville Old Face" w:cs="Times New Roman"/>
                <w:color w:val="auto"/>
                <w:kern w:val="0"/>
                <w:lang w:val="en-GB"/>
                <w14:ligatures w14:val="none"/>
              </w:rPr>
              <w:t>VARIANCE</w:t>
            </w:r>
          </w:p>
        </w:tc>
        <w:tc>
          <w:tcPr>
            <w:tcW w:w="973" w:type="dxa"/>
            <w:noWrap/>
            <w:hideMark/>
          </w:tcPr>
          <w:p w14:paraId="6F5D27F7" w14:textId="77777777" w:rsidR="00870CE0" w:rsidRPr="00275E9F" w:rsidRDefault="00870CE0" w:rsidP="00870CE0">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kern w:val="0"/>
                <w14:ligatures w14:val="none"/>
              </w:rPr>
            </w:pPr>
            <w:r w:rsidRPr="00275E9F">
              <w:rPr>
                <w:rFonts w:ascii="Baskerville Old Face" w:hAnsi="Baskerville Old Face" w:cs="Times New Roman"/>
                <w:color w:val="auto"/>
                <w:kern w:val="0"/>
                <w:lang w:val="en-GB"/>
                <w14:ligatures w14:val="none"/>
              </w:rPr>
              <w:t xml:space="preserve">% VAR </w:t>
            </w:r>
          </w:p>
        </w:tc>
      </w:tr>
      <w:tr w:rsidR="00870CE0" w:rsidRPr="00870CE0" w14:paraId="200A8C7A"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37719BEF"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1B - TOBACCO</w:t>
            </w:r>
          </w:p>
        </w:tc>
        <w:tc>
          <w:tcPr>
            <w:tcW w:w="1530" w:type="dxa"/>
            <w:noWrap/>
            <w:hideMark/>
          </w:tcPr>
          <w:p w14:paraId="1C77F83E"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0</w:t>
            </w:r>
          </w:p>
        </w:tc>
        <w:tc>
          <w:tcPr>
            <w:tcW w:w="1457" w:type="dxa"/>
            <w:noWrap/>
            <w:hideMark/>
          </w:tcPr>
          <w:p w14:paraId="417B22E3"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61,878</w:t>
            </w:r>
          </w:p>
        </w:tc>
        <w:tc>
          <w:tcPr>
            <w:tcW w:w="1620" w:type="dxa"/>
            <w:noWrap/>
            <w:hideMark/>
          </w:tcPr>
          <w:p w14:paraId="2BF6396E"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-61,878</w:t>
            </w:r>
          </w:p>
        </w:tc>
        <w:tc>
          <w:tcPr>
            <w:tcW w:w="973" w:type="dxa"/>
            <w:noWrap/>
            <w:hideMark/>
          </w:tcPr>
          <w:p w14:paraId="2005F812"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-100.0%</w:t>
            </w:r>
          </w:p>
        </w:tc>
      </w:tr>
      <w:tr w:rsidR="00870CE0" w:rsidRPr="00870CE0" w14:paraId="343BDE57" w14:textId="77777777" w:rsidTr="00870CE0">
        <w:trPr>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4FBBF82A"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0 - FOOD AND LIVE ANIMALS</w:t>
            </w:r>
          </w:p>
        </w:tc>
        <w:tc>
          <w:tcPr>
            <w:tcW w:w="1530" w:type="dxa"/>
            <w:noWrap/>
            <w:hideMark/>
          </w:tcPr>
          <w:p w14:paraId="792C46E9"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252,741,928</w:t>
            </w:r>
          </w:p>
        </w:tc>
        <w:tc>
          <w:tcPr>
            <w:tcW w:w="1457" w:type="dxa"/>
            <w:noWrap/>
            <w:hideMark/>
          </w:tcPr>
          <w:p w14:paraId="32A948D0"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346,577,692</w:t>
            </w:r>
          </w:p>
        </w:tc>
        <w:tc>
          <w:tcPr>
            <w:tcW w:w="1620" w:type="dxa"/>
            <w:noWrap/>
            <w:hideMark/>
          </w:tcPr>
          <w:p w14:paraId="235B2A42"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-93,835,764</w:t>
            </w:r>
          </w:p>
        </w:tc>
        <w:tc>
          <w:tcPr>
            <w:tcW w:w="973" w:type="dxa"/>
            <w:noWrap/>
            <w:hideMark/>
          </w:tcPr>
          <w:p w14:paraId="7B70DF85"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-27.1%</w:t>
            </w:r>
          </w:p>
        </w:tc>
      </w:tr>
      <w:tr w:rsidR="00870CE0" w:rsidRPr="00870CE0" w14:paraId="2A416A02"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77CD6E2B"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7 - MACHINERY AND TRANSPORT EQUIPMENT</w:t>
            </w:r>
          </w:p>
        </w:tc>
        <w:tc>
          <w:tcPr>
            <w:tcW w:w="1530" w:type="dxa"/>
            <w:noWrap/>
            <w:hideMark/>
          </w:tcPr>
          <w:p w14:paraId="1F085B2A"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2,049,980,615</w:t>
            </w:r>
          </w:p>
        </w:tc>
        <w:tc>
          <w:tcPr>
            <w:tcW w:w="1457" w:type="dxa"/>
            <w:noWrap/>
            <w:hideMark/>
          </w:tcPr>
          <w:p w14:paraId="1E9E1155"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2,094,592,801</w:t>
            </w:r>
          </w:p>
        </w:tc>
        <w:tc>
          <w:tcPr>
            <w:tcW w:w="1620" w:type="dxa"/>
            <w:noWrap/>
            <w:hideMark/>
          </w:tcPr>
          <w:p w14:paraId="310BB0C3"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-44,612,186</w:t>
            </w:r>
          </w:p>
        </w:tc>
        <w:tc>
          <w:tcPr>
            <w:tcW w:w="973" w:type="dxa"/>
            <w:noWrap/>
            <w:hideMark/>
          </w:tcPr>
          <w:p w14:paraId="2888FC3D"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-2.1%</w:t>
            </w:r>
          </w:p>
        </w:tc>
      </w:tr>
      <w:tr w:rsidR="00870CE0" w:rsidRPr="00870CE0" w14:paraId="61036A2E" w14:textId="77777777" w:rsidTr="00870CE0">
        <w:trPr>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2A8C8AE5"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8 - MISCELLANEOUS MANUFACTURED ARTICLES</w:t>
            </w:r>
          </w:p>
        </w:tc>
        <w:tc>
          <w:tcPr>
            <w:tcW w:w="1530" w:type="dxa"/>
            <w:noWrap/>
            <w:hideMark/>
          </w:tcPr>
          <w:p w14:paraId="6CB9478F"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1,016,180,888</w:t>
            </w:r>
          </w:p>
        </w:tc>
        <w:tc>
          <w:tcPr>
            <w:tcW w:w="1457" w:type="dxa"/>
            <w:noWrap/>
            <w:hideMark/>
          </w:tcPr>
          <w:p w14:paraId="1AFB2705"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1,760,376,428</w:t>
            </w:r>
          </w:p>
        </w:tc>
        <w:tc>
          <w:tcPr>
            <w:tcW w:w="1620" w:type="dxa"/>
            <w:noWrap/>
            <w:hideMark/>
          </w:tcPr>
          <w:p w14:paraId="3014BE37"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-744,195,540</w:t>
            </w:r>
          </w:p>
        </w:tc>
        <w:tc>
          <w:tcPr>
            <w:tcW w:w="973" w:type="dxa"/>
            <w:noWrap/>
            <w:hideMark/>
          </w:tcPr>
          <w:p w14:paraId="26D1FDD4"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-42.3%</w:t>
            </w:r>
          </w:p>
        </w:tc>
      </w:tr>
      <w:tr w:rsidR="00870CE0" w:rsidRPr="00870CE0" w14:paraId="383AFF9E"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5B0D6171"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1A - BEVERAGES</w:t>
            </w:r>
          </w:p>
        </w:tc>
        <w:tc>
          <w:tcPr>
            <w:tcW w:w="1530" w:type="dxa"/>
            <w:noWrap/>
            <w:hideMark/>
          </w:tcPr>
          <w:p w14:paraId="2B601A1F"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13,009,064</w:t>
            </w:r>
          </w:p>
        </w:tc>
        <w:tc>
          <w:tcPr>
            <w:tcW w:w="1457" w:type="dxa"/>
            <w:noWrap/>
            <w:hideMark/>
          </w:tcPr>
          <w:p w14:paraId="20D6EA96"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17,228,893</w:t>
            </w:r>
          </w:p>
        </w:tc>
        <w:tc>
          <w:tcPr>
            <w:tcW w:w="1620" w:type="dxa"/>
            <w:noWrap/>
            <w:hideMark/>
          </w:tcPr>
          <w:p w14:paraId="6FF22F5E"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-4,219,829</w:t>
            </w:r>
          </w:p>
        </w:tc>
        <w:tc>
          <w:tcPr>
            <w:tcW w:w="973" w:type="dxa"/>
            <w:noWrap/>
            <w:hideMark/>
          </w:tcPr>
          <w:p w14:paraId="39100FCD"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-24.5%</w:t>
            </w:r>
          </w:p>
        </w:tc>
      </w:tr>
      <w:tr w:rsidR="00870CE0" w:rsidRPr="00870CE0" w14:paraId="164E8152" w14:textId="77777777" w:rsidTr="00870CE0">
        <w:trPr>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4A6D2990"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OTHER ITEMS</w:t>
            </w:r>
          </w:p>
        </w:tc>
        <w:tc>
          <w:tcPr>
            <w:tcW w:w="1530" w:type="dxa"/>
            <w:noWrap/>
            <w:hideMark/>
          </w:tcPr>
          <w:p w14:paraId="58E058FF"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222,382,155</w:t>
            </w:r>
          </w:p>
        </w:tc>
        <w:tc>
          <w:tcPr>
            <w:tcW w:w="1457" w:type="dxa"/>
            <w:noWrap/>
            <w:hideMark/>
          </w:tcPr>
          <w:p w14:paraId="31C306C1"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31,714,711</w:t>
            </w:r>
          </w:p>
        </w:tc>
        <w:tc>
          <w:tcPr>
            <w:tcW w:w="1620" w:type="dxa"/>
            <w:noWrap/>
            <w:hideMark/>
          </w:tcPr>
          <w:p w14:paraId="21E6E4F8"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190,667,444</w:t>
            </w:r>
          </w:p>
        </w:tc>
        <w:tc>
          <w:tcPr>
            <w:tcW w:w="973" w:type="dxa"/>
            <w:noWrap/>
            <w:hideMark/>
          </w:tcPr>
          <w:p w14:paraId="31EAC32E"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601.2%</w:t>
            </w:r>
          </w:p>
        </w:tc>
      </w:tr>
      <w:tr w:rsidR="00870CE0" w:rsidRPr="00870CE0" w14:paraId="7160894F"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5CC3F6D0"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4 - ANIMAL AND VEGETABLE OILS, FATS AND WAXES</w:t>
            </w:r>
          </w:p>
        </w:tc>
        <w:tc>
          <w:tcPr>
            <w:tcW w:w="1530" w:type="dxa"/>
            <w:noWrap/>
            <w:hideMark/>
          </w:tcPr>
          <w:p w14:paraId="64E0631A"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81,974,989</w:t>
            </w:r>
          </w:p>
        </w:tc>
        <w:tc>
          <w:tcPr>
            <w:tcW w:w="1457" w:type="dxa"/>
            <w:noWrap/>
            <w:hideMark/>
          </w:tcPr>
          <w:p w14:paraId="0F46B89C"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177,782,906</w:t>
            </w:r>
          </w:p>
        </w:tc>
        <w:tc>
          <w:tcPr>
            <w:tcW w:w="1620" w:type="dxa"/>
            <w:noWrap/>
            <w:hideMark/>
          </w:tcPr>
          <w:p w14:paraId="2724FC2F"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-95,807,917</w:t>
            </w:r>
          </w:p>
        </w:tc>
        <w:tc>
          <w:tcPr>
            <w:tcW w:w="973" w:type="dxa"/>
            <w:noWrap/>
            <w:hideMark/>
          </w:tcPr>
          <w:p w14:paraId="50EB63CD"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-53.9%</w:t>
            </w:r>
          </w:p>
        </w:tc>
      </w:tr>
      <w:tr w:rsidR="00870CE0" w:rsidRPr="00870CE0" w14:paraId="51A31FCC" w14:textId="77777777" w:rsidTr="00870CE0">
        <w:trPr>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1F8093BD"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2 - CRUDE MATERIALS, INEDIBLE, EXCEPT FUELS</w:t>
            </w:r>
          </w:p>
        </w:tc>
        <w:tc>
          <w:tcPr>
            <w:tcW w:w="1530" w:type="dxa"/>
            <w:noWrap/>
            <w:hideMark/>
          </w:tcPr>
          <w:p w14:paraId="22B06CD7"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46,404,683</w:t>
            </w:r>
          </w:p>
        </w:tc>
        <w:tc>
          <w:tcPr>
            <w:tcW w:w="1457" w:type="dxa"/>
            <w:noWrap/>
            <w:hideMark/>
          </w:tcPr>
          <w:p w14:paraId="654C29E7"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104,144,732</w:t>
            </w:r>
          </w:p>
        </w:tc>
        <w:tc>
          <w:tcPr>
            <w:tcW w:w="1620" w:type="dxa"/>
            <w:noWrap/>
            <w:hideMark/>
          </w:tcPr>
          <w:p w14:paraId="35F06CCB"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-57,740,049</w:t>
            </w:r>
          </w:p>
        </w:tc>
        <w:tc>
          <w:tcPr>
            <w:tcW w:w="973" w:type="dxa"/>
            <w:noWrap/>
            <w:hideMark/>
          </w:tcPr>
          <w:p w14:paraId="638A7479"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-55.4%</w:t>
            </w:r>
          </w:p>
        </w:tc>
      </w:tr>
      <w:tr w:rsidR="00870CE0" w:rsidRPr="00870CE0" w14:paraId="46DF335F"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7A07A6C7"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6 - MANUFACTURED GOODS CLASSIFIED CHIEFLY BY MATERIAL</w:t>
            </w:r>
          </w:p>
        </w:tc>
        <w:tc>
          <w:tcPr>
            <w:tcW w:w="1530" w:type="dxa"/>
            <w:noWrap/>
            <w:hideMark/>
          </w:tcPr>
          <w:p w14:paraId="1296200C"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945,753,790</w:t>
            </w:r>
          </w:p>
        </w:tc>
        <w:tc>
          <w:tcPr>
            <w:tcW w:w="1457" w:type="dxa"/>
            <w:noWrap/>
            <w:hideMark/>
          </w:tcPr>
          <w:p w14:paraId="24583AA9"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1,160,351,258</w:t>
            </w:r>
          </w:p>
        </w:tc>
        <w:tc>
          <w:tcPr>
            <w:tcW w:w="1620" w:type="dxa"/>
            <w:noWrap/>
            <w:hideMark/>
          </w:tcPr>
          <w:p w14:paraId="67CF381D"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-214,597,468</w:t>
            </w:r>
          </w:p>
        </w:tc>
        <w:tc>
          <w:tcPr>
            <w:tcW w:w="973" w:type="dxa"/>
            <w:noWrap/>
            <w:hideMark/>
          </w:tcPr>
          <w:p w14:paraId="13A89EC2"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-18.5%</w:t>
            </w:r>
          </w:p>
        </w:tc>
      </w:tr>
      <w:tr w:rsidR="00870CE0" w:rsidRPr="00870CE0" w14:paraId="38654C42" w14:textId="77777777" w:rsidTr="00870CE0">
        <w:trPr>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7BC29482"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5 - CHEMICALS AND RELATED PRODUCTS, N.E.S.</w:t>
            </w:r>
          </w:p>
        </w:tc>
        <w:tc>
          <w:tcPr>
            <w:tcW w:w="1530" w:type="dxa"/>
            <w:noWrap/>
            <w:hideMark/>
          </w:tcPr>
          <w:p w14:paraId="72C826A0"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1,303,486,535</w:t>
            </w:r>
          </w:p>
        </w:tc>
        <w:tc>
          <w:tcPr>
            <w:tcW w:w="1457" w:type="dxa"/>
            <w:noWrap/>
            <w:hideMark/>
          </w:tcPr>
          <w:p w14:paraId="037EBB72"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1,357,660,094</w:t>
            </w:r>
          </w:p>
        </w:tc>
        <w:tc>
          <w:tcPr>
            <w:tcW w:w="1620" w:type="dxa"/>
            <w:noWrap/>
            <w:hideMark/>
          </w:tcPr>
          <w:p w14:paraId="2FE9A682"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-54,173,559</w:t>
            </w:r>
          </w:p>
        </w:tc>
        <w:tc>
          <w:tcPr>
            <w:tcW w:w="973" w:type="dxa"/>
            <w:noWrap/>
            <w:hideMark/>
          </w:tcPr>
          <w:p w14:paraId="31A59581"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-4.0%</w:t>
            </w:r>
          </w:p>
        </w:tc>
      </w:tr>
      <w:tr w:rsidR="00870CE0" w:rsidRPr="00870CE0" w14:paraId="394389B8" w14:textId="77777777" w:rsidTr="00870CE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765" w:type="dxa"/>
            <w:noWrap/>
            <w:hideMark/>
          </w:tcPr>
          <w:p w14:paraId="212B4403" w14:textId="77777777" w:rsidR="00870CE0" w:rsidRPr="00870CE0" w:rsidRDefault="00870CE0" w:rsidP="00870CE0">
            <w:pPr>
              <w:rPr>
                <w:rFonts w:ascii="Baskerville Old Face" w:hAnsi="Baskerville Old Face" w:cs="Times New Roman"/>
                <w:b w:val="0"/>
                <w:bCs w:val="0"/>
                <w:kern w:val="0"/>
                <w14:ligatures w14:val="none"/>
              </w:rPr>
            </w:pPr>
            <w:r w:rsidRPr="00870CE0">
              <w:rPr>
                <w:rFonts w:ascii="Baskerville Old Face" w:hAnsi="Baskerville Old Face" w:cs="Times New Roman"/>
                <w:b w:val="0"/>
                <w:bCs w:val="0"/>
                <w:kern w:val="0"/>
                <w:lang w:val="en-GB"/>
                <w14:ligatures w14:val="none"/>
              </w:rPr>
              <w:t>SECTION 3 - MINERAL FUELS, LUBRICANTS AND RELATED MATERIALS</w:t>
            </w:r>
          </w:p>
        </w:tc>
        <w:tc>
          <w:tcPr>
            <w:tcW w:w="1530" w:type="dxa"/>
            <w:noWrap/>
            <w:hideMark/>
          </w:tcPr>
          <w:p w14:paraId="13DCFE3C"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1,117,610,429</w:t>
            </w:r>
          </w:p>
        </w:tc>
        <w:tc>
          <w:tcPr>
            <w:tcW w:w="1457" w:type="dxa"/>
            <w:noWrap/>
            <w:hideMark/>
          </w:tcPr>
          <w:p w14:paraId="201200CA"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14:ligatures w14:val="none"/>
              </w:rPr>
              <w:t>856,529,757</w:t>
            </w:r>
          </w:p>
        </w:tc>
        <w:tc>
          <w:tcPr>
            <w:tcW w:w="1620" w:type="dxa"/>
            <w:noWrap/>
            <w:hideMark/>
          </w:tcPr>
          <w:p w14:paraId="6DB519AD"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261,080,672</w:t>
            </w:r>
          </w:p>
        </w:tc>
        <w:tc>
          <w:tcPr>
            <w:tcW w:w="973" w:type="dxa"/>
            <w:noWrap/>
            <w:hideMark/>
          </w:tcPr>
          <w:p w14:paraId="57A6E8F3" w14:textId="77777777" w:rsidR="00870CE0" w:rsidRPr="00870CE0" w:rsidRDefault="00870CE0" w:rsidP="00870CE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30.5%</w:t>
            </w:r>
          </w:p>
        </w:tc>
      </w:tr>
      <w:tr w:rsidR="00870CE0" w:rsidRPr="00870CE0" w14:paraId="7D00DABB" w14:textId="77777777" w:rsidTr="00870CE0">
        <w:trPr>
          <w:trHeight w:val="276"/>
        </w:trPr>
        <w:tc>
          <w:tcPr>
            <w:cnfStyle w:val="001000000000" w:firstRow="0" w:lastRow="0" w:firstColumn="1" w:lastColumn="0" w:oddVBand="0" w:evenVBand="0" w:oddHBand="0" w:evenHBand="0" w:firstRowFirstColumn="0" w:firstRowLastColumn="0" w:lastRowFirstColumn="0" w:lastRowLastColumn="0"/>
            <w:tcW w:w="4765" w:type="dxa"/>
            <w:noWrap/>
            <w:hideMark/>
          </w:tcPr>
          <w:p w14:paraId="6F0730B5" w14:textId="77777777" w:rsidR="00870CE0" w:rsidRPr="00870CE0" w:rsidRDefault="00870CE0" w:rsidP="00870CE0">
            <w:pPr>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TOTAL</w:t>
            </w:r>
          </w:p>
        </w:tc>
        <w:tc>
          <w:tcPr>
            <w:tcW w:w="1530" w:type="dxa"/>
            <w:noWrap/>
            <w:hideMark/>
          </w:tcPr>
          <w:p w14:paraId="01E479EE"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870CE0">
              <w:rPr>
                <w:rFonts w:ascii="Baskerville Old Face" w:hAnsi="Baskerville Old Face" w:cs="Times New Roman"/>
                <w:b/>
                <w:bCs/>
                <w:kern w:val="0"/>
                <w14:ligatures w14:val="none"/>
              </w:rPr>
              <w:t>7,049,525,075</w:t>
            </w:r>
          </w:p>
        </w:tc>
        <w:tc>
          <w:tcPr>
            <w:tcW w:w="1457" w:type="dxa"/>
            <w:noWrap/>
            <w:hideMark/>
          </w:tcPr>
          <w:p w14:paraId="352661C6"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870CE0">
              <w:rPr>
                <w:rFonts w:ascii="Baskerville Old Face" w:hAnsi="Baskerville Old Face" w:cs="Times New Roman"/>
                <w:b/>
                <w:bCs/>
                <w:kern w:val="0"/>
                <w14:ligatures w14:val="none"/>
              </w:rPr>
              <w:t>7,907,021,150</w:t>
            </w:r>
          </w:p>
        </w:tc>
        <w:tc>
          <w:tcPr>
            <w:tcW w:w="1620" w:type="dxa"/>
            <w:noWrap/>
            <w:hideMark/>
          </w:tcPr>
          <w:p w14:paraId="1C81B942"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kern w:val="0"/>
                <w14:ligatures w14:val="none"/>
              </w:rPr>
            </w:pPr>
            <w:r w:rsidRPr="00870CE0">
              <w:rPr>
                <w:rFonts w:ascii="Baskerville Old Face" w:hAnsi="Baskerville Old Face" w:cs="Times New Roman"/>
                <w:b/>
                <w:bCs/>
                <w:kern w:val="0"/>
                <w:lang w:val="en-GB"/>
                <w14:ligatures w14:val="none"/>
              </w:rPr>
              <w:t>-857,496,075</w:t>
            </w:r>
          </w:p>
        </w:tc>
        <w:tc>
          <w:tcPr>
            <w:tcW w:w="973" w:type="dxa"/>
            <w:noWrap/>
            <w:hideMark/>
          </w:tcPr>
          <w:p w14:paraId="37ACD8AB" w14:textId="77777777" w:rsidR="00870CE0" w:rsidRPr="00870CE0" w:rsidRDefault="00870CE0" w:rsidP="00870CE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kern w:val="0"/>
                <w14:ligatures w14:val="none"/>
              </w:rPr>
            </w:pPr>
            <w:r w:rsidRPr="00870CE0">
              <w:rPr>
                <w:rFonts w:ascii="Baskerville Old Face" w:hAnsi="Baskerville Old Face" w:cs="Times New Roman"/>
                <w:kern w:val="0"/>
                <w:lang w:val="en-GB"/>
                <w14:ligatures w14:val="none"/>
              </w:rPr>
              <w:t>-</w:t>
            </w:r>
            <w:r w:rsidRPr="00D815D0">
              <w:rPr>
                <w:rFonts w:ascii="Baskerville Old Face" w:hAnsi="Baskerville Old Face" w:cs="Times New Roman"/>
                <w:b/>
                <w:bCs/>
                <w:kern w:val="0"/>
                <w:lang w:val="en-GB"/>
                <w14:ligatures w14:val="none"/>
              </w:rPr>
              <w:t>10.8%</w:t>
            </w:r>
          </w:p>
        </w:tc>
      </w:tr>
    </w:tbl>
    <w:p w14:paraId="56553368" w14:textId="77777777" w:rsidR="009D4CCE" w:rsidRDefault="00413330" w:rsidP="009D4CCE">
      <w:pPr>
        <w:spacing w:line="360" w:lineRule="auto"/>
        <w:jc w:val="both"/>
        <w:rPr>
          <w:rFonts w:ascii="Baskerville Old Face" w:hAnsi="Baskerville Old Face" w:cs="Times New Roman"/>
          <w:kern w:val="0"/>
          <w:sz w:val="18"/>
          <w:szCs w:val="18"/>
          <w:lang w:val="en-GB"/>
          <w14:ligatures w14:val="none"/>
        </w:rPr>
      </w:pPr>
      <w:r w:rsidRPr="00F774FD">
        <w:rPr>
          <w:rFonts w:ascii="Baskerville Old Face" w:hAnsi="Baskerville Old Face" w:cs="Times New Roman"/>
          <w:i/>
          <w:iCs/>
          <w:kern w:val="0"/>
          <w:sz w:val="18"/>
          <w:szCs w:val="18"/>
          <w:lang w:val="en-GB"/>
          <w14:ligatures w14:val="none"/>
        </w:rPr>
        <w:t>Source: ASYCUDA World</w:t>
      </w:r>
      <w:r w:rsidRPr="00F774FD">
        <w:rPr>
          <w:rFonts w:ascii="Baskerville Old Face" w:hAnsi="Baskerville Old Face" w:cs="Times New Roman"/>
          <w:kern w:val="0"/>
          <w:sz w:val="18"/>
          <w:szCs w:val="18"/>
          <w:lang w:val="en-GB"/>
          <w14:ligatures w14:val="none"/>
        </w:rPr>
        <w:t xml:space="preserve"> </w:t>
      </w:r>
    </w:p>
    <w:p w14:paraId="206BD3C5" w14:textId="0B34542F" w:rsidR="009D4CCE" w:rsidRPr="00E3533D" w:rsidRDefault="001C035F" w:rsidP="001935C7">
      <w:pPr>
        <w:spacing w:line="276" w:lineRule="auto"/>
        <w:jc w:val="both"/>
        <w:rPr>
          <w:rFonts w:ascii="Baskerville Old Face" w:hAnsi="Baskerville Old Face" w:cs="Times New Roman"/>
          <w:kern w:val="0"/>
          <w:sz w:val="18"/>
          <w:szCs w:val="18"/>
          <w:lang w:val="en-GB"/>
          <w14:ligatures w14:val="none"/>
        </w:rPr>
      </w:pPr>
      <w:r w:rsidRPr="0039146F">
        <w:rPr>
          <w:rFonts w:ascii="Baskerville Old Face" w:hAnsi="Baskerville Old Face" w:cs="Times New Roman"/>
          <w:kern w:val="0"/>
          <w:sz w:val="24"/>
          <w:szCs w:val="24"/>
          <w:lang w:val="en-GB"/>
          <w14:ligatures w14:val="none"/>
        </w:rPr>
        <w:t xml:space="preserve">Table </w:t>
      </w:r>
      <w:r w:rsidR="004C7309" w:rsidRPr="0039146F">
        <w:rPr>
          <w:rFonts w:ascii="Baskerville Old Face" w:hAnsi="Baskerville Old Face" w:cs="Times New Roman"/>
          <w:kern w:val="0"/>
          <w:sz w:val="24"/>
          <w:szCs w:val="24"/>
          <w:lang w:val="en-GB"/>
          <w14:ligatures w14:val="none"/>
        </w:rPr>
        <w:t>2</w:t>
      </w:r>
      <w:r w:rsidR="0039146F" w:rsidRPr="0039146F">
        <w:rPr>
          <w:rFonts w:ascii="Baskerville Old Face" w:hAnsi="Baskerville Old Face" w:cs="Times New Roman"/>
          <w:kern w:val="0"/>
          <w:sz w:val="24"/>
          <w:szCs w:val="24"/>
          <w:lang w:val="en-GB"/>
          <w14:ligatures w14:val="none"/>
        </w:rPr>
        <w:t>3</w:t>
      </w:r>
      <w:r w:rsidRPr="009D4CCE">
        <w:rPr>
          <w:rFonts w:ascii="Baskerville Old Face" w:hAnsi="Baskerville Old Face" w:cs="Times New Roman"/>
          <w:kern w:val="0"/>
          <w:sz w:val="24"/>
          <w:szCs w:val="24"/>
          <w:lang w:val="en-GB"/>
          <w14:ligatures w14:val="none"/>
        </w:rPr>
        <w:t xml:space="preserve"> provides a</w:t>
      </w:r>
      <w:r w:rsidR="00FD2ED7" w:rsidRPr="009D4CCE">
        <w:rPr>
          <w:rFonts w:ascii="Baskerville Old Face" w:hAnsi="Baskerville Old Face" w:cs="Times New Roman"/>
          <w:kern w:val="0"/>
          <w:sz w:val="24"/>
          <w:szCs w:val="24"/>
          <w:lang w:val="en-GB"/>
          <w14:ligatures w14:val="none"/>
        </w:rPr>
        <w:t xml:space="preserve">n </w:t>
      </w:r>
      <w:r w:rsidRPr="009D4CCE">
        <w:rPr>
          <w:rFonts w:ascii="Baskerville Old Face" w:hAnsi="Baskerville Old Face" w:cs="Times New Roman"/>
          <w:kern w:val="0"/>
          <w:sz w:val="24"/>
          <w:szCs w:val="24"/>
          <w:lang w:val="en-GB"/>
          <w14:ligatures w14:val="none"/>
        </w:rPr>
        <w:t xml:space="preserve">overview of the top ten exporting countries to Sierra Leone based on CIF value. </w:t>
      </w:r>
      <w:r w:rsidR="009D4CCE" w:rsidRPr="00E3533D">
        <w:rPr>
          <w:rFonts w:ascii="Baskerville Old Face" w:eastAsia="Times New Roman" w:hAnsi="Baskerville Old Face" w:cs="Times New Roman"/>
          <w:kern w:val="0"/>
          <w:sz w:val="24"/>
          <w:szCs w:val="24"/>
          <w14:ligatures w14:val="none"/>
        </w:rPr>
        <w:t xml:space="preserve">In 2024, Sierra Leone’s imports from its top 10 trading partners showed significant shifts compared to 2023, with the total import value from these countries increasing substantially. </w:t>
      </w:r>
      <w:r w:rsidR="009D4CCE" w:rsidRPr="00B12A61">
        <w:rPr>
          <w:rFonts w:ascii="Baskerville Old Face" w:eastAsia="Times New Roman" w:hAnsi="Baskerville Old Face" w:cs="Times New Roman"/>
          <w:kern w:val="0"/>
          <w:sz w:val="24"/>
          <w:szCs w:val="24"/>
          <w14:ligatures w14:val="none"/>
        </w:rPr>
        <w:t xml:space="preserve">Switzerland remained the dominant source, with imports rising by over 68%, from </w:t>
      </w:r>
      <w:proofErr w:type="spellStart"/>
      <w:r w:rsidR="009D4CCE" w:rsidRPr="00B12A61">
        <w:rPr>
          <w:rFonts w:ascii="Baskerville Old Face" w:eastAsia="Times New Roman" w:hAnsi="Baskerville Old Face" w:cs="Times New Roman"/>
          <w:kern w:val="0"/>
          <w:sz w:val="24"/>
          <w:szCs w:val="24"/>
          <w14:ligatures w14:val="none"/>
        </w:rPr>
        <w:t>NLe</w:t>
      </w:r>
      <w:proofErr w:type="spellEnd"/>
      <w:r w:rsidR="009D4CCE" w:rsidRPr="00B12A61">
        <w:rPr>
          <w:rFonts w:ascii="Baskerville Old Face" w:eastAsia="Times New Roman" w:hAnsi="Baskerville Old Face" w:cs="Times New Roman"/>
          <w:kern w:val="0"/>
          <w:sz w:val="24"/>
          <w:szCs w:val="24"/>
          <w14:ligatures w14:val="none"/>
        </w:rPr>
        <w:t xml:space="preserve"> 7.781 billion in 2023 to </w:t>
      </w:r>
      <w:proofErr w:type="spellStart"/>
      <w:r w:rsidR="009D4CCE" w:rsidRPr="00B12A61">
        <w:rPr>
          <w:rFonts w:ascii="Baskerville Old Face" w:eastAsia="Times New Roman" w:hAnsi="Baskerville Old Face" w:cs="Times New Roman"/>
          <w:kern w:val="0"/>
          <w:sz w:val="24"/>
          <w:szCs w:val="24"/>
          <w14:ligatures w14:val="none"/>
        </w:rPr>
        <w:t>NLe</w:t>
      </w:r>
      <w:proofErr w:type="spellEnd"/>
      <w:r w:rsidR="009D4CCE" w:rsidRPr="00B12A61">
        <w:rPr>
          <w:rFonts w:ascii="Baskerville Old Face" w:eastAsia="Times New Roman" w:hAnsi="Baskerville Old Face" w:cs="Times New Roman"/>
          <w:kern w:val="0"/>
          <w:sz w:val="24"/>
          <w:szCs w:val="24"/>
          <w14:ligatures w14:val="none"/>
        </w:rPr>
        <w:t xml:space="preserve"> 13.113 billion</w:t>
      </w:r>
      <w:r w:rsidR="009D4CCE" w:rsidRPr="00E3533D">
        <w:rPr>
          <w:rFonts w:ascii="Baskerville Old Face" w:eastAsia="Times New Roman" w:hAnsi="Baskerville Old Face" w:cs="Times New Roman"/>
          <w:kern w:val="0"/>
          <w:sz w:val="24"/>
          <w:szCs w:val="24"/>
          <w14:ligatures w14:val="none"/>
        </w:rPr>
        <w:t xml:space="preserve"> in 2024, largely driven by mineral fuel imports. </w:t>
      </w:r>
      <w:r w:rsidR="009D4CCE" w:rsidRPr="00B12A61">
        <w:rPr>
          <w:rFonts w:ascii="Baskerville Old Face" w:eastAsia="Times New Roman" w:hAnsi="Baskerville Old Face" w:cs="Times New Roman"/>
          <w:kern w:val="0"/>
          <w:sz w:val="24"/>
          <w:szCs w:val="24"/>
          <w14:ligatures w14:val="none"/>
        </w:rPr>
        <w:t>China also saw a notable increase of 28.3%,</w:t>
      </w:r>
      <w:r w:rsidR="009D4CCE" w:rsidRPr="00E3533D">
        <w:rPr>
          <w:rFonts w:ascii="Baskerville Old Face" w:eastAsia="Times New Roman" w:hAnsi="Baskerville Old Face" w:cs="Times New Roman"/>
          <w:kern w:val="0"/>
          <w:sz w:val="24"/>
          <w:szCs w:val="24"/>
          <w14:ligatures w14:val="none"/>
        </w:rPr>
        <w:t xml:space="preserve"> maintaining its position as the second-largest source of imports, reflecting its strong presence in electronics</w:t>
      </w:r>
      <w:r w:rsidR="009F655F">
        <w:rPr>
          <w:rFonts w:ascii="Baskerville Old Face" w:eastAsia="Times New Roman" w:hAnsi="Baskerville Old Face" w:cs="Times New Roman"/>
          <w:kern w:val="0"/>
          <w:sz w:val="24"/>
          <w:szCs w:val="24"/>
          <w14:ligatures w14:val="none"/>
        </w:rPr>
        <w:t>,</w:t>
      </w:r>
      <w:r w:rsidR="009D4CCE" w:rsidRPr="00E3533D">
        <w:rPr>
          <w:rFonts w:ascii="Baskerville Old Face" w:eastAsia="Times New Roman" w:hAnsi="Baskerville Old Face" w:cs="Times New Roman"/>
          <w:kern w:val="0"/>
          <w:sz w:val="24"/>
          <w:szCs w:val="24"/>
          <w14:ligatures w14:val="none"/>
        </w:rPr>
        <w:t xml:space="preserve"> and manufactured goods.</w:t>
      </w:r>
    </w:p>
    <w:p w14:paraId="63A7F70B" w14:textId="114D1E88" w:rsidR="009D4CCE" w:rsidRPr="00E3533D" w:rsidRDefault="009D4CCE" w:rsidP="009D4CC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E3533D">
        <w:rPr>
          <w:rFonts w:ascii="Baskerville Old Face" w:eastAsia="Times New Roman" w:hAnsi="Baskerville Old Face" w:cs="Times New Roman"/>
          <w:kern w:val="0"/>
          <w:sz w:val="24"/>
          <w:szCs w:val="24"/>
          <w14:ligatures w14:val="none"/>
        </w:rPr>
        <w:t xml:space="preserve">While </w:t>
      </w:r>
      <w:r w:rsidRPr="00B12A61">
        <w:rPr>
          <w:rFonts w:ascii="Baskerville Old Face" w:eastAsia="Times New Roman" w:hAnsi="Baskerville Old Face" w:cs="Times New Roman"/>
          <w:kern w:val="0"/>
          <w:sz w:val="24"/>
          <w:szCs w:val="24"/>
          <w14:ligatures w14:val="none"/>
        </w:rPr>
        <w:t xml:space="preserve">India retained its third-place ranking, its import value slightly declined by 9.4%, indicating a reduction in </w:t>
      </w:r>
      <w:r w:rsidR="0031322B">
        <w:rPr>
          <w:rFonts w:ascii="Baskerville Old Face" w:eastAsia="Times New Roman" w:hAnsi="Baskerville Old Face" w:cs="Times New Roman"/>
          <w:kern w:val="0"/>
          <w:sz w:val="24"/>
          <w:szCs w:val="24"/>
          <w14:ligatures w14:val="none"/>
        </w:rPr>
        <w:t>rice</w:t>
      </w:r>
      <w:r w:rsidRPr="00B12A61">
        <w:rPr>
          <w:rFonts w:ascii="Baskerville Old Face" w:eastAsia="Times New Roman" w:hAnsi="Baskerville Old Face" w:cs="Times New Roman"/>
          <w:kern w:val="0"/>
          <w:sz w:val="24"/>
          <w:szCs w:val="24"/>
          <w14:ligatures w14:val="none"/>
        </w:rPr>
        <w:t xml:space="preserve"> imports. France and Spain emerged among the top five in 2024, replacing the United Kingdom and France's</w:t>
      </w:r>
      <w:r w:rsidRPr="00E3533D">
        <w:rPr>
          <w:rFonts w:ascii="Baskerville Old Face" w:eastAsia="Times New Roman" w:hAnsi="Baskerville Old Face" w:cs="Times New Roman"/>
          <w:kern w:val="0"/>
          <w:sz w:val="24"/>
          <w:szCs w:val="24"/>
          <w14:ligatures w14:val="none"/>
        </w:rPr>
        <w:t xml:space="preserve"> 2023 rankings.</w:t>
      </w:r>
    </w:p>
    <w:p w14:paraId="3DBD4FF7" w14:textId="718E4D30" w:rsidR="009D4CCE" w:rsidRDefault="009D4CCE" w:rsidP="009D4CC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E3533D">
        <w:rPr>
          <w:rFonts w:ascii="Baskerville Old Face" w:eastAsia="Times New Roman" w:hAnsi="Baskerville Old Face" w:cs="Times New Roman"/>
          <w:kern w:val="0"/>
          <w:sz w:val="24"/>
          <w:szCs w:val="24"/>
          <w14:ligatures w14:val="none"/>
        </w:rPr>
        <w:t xml:space="preserve">Countries like </w:t>
      </w:r>
      <w:r w:rsidRPr="00B12A61">
        <w:rPr>
          <w:rFonts w:ascii="Baskerville Old Face" w:eastAsia="Times New Roman" w:hAnsi="Baskerville Old Face" w:cs="Times New Roman"/>
          <w:kern w:val="0"/>
          <w:sz w:val="24"/>
          <w:szCs w:val="24"/>
          <w14:ligatures w14:val="none"/>
        </w:rPr>
        <w:t>Belgium, Senegal, Egypt, and Brazil entered the top 10, replacing the United States, South Africa, and Turkey</w:t>
      </w:r>
      <w:r w:rsidRPr="00E3533D">
        <w:rPr>
          <w:rFonts w:ascii="Baskerville Old Face" w:eastAsia="Times New Roman" w:hAnsi="Baskerville Old Face" w:cs="Times New Roman"/>
          <w:kern w:val="0"/>
          <w:sz w:val="24"/>
          <w:szCs w:val="24"/>
          <w14:ligatures w14:val="none"/>
        </w:rPr>
        <w:t xml:space="preserve">, which dropped off the list. This reflects a </w:t>
      </w:r>
      <w:r w:rsidR="0031322B" w:rsidRPr="00E3533D">
        <w:rPr>
          <w:rFonts w:ascii="Baskerville Old Face" w:eastAsia="Times New Roman" w:hAnsi="Baskerville Old Face" w:cs="Times New Roman"/>
          <w:kern w:val="0"/>
          <w:sz w:val="24"/>
          <w:szCs w:val="24"/>
          <w14:ligatures w14:val="none"/>
        </w:rPr>
        <w:t>redirection</w:t>
      </w:r>
      <w:r w:rsidRPr="00E3533D">
        <w:rPr>
          <w:rFonts w:ascii="Baskerville Old Face" w:eastAsia="Times New Roman" w:hAnsi="Baskerville Old Face" w:cs="Times New Roman"/>
          <w:kern w:val="0"/>
          <w:sz w:val="24"/>
          <w:szCs w:val="24"/>
          <w14:ligatures w14:val="none"/>
        </w:rPr>
        <w:t xml:space="preserve"> of import sources, </w:t>
      </w:r>
      <w:r w:rsidR="00CB7B82" w:rsidRPr="00E3533D">
        <w:rPr>
          <w:rFonts w:ascii="Baskerville Old Face" w:eastAsia="Times New Roman" w:hAnsi="Baskerville Old Face" w:cs="Times New Roman"/>
          <w:kern w:val="0"/>
          <w:sz w:val="24"/>
          <w:szCs w:val="24"/>
          <w14:ligatures w14:val="none"/>
        </w:rPr>
        <w:t>possibly</w:t>
      </w:r>
      <w:r w:rsidRPr="00E3533D">
        <w:rPr>
          <w:rFonts w:ascii="Baskerville Old Face" w:eastAsia="Times New Roman" w:hAnsi="Baskerville Old Face" w:cs="Times New Roman"/>
          <w:kern w:val="0"/>
          <w:sz w:val="24"/>
          <w:szCs w:val="24"/>
          <w14:ligatures w14:val="none"/>
        </w:rPr>
        <w:t xml:space="preserve"> influenced by pricing advantages or changes in supply chains. Overall, the data suggests increased diversification and realignment of Sierra Leone’s import partnerships in 2024.</w:t>
      </w:r>
    </w:p>
    <w:p w14:paraId="4C98E561" w14:textId="77777777" w:rsidR="004D120F" w:rsidRDefault="004D120F" w:rsidP="009D4CC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p>
    <w:p w14:paraId="0F36BB4A" w14:textId="77777777" w:rsidR="004D120F" w:rsidRPr="00E3533D" w:rsidRDefault="004D120F" w:rsidP="009D4CCE">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p>
    <w:p w14:paraId="7BD66434" w14:textId="2015A938" w:rsidR="0071721B" w:rsidRPr="002465E3" w:rsidRDefault="0071721B" w:rsidP="0071721B">
      <w:pPr>
        <w:pStyle w:val="Caption"/>
        <w:keepNext/>
        <w:rPr>
          <w:rFonts w:ascii="Baskerville Old Face" w:hAnsi="Baskerville Old Face"/>
          <w:b/>
          <w:bCs/>
          <w:sz w:val="24"/>
          <w:szCs w:val="24"/>
        </w:rPr>
      </w:pPr>
      <w:bookmarkStart w:id="96" w:name="_Toc198044041"/>
      <w:r w:rsidRPr="002465E3">
        <w:rPr>
          <w:rFonts w:ascii="Baskerville Old Face" w:hAnsi="Baskerville Old Face"/>
          <w:b/>
          <w:bCs/>
          <w:sz w:val="24"/>
          <w:szCs w:val="24"/>
        </w:rPr>
        <w:lastRenderedPageBreak/>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23</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Major Imports Origin* 2024 and 2023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w:t>
      </w:r>
      <w:bookmarkEnd w:id="96"/>
    </w:p>
    <w:tbl>
      <w:tblPr>
        <w:tblStyle w:val="GridTable4-Accent3"/>
        <w:tblW w:w="9895" w:type="dxa"/>
        <w:tblLook w:val="04A0" w:firstRow="1" w:lastRow="0" w:firstColumn="1" w:lastColumn="0" w:noHBand="0" w:noVBand="1"/>
      </w:tblPr>
      <w:tblGrid>
        <w:gridCol w:w="625"/>
        <w:gridCol w:w="2520"/>
        <w:gridCol w:w="2070"/>
        <w:gridCol w:w="2700"/>
        <w:gridCol w:w="1980"/>
      </w:tblGrid>
      <w:tr w:rsidR="0087519F" w:rsidRPr="00C60898" w14:paraId="4C38E202" w14:textId="77777777" w:rsidTr="00F774F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214CF1EC" w14:textId="77777777" w:rsidR="00164AD1" w:rsidRPr="00C60898" w:rsidRDefault="00164AD1" w:rsidP="00164AD1">
            <w:pPr>
              <w:jc w:val="center"/>
              <w:rPr>
                <w:rFonts w:ascii="Baskerville Old Face" w:hAnsi="Baskerville Old Face" w:cs="Times New Roman"/>
                <w:color w:val="auto"/>
              </w:rPr>
            </w:pPr>
            <w:r w:rsidRPr="00C60898">
              <w:rPr>
                <w:rFonts w:ascii="Baskerville Old Face" w:hAnsi="Baskerville Old Face" w:cs="Times New Roman"/>
                <w:color w:val="auto"/>
                <w:lang w:val="en-GB"/>
              </w:rPr>
              <w:t>NO.</w:t>
            </w:r>
          </w:p>
        </w:tc>
        <w:tc>
          <w:tcPr>
            <w:tcW w:w="4590" w:type="dxa"/>
            <w:gridSpan w:val="2"/>
            <w:noWrap/>
            <w:hideMark/>
          </w:tcPr>
          <w:p w14:paraId="1FE9BD3C" w14:textId="543B08AF" w:rsidR="00164AD1" w:rsidRPr="00C60898"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60898">
              <w:rPr>
                <w:rFonts w:ascii="Baskerville Old Face" w:hAnsi="Baskerville Old Face" w:cs="Times New Roman"/>
                <w:color w:val="auto"/>
                <w:lang w:val="en-GB"/>
              </w:rPr>
              <w:t>202</w:t>
            </w:r>
            <w:r w:rsidR="00C31E62" w:rsidRPr="00C60898">
              <w:rPr>
                <w:rFonts w:ascii="Baskerville Old Face" w:hAnsi="Baskerville Old Face" w:cs="Times New Roman"/>
                <w:color w:val="auto"/>
                <w:lang w:val="en-GB"/>
              </w:rPr>
              <w:t>4</w:t>
            </w:r>
          </w:p>
        </w:tc>
        <w:tc>
          <w:tcPr>
            <w:tcW w:w="4680" w:type="dxa"/>
            <w:gridSpan w:val="2"/>
            <w:noWrap/>
            <w:hideMark/>
          </w:tcPr>
          <w:p w14:paraId="650D59BF" w14:textId="77777777" w:rsidR="00164AD1" w:rsidRPr="00C60898"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60898">
              <w:rPr>
                <w:rFonts w:ascii="Baskerville Old Face" w:hAnsi="Baskerville Old Face" w:cs="Times New Roman"/>
                <w:color w:val="auto"/>
                <w:lang w:val="en-GB"/>
              </w:rPr>
              <w:t>2023</w:t>
            </w:r>
          </w:p>
        </w:tc>
      </w:tr>
      <w:tr w:rsidR="00C60898" w:rsidRPr="00C60898" w14:paraId="0E7674B1" w14:textId="77777777" w:rsidTr="003132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D43369A"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 </w:t>
            </w:r>
          </w:p>
        </w:tc>
        <w:tc>
          <w:tcPr>
            <w:tcW w:w="2520" w:type="dxa"/>
            <w:noWrap/>
            <w:hideMark/>
          </w:tcPr>
          <w:p w14:paraId="56927D8C" w14:textId="49110725"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60898">
              <w:rPr>
                <w:rFonts w:ascii="Baskerville Old Face" w:hAnsi="Baskerville Old Face"/>
                <w:b/>
                <w:bCs/>
              </w:rPr>
              <w:t>ORIGINCITY</w:t>
            </w:r>
          </w:p>
        </w:tc>
        <w:tc>
          <w:tcPr>
            <w:tcW w:w="2070" w:type="dxa"/>
            <w:noWrap/>
            <w:hideMark/>
          </w:tcPr>
          <w:p w14:paraId="4CE74843" w14:textId="47E48FD0"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60898">
              <w:rPr>
                <w:rFonts w:ascii="Baskerville Old Face" w:hAnsi="Baskerville Old Face"/>
                <w:b/>
                <w:bCs/>
              </w:rPr>
              <w:t xml:space="preserve"> CIF VALUE  </w:t>
            </w:r>
          </w:p>
        </w:tc>
        <w:tc>
          <w:tcPr>
            <w:tcW w:w="2700" w:type="dxa"/>
            <w:noWrap/>
            <w:hideMark/>
          </w:tcPr>
          <w:p w14:paraId="5FCC1B76" w14:textId="5CB6737A"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60898">
              <w:rPr>
                <w:rFonts w:ascii="Baskerville Old Face" w:hAnsi="Baskerville Old Face"/>
                <w:b/>
                <w:bCs/>
              </w:rPr>
              <w:t xml:space="preserve">  ORIGIN COUNTRY  </w:t>
            </w:r>
          </w:p>
        </w:tc>
        <w:tc>
          <w:tcPr>
            <w:tcW w:w="1980" w:type="dxa"/>
            <w:noWrap/>
            <w:hideMark/>
          </w:tcPr>
          <w:p w14:paraId="34467800" w14:textId="266E01EB"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60898">
              <w:rPr>
                <w:rFonts w:ascii="Baskerville Old Face" w:hAnsi="Baskerville Old Face"/>
                <w:b/>
                <w:bCs/>
              </w:rPr>
              <w:t xml:space="preserve"> CIF VALUE </w:t>
            </w:r>
          </w:p>
        </w:tc>
      </w:tr>
      <w:tr w:rsidR="00C60898" w:rsidRPr="00C60898" w14:paraId="12F6AC51" w14:textId="77777777" w:rsidTr="0031322B">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16751DC"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1</w:t>
            </w:r>
          </w:p>
        </w:tc>
        <w:tc>
          <w:tcPr>
            <w:tcW w:w="2520" w:type="dxa"/>
            <w:noWrap/>
          </w:tcPr>
          <w:p w14:paraId="23BC6188" w14:textId="6810B804"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SWITZERLAND</w:t>
            </w:r>
          </w:p>
        </w:tc>
        <w:tc>
          <w:tcPr>
            <w:tcW w:w="2070" w:type="dxa"/>
            <w:noWrap/>
          </w:tcPr>
          <w:p w14:paraId="0CF65495" w14:textId="64705BED"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13,113,223,036.59 </w:t>
            </w:r>
          </w:p>
        </w:tc>
        <w:tc>
          <w:tcPr>
            <w:tcW w:w="2700" w:type="dxa"/>
            <w:noWrap/>
            <w:hideMark/>
          </w:tcPr>
          <w:p w14:paraId="6117981E" w14:textId="11B32874"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SWITZERLAND </w:t>
            </w:r>
          </w:p>
        </w:tc>
        <w:tc>
          <w:tcPr>
            <w:tcW w:w="1980" w:type="dxa"/>
            <w:noWrap/>
            <w:hideMark/>
          </w:tcPr>
          <w:p w14:paraId="61339562" w14:textId="24A7B7D9"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7,781,654,841.00 </w:t>
            </w:r>
          </w:p>
        </w:tc>
      </w:tr>
      <w:tr w:rsidR="00C60898" w:rsidRPr="00C60898" w14:paraId="7C67AB08" w14:textId="77777777" w:rsidTr="003132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C3D5F7E"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2</w:t>
            </w:r>
          </w:p>
        </w:tc>
        <w:tc>
          <w:tcPr>
            <w:tcW w:w="2520" w:type="dxa"/>
            <w:noWrap/>
          </w:tcPr>
          <w:p w14:paraId="798523DC" w14:textId="5144C2BE"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CHINA</w:t>
            </w:r>
          </w:p>
        </w:tc>
        <w:tc>
          <w:tcPr>
            <w:tcW w:w="2070" w:type="dxa"/>
            <w:noWrap/>
          </w:tcPr>
          <w:p w14:paraId="03BDACE1" w14:textId="55EFD4BB"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6,905,582,328.84 </w:t>
            </w:r>
          </w:p>
        </w:tc>
        <w:tc>
          <w:tcPr>
            <w:tcW w:w="2700" w:type="dxa"/>
            <w:noWrap/>
            <w:hideMark/>
          </w:tcPr>
          <w:p w14:paraId="1E9DF441" w14:textId="2123984D"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CHINA </w:t>
            </w:r>
          </w:p>
        </w:tc>
        <w:tc>
          <w:tcPr>
            <w:tcW w:w="1980" w:type="dxa"/>
            <w:noWrap/>
            <w:hideMark/>
          </w:tcPr>
          <w:p w14:paraId="2CB02427" w14:textId="3EA58F9C"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5,380,794,641.00 </w:t>
            </w:r>
          </w:p>
        </w:tc>
      </w:tr>
      <w:tr w:rsidR="00C60898" w:rsidRPr="00C60898" w14:paraId="11F75586" w14:textId="77777777" w:rsidTr="0031322B">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0193AF5"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3</w:t>
            </w:r>
          </w:p>
        </w:tc>
        <w:tc>
          <w:tcPr>
            <w:tcW w:w="2520" w:type="dxa"/>
            <w:noWrap/>
          </w:tcPr>
          <w:p w14:paraId="52F795F4" w14:textId="70832EB5"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INDIA</w:t>
            </w:r>
          </w:p>
        </w:tc>
        <w:tc>
          <w:tcPr>
            <w:tcW w:w="2070" w:type="dxa"/>
            <w:noWrap/>
          </w:tcPr>
          <w:p w14:paraId="7F40A062" w14:textId="73A3CA31"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4,138,115,530.80 </w:t>
            </w:r>
          </w:p>
        </w:tc>
        <w:tc>
          <w:tcPr>
            <w:tcW w:w="2700" w:type="dxa"/>
            <w:noWrap/>
            <w:hideMark/>
          </w:tcPr>
          <w:p w14:paraId="6D55BB45" w14:textId="6D968841"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INDIA </w:t>
            </w:r>
          </w:p>
        </w:tc>
        <w:tc>
          <w:tcPr>
            <w:tcW w:w="1980" w:type="dxa"/>
            <w:noWrap/>
            <w:hideMark/>
          </w:tcPr>
          <w:p w14:paraId="0CFE4705" w14:textId="098963F5"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4,569,618,843.00 </w:t>
            </w:r>
          </w:p>
        </w:tc>
      </w:tr>
      <w:tr w:rsidR="00C60898" w:rsidRPr="00C60898" w14:paraId="5839913B" w14:textId="77777777" w:rsidTr="003132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898ACD3"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4</w:t>
            </w:r>
          </w:p>
        </w:tc>
        <w:tc>
          <w:tcPr>
            <w:tcW w:w="2520" w:type="dxa"/>
            <w:noWrap/>
          </w:tcPr>
          <w:p w14:paraId="742B0EDD" w14:textId="76CC5557"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FRANCE</w:t>
            </w:r>
          </w:p>
        </w:tc>
        <w:tc>
          <w:tcPr>
            <w:tcW w:w="2070" w:type="dxa"/>
            <w:noWrap/>
          </w:tcPr>
          <w:p w14:paraId="32E629EC" w14:textId="17F2D24F"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3,685,568,508.22 </w:t>
            </w:r>
          </w:p>
        </w:tc>
        <w:tc>
          <w:tcPr>
            <w:tcW w:w="2700" w:type="dxa"/>
            <w:noWrap/>
            <w:hideMark/>
          </w:tcPr>
          <w:p w14:paraId="42E32378" w14:textId="025BAAC6"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UNITED KINGDOM </w:t>
            </w:r>
          </w:p>
        </w:tc>
        <w:tc>
          <w:tcPr>
            <w:tcW w:w="1980" w:type="dxa"/>
            <w:noWrap/>
            <w:hideMark/>
          </w:tcPr>
          <w:p w14:paraId="1ED4792E" w14:textId="1C0C3109"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1,783,055,690.00 </w:t>
            </w:r>
          </w:p>
        </w:tc>
      </w:tr>
      <w:tr w:rsidR="00C60898" w:rsidRPr="00C60898" w14:paraId="1C795A47" w14:textId="77777777" w:rsidTr="0031322B">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3857520"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5</w:t>
            </w:r>
          </w:p>
        </w:tc>
        <w:tc>
          <w:tcPr>
            <w:tcW w:w="2520" w:type="dxa"/>
            <w:noWrap/>
          </w:tcPr>
          <w:p w14:paraId="21EB2DA9" w14:textId="1AC1E43D"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SPAIN</w:t>
            </w:r>
          </w:p>
        </w:tc>
        <w:tc>
          <w:tcPr>
            <w:tcW w:w="2070" w:type="dxa"/>
            <w:noWrap/>
          </w:tcPr>
          <w:p w14:paraId="5643687C" w14:textId="1B5DB3F5"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2,494,436,186.44 </w:t>
            </w:r>
          </w:p>
        </w:tc>
        <w:tc>
          <w:tcPr>
            <w:tcW w:w="2700" w:type="dxa"/>
            <w:noWrap/>
            <w:hideMark/>
          </w:tcPr>
          <w:p w14:paraId="730C50CF" w14:textId="42F60DFD"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FRANCE </w:t>
            </w:r>
          </w:p>
        </w:tc>
        <w:tc>
          <w:tcPr>
            <w:tcW w:w="1980" w:type="dxa"/>
            <w:noWrap/>
            <w:hideMark/>
          </w:tcPr>
          <w:p w14:paraId="3A850764" w14:textId="157965BC"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1,771,147,772.00 </w:t>
            </w:r>
          </w:p>
        </w:tc>
      </w:tr>
      <w:tr w:rsidR="00C60898" w:rsidRPr="00C60898" w14:paraId="1D412FBD" w14:textId="77777777" w:rsidTr="003132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6890C30"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6</w:t>
            </w:r>
          </w:p>
        </w:tc>
        <w:tc>
          <w:tcPr>
            <w:tcW w:w="2520" w:type="dxa"/>
            <w:noWrap/>
          </w:tcPr>
          <w:p w14:paraId="02A588B3" w14:textId="6D409185"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UNITED ARAB EMIRATES</w:t>
            </w:r>
          </w:p>
        </w:tc>
        <w:tc>
          <w:tcPr>
            <w:tcW w:w="2070" w:type="dxa"/>
            <w:noWrap/>
          </w:tcPr>
          <w:p w14:paraId="2379E6DD" w14:textId="611B8C4E"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1,627,209,614.68 </w:t>
            </w:r>
          </w:p>
        </w:tc>
        <w:tc>
          <w:tcPr>
            <w:tcW w:w="2700" w:type="dxa"/>
            <w:noWrap/>
            <w:hideMark/>
          </w:tcPr>
          <w:p w14:paraId="169A69BB" w14:textId="73118657"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UNITED ARAB EMIRATES </w:t>
            </w:r>
          </w:p>
        </w:tc>
        <w:tc>
          <w:tcPr>
            <w:tcW w:w="1980" w:type="dxa"/>
            <w:noWrap/>
            <w:hideMark/>
          </w:tcPr>
          <w:p w14:paraId="3CD6F351" w14:textId="6D0BC11D"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1,731,925,101.00 </w:t>
            </w:r>
          </w:p>
        </w:tc>
      </w:tr>
      <w:tr w:rsidR="00C60898" w:rsidRPr="00C60898" w14:paraId="79C84890" w14:textId="77777777" w:rsidTr="0031322B">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68D119CF"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7</w:t>
            </w:r>
          </w:p>
        </w:tc>
        <w:tc>
          <w:tcPr>
            <w:tcW w:w="2520" w:type="dxa"/>
            <w:noWrap/>
          </w:tcPr>
          <w:p w14:paraId="38D80439" w14:textId="76FC60E8"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BELGIUM</w:t>
            </w:r>
          </w:p>
        </w:tc>
        <w:tc>
          <w:tcPr>
            <w:tcW w:w="2070" w:type="dxa"/>
            <w:noWrap/>
          </w:tcPr>
          <w:p w14:paraId="5226D95F" w14:textId="4B1E895C"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1,435,962,796.81 </w:t>
            </w:r>
          </w:p>
        </w:tc>
        <w:tc>
          <w:tcPr>
            <w:tcW w:w="2700" w:type="dxa"/>
            <w:noWrap/>
            <w:hideMark/>
          </w:tcPr>
          <w:p w14:paraId="376DE31C" w14:textId="74837DCC"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UNITED STATES </w:t>
            </w:r>
          </w:p>
        </w:tc>
        <w:tc>
          <w:tcPr>
            <w:tcW w:w="1980" w:type="dxa"/>
            <w:noWrap/>
            <w:hideMark/>
          </w:tcPr>
          <w:p w14:paraId="0DAE7B99" w14:textId="59E2408F"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1,580,351,787.00 </w:t>
            </w:r>
          </w:p>
        </w:tc>
      </w:tr>
      <w:tr w:rsidR="00C60898" w:rsidRPr="00C60898" w14:paraId="5660A900" w14:textId="77777777" w:rsidTr="0031322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394AE0F"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8</w:t>
            </w:r>
          </w:p>
        </w:tc>
        <w:tc>
          <w:tcPr>
            <w:tcW w:w="2520" w:type="dxa"/>
            <w:noWrap/>
          </w:tcPr>
          <w:p w14:paraId="49E61EBC" w14:textId="57D3870A"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SENEGAL</w:t>
            </w:r>
          </w:p>
        </w:tc>
        <w:tc>
          <w:tcPr>
            <w:tcW w:w="2070" w:type="dxa"/>
            <w:noWrap/>
          </w:tcPr>
          <w:p w14:paraId="1C35EF5C" w14:textId="68F06359"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1,124,795,679.53 </w:t>
            </w:r>
          </w:p>
        </w:tc>
        <w:tc>
          <w:tcPr>
            <w:tcW w:w="2700" w:type="dxa"/>
            <w:noWrap/>
            <w:hideMark/>
          </w:tcPr>
          <w:p w14:paraId="5C2C66D3" w14:textId="737DE19C"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BELGIUM </w:t>
            </w:r>
          </w:p>
        </w:tc>
        <w:tc>
          <w:tcPr>
            <w:tcW w:w="1980" w:type="dxa"/>
            <w:noWrap/>
            <w:hideMark/>
          </w:tcPr>
          <w:p w14:paraId="2E7194A7" w14:textId="453665F3"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1,453,966,182.00 </w:t>
            </w:r>
          </w:p>
        </w:tc>
      </w:tr>
      <w:tr w:rsidR="00C60898" w:rsidRPr="00C60898" w14:paraId="0956A215" w14:textId="77777777" w:rsidTr="0031322B">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5405923"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9</w:t>
            </w:r>
          </w:p>
        </w:tc>
        <w:tc>
          <w:tcPr>
            <w:tcW w:w="2520" w:type="dxa"/>
            <w:noWrap/>
          </w:tcPr>
          <w:p w14:paraId="20A88263" w14:textId="52F1E96D"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EGYPT</w:t>
            </w:r>
          </w:p>
        </w:tc>
        <w:tc>
          <w:tcPr>
            <w:tcW w:w="2070" w:type="dxa"/>
            <w:noWrap/>
          </w:tcPr>
          <w:p w14:paraId="7B9ECE4D" w14:textId="2594E5BF"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976,587,379.29 </w:t>
            </w:r>
          </w:p>
        </w:tc>
        <w:tc>
          <w:tcPr>
            <w:tcW w:w="2700" w:type="dxa"/>
            <w:noWrap/>
            <w:hideMark/>
          </w:tcPr>
          <w:p w14:paraId="165D64F9" w14:textId="3F450A18" w:rsidR="00C60898" w:rsidRPr="00C60898" w:rsidRDefault="00C60898" w:rsidP="00C60898">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REPUBLIC OF SOUTH AFRICA </w:t>
            </w:r>
          </w:p>
        </w:tc>
        <w:tc>
          <w:tcPr>
            <w:tcW w:w="1980" w:type="dxa"/>
            <w:noWrap/>
            <w:hideMark/>
          </w:tcPr>
          <w:p w14:paraId="17F767D2" w14:textId="7171245F" w:rsidR="00C60898" w:rsidRPr="00C60898" w:rsidRDefault="00C60898" w:rsidP="00C60898">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1,416,797,088.00 </w:t>
            </w:r>
          </w:p>
        </w:tc>
      </w:tr>
      <w:tr w:rsidR="00C60898" w:rsidRPr="00C60898" w14:paraId="7B1EC299" w14:textId="77777777" w:rsidTr="003132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 w:type="dxa"/>
            <w:noWrap/>
            <w:hideMark/>
          </w:tcPr>
          <w:p w14:paraId="5B94BB58" w14:textId="77777777" w:rsidR="00C60898" w:rsidRPr="00C60898" w:rsidRDefault="00C60898" w:rsidP="00C60898">
            <w:pPr>
              <w:rPr>
                <w:rFonts w:ascii="Baskerville Old Face" w:hAnsi="Baskerville Old Face" w:cs="Times New Roman"/>
              </w:rPr>
            </w:pPr>
            <w:r w:rsidRPr="00C60898">
              <w:rPr>
                <w:rFonts w:ascii="Baskerville Old Face" w:hAnsi="Baskerville Old Face" w:cs="Times New Roman"/>
                <w:lang w:val="en-GB"/>
              </w:rPr>
              <w:t>10</w:t>
            </w:r>
          </w:p>
        </w:tc>
        <w:tc>
          <w:tcPr>
            <w:tcW w:w="2520" w:type="dxa"/>
            <w:noWrap/>
          </w:tcPr>
          <w:p w14:paraId="73E41640" w14:textId="1C8D4015"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BRAZIL</w:t>
            </w:r>
          </w:p>
        </w:tc>
        <w:tc>
          <w:tcPr>
            <w:tcW w:w="2070" w:type="dxa"/>
            <w:noWrap/>
          </w:tcPr>
          <w:p w14:paraId="10369C0D" w14:textId="71E02AEF"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853,820,412.85 </w:t>
            </w:r>
          </w:p>
        </w:tc>
        <w:tc>
          <w:tcPr>
            <w:tcW w:w="2700" w:type="dxa"/>
            <w:noWrap/>
            <w:hideMark/>
          </w:tcPr>
          <w:p w14:paraId="1A0D4982" w14:textId="56A10E43" w:rsidR="00C60898" w:rsidRPr="00C60898" w:rsidRDefault="00C60898" w:rsidP="00C60898">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TURKEY </w:t>
            </w:r>
          </w:p>
        </w:tc>
        <w:tc>
          <w:tcPr>
            <w:tcW w:w="1980" w:type="dxa"/>
            <w:noWrap/>
            <w:hideMark/>
          </w:tcPr>
          <w:p w14:paraId="0AC9CF34" w14:textId="24CAE4B7" w:rsidR="00C60898" w:rsidRPr="00C60898" w:rsidRDefault="00C60898" w:rsidP="00C60898">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60898">
              <w:rPr>
                <w:rFonts w:ascii="Baskerville Old Face" w:hAnsi="Baskerville Old Face"/>
              </w:rPr>
              <w:t xml:space="preserve"> 1,196,027,856.00 </w:t>
            </w:r>
          </w:p>
        </w:tc>
      </w:tr>
    </w:tbl>
    <w:p w14:paraId="75351F81" w14:textId="4C0B642A" w:rsidR="004D5FD6" w:rsidRPr="004E201A" w:rsidRDefault="00164AD1" w:rsidP="004E201A">
      <w:pPr>
        <w:spacing w:line="240" w:lineRule="auto"/>
        <w:rPr>
          <w:rFonts w:ascii="Baskerville Old Face" w:hAnsi="Baskerville Old Face" w:cs="Times New Roman"/>
          <w:bCs/>
          <w:i/>
          <w:iCs/>
          <w:kern w:val="0"/>
          <w:sz w:val="18"/>
          <w:szCs w:val="18"/>
          <w:lang w:val="en-GB"/>
          <w14:ligatures w14:val="none"/>
        </w:rPr>
      </w:pPr>
      <w:r w:rsidRPr="00F774FD">
        <w:rPr>
          <w:rFonts w:ascii="Baskerville Old Face" w:hAnsi="Baskerville Old Face" w:cs="Times New Roman"/>
          <w:b/>
          <w:bCs/>
          <w:i/>
          <w:iCs/>
          <w:kern w:val="0"/>
          <w:sz w:val="18"/>
          <w:szCs w:val="18"/>
          <w:lang w:val="en-GB"/>
          <w14:ligatures w14:val="none"/>
        </w:rPr>
        <w:t>*</w:t>
      </w:r>
      <w:r w:rsidRPr="00F774FD">
        <w:rPr>
          <w:rFonts w:ascii="Baskerville Old Face" w:hAnsi="Baskerville Old Face" w:cs="Times New Roman"/>
          <w:bCs/>
          <w:i/>
          <w:iCs/>
          <w:kern w:val="0"/>
          <w:sz w:val="18"/>
          <w:szCs w:val="18"/>
          <w:lang w:val="en-GB"/>
          <w14:ligatures w14:val="none"/>
        </w:rPr>
        <w:t>IM4 (</w:t>
      </w:r>
      <w:r w:rsidR="006A0033" w:rsidRPr="00F774FD">
        <w:rPr>
          <w:rFonts w:ascii="Baskerville Old Face" w:hAnsi="Baskerville Old Face" w:cs="Times New Roman"/>
          <w:bCs/>
          <w:i/>
          <w:iCs/>
          <w:kern w:val="0"/>
          <w:sz w:val="18"/>
          <w:szCs w:val="18"/>
          <w:lang w:val="en-GB"/>
          <w14:ligatures w14:val="none"/>
        </w:rPr>
        <w:t>I</w:t>
      </w:r>
      <w:r w:rsidRPr="00F774FD">
        <w:rPr>
          <w:rFonts w:ascii="Baskerville Old Face" w:hAnsi="Baskerville Old Face" w:cs="Times New Roman"/>
          <w:bCs/>
          <w:i/>
          <w:iCs/>
          <w:kern w:val="0"/>
          <w:sz w:val="18"/>
          <w:szCs w:val="18"/>
          <w:lang w:val="en-GB"/>
          <w14:ligatures w14:val="none"/>
        </w:rPr>
        <w:t xml:space="preserve">mports for home consumption), SD4 (Simplified Declaration), PP4 (Percel Post), and PB4 (Passenger </w:t>
      </w:r>
      <w:r w:rsidR="00D85BB5" w:rsidRPr="00F774FD">
        <w:rPr>
          <w:rFonts w:ascii="Baskerville Old Face" w:hAnsi="Baskerville Old Face" w:cs="Times New Roman"/>
          <w:bCs/>
          <w:i/>
          <w:iCs/>
          <w:kern w:val="0"/>
          <w:sz w:val="18"/>
          <w:szCs w:val="18"/>
          <w:lang w:val="en-GB"/>
          <w14:ligatures w14:val="none"/>
        </w:rPr>
        <w:t>Baggage)</w:t>
      </w:r>
      <w:r w:rsidR="00D85BB5">
        <w:rPr>
          <w:rFonts w:ascii="Baskerville Old Face" w:hAnsi="Baskerville Old Face" w:cs="Times New Roman"/>
          <w:bCs/>
          <w:i/>
          <w:iCs/>
          <w:kern w:val="0"/>
          <w:sz w:val="18"/>
          <w:szCs w:val="18"/>
          <w:lang w:val="en-GB"/>
          <w14:ligatures w14:val="none"/>
        </w:rPr>
        <w:t xml:space="preserve">.              </w:t>
      </w:r>
      <w:r w:rsidR="004D5FD6" w:rsidRPr="00F774FD">
        <w:rPr>
          <w:rFonts w:ascii="Baskerville Old Face" w:hAnsi="Baskerville Old Face" w:cs="Times New Roman"/>
          <w:i/>
          <w:iCs/>
          <w:kern w:val="0"/>
          <w:sz w:val="20"/>
          <w:szCs w:val="20"/>
          <w:lang w:val="en-GB"/>
          <w14:ligatures w14:val="none"/>
        </w:rPr>
        <w:t xml:space="preserve">Source: </w:t>
      </w:r>
      <w:r w:rsidR="004D5FD6" w:rsidRPr="00F774FD">
        <w:rPr>
          <w:rFonts w:ascii="Baskerville Old Face" w:hAnsi="Baskerville Old Face" w:cs="Times New Roman"/>
          <w:i/>
          <w:iCs/>
          <w:kern w:val="0"/>
          <w:sz w:val="18"/>
          <w:szCs w:val="18"/>
          <w:lang w:val="en-GB"/>
          <w14:ligatures w14:val="none"/>
        </w:rPr>
        <w:t>ASYCUDA World</w:t>
      </w:r>
    </w:p>
    <w:p w14:paraId="2CDD766E" w14:textId="179CCBF0" w:rsidR="00896C19" w:rsidRPr="00292695" w:rsidRDefault="00520DD2" w:rsidP="00395E0D">
      <w:pPr>
        <w:pStyle w:val="Heading2"/>
        <w:rPr>
          <w:rFonts w:ascii="Baskerville Old Face" w:hAnsi="Baskerville Old Face"/>
          <w:b/>
          <w:bCs/>
        </w:rPr>
      </w:pPr>
      <w:bookmarkStart w:id="97" w:name="_Toc198043951"/>
      <w:r w:rsidRPr="00292695">
        <w:rPr>
          <w:rFonts w:ascii="Baskerville Old Face" w:hAnsi="Baskerville Old Face"/>
          <w:b/>
          <w:bCs/>
        </w:rPr>
        <w:t xml:space="preserve">4.11 </w:t>
      </w:r>
      <w:r w:rsidR="00116D56" w:rsidRPr="00292695">
        <w:rPr>
          <w:rFonts w:ascii="Baskerville Old Face" w:hAnsi="Baskerville Old Face"/>
          <w:b/>
          <w:bCs/>
        </w:rPr>
        <w:t>CONTAINER INSPECTION/EXAMINATION UNIT</w:t>
      </w:r>
      <w:bookmarkEnd w:id="97"/>
    </w:p>
    <w:p w14:paraId="47151514" w14:textId="2E3C617F" w:rsidR="00896C19" w:rsidRPr="00896C19" w:rsidRDefault="00896C19" w:rsidP="001935C7">
      <w:pPr>
        <w:spacing w:line="276" w:lineRule="auto"/>
        <w:jc w:val="both"/>
        <w:rPr>
          <w:rFonts w:ascii="Baskerville Old Face" w:hAnsi="Baskerville Old Face" w:cs="Times New Roman"/>
          <w:sz w:val="24"/>
          <w:szCs w:val="24"/>
        </w:rPr>
      </w:pPr>
      <w:bookmarkStart w:id="98" w:name="_Hlk195515903"/>
      <w:r w:rsidRPr="00B12A61">
        <w:rPr>
          <w:rFonts w:ascii="Baskerville Old Face" w:hAnsi="Baskerville Old Face" w:cs="Times New Roman"/>
          <w:sz w:val="24"/>
          <w:szCs w:val="24"/>
        </w:rPr>
        <w:t>In 202</w:t>
      </w:r>
      <w:r w:rsidR="00AF1D54" w:rsidRPr="00B12A61">
        <w:rPr>
          <w:rFonts w:ascii="Baskerville Old Face" w:hAnsi="Baskerville Old Face" w:cs="Times New Roman"/>
          <w:sz w:val="24"/>
          <w:szCs w:val="24"/>
        </w:rPr>
        <w:t>4</w:t>
      </w:r>
      <w:r w:rsidRPr="00B12A61">
        <w:rPr>
          <w:rFonts w:ascii="Baskerville Old Face" w:hAnsi="Baskerville Old Face" w:cs="Times New Roman"/>
          <w:sz w:val="24"/>
          <w:szCs w:val="24"/>
        </w:rPr>
        <w:t>, the Container Unit processed and cleared a total of 1</w:t>
      </w:r>
      <w:r w:rsidR="00AF1D54" w:rsidRPr="00B12A61">
        <w:rPr>
          <w:rFonts w:ascii="Baskerville Old Face" w:hAnsi="Baskerville Old Face" w:cs="Times New Roman"/>
          <w:sz w:val="24"/>
          <w:szCs w:val="24"/>
        </w:rPr>
        <w:t>0</w:t>
      </w:r>
      <w:r w:rsidRPr="00B12A61">
        <w:rPr>
          <w:rFonts w:ascii="Baskerville Old Face" w:hAnsi="Baskerville Old Face" w:cs="Times New Roman"/>
          <w:sz w:val="24"/>
          <w:szCs w:val="24"/>
        </w:rPr>
        <w:t>,</w:t>
      </w:r>
      <w:r w:rsidR="00AF1D54" w:rsidRPr="00B12A61">
        <w:rPr>
          <w:rFonts w:ascii="Baskerville Old Face" w:hAnsi="Baskerville Old Face" w:cs="Times New Roman"/>
          <w:sz w:val="24"/>
          <w:szCs w:val="24"/>
        </w:rPr>
        <w:t>351</w:t>
      </w:r>
      <w:r w:rsidRPr="00B12A61">
        <w:rPr>
          <w:rFonts w:ascii="Baskerville Old Face" w:hAnsi="Baskerville Old Face" w:cs="Times New Roman"/>
          <w:sz w:val="24"/>
          <w:szCs w:val="24"/>
        </w:rPr>
        <w:t xml:space="preserve"> declarations, marking a notable </w:t>
      </w:r>
      <w:r w:rsidR="00AF1D54" w:rsidRPr="00B12A61">
        <w:rPr>
          <w:rFonts w:ascii="Baskerville Old Face" w:hAnsi="Baskerville Old Face" w:cs="Times New Roman"/>
          <w:sz w:val="24"/>
          <w:szCs w:val="24"/>
        </w:rPr>
        <w:t>de</w:t>
      </w:r>
      <w:r w:rsidRPr="00B12A61">
        <w:rPr>
          <w:rFonts w:ascii="Baskerville Old Face" w:hAnsi="Baskerville Old Face" w:cs="Times New Roman"/>
          <w:sz w:val="24"/>
          <w:szCs w:val="24"/>
        </w:rPr>
        <w:t xml:space="preserve">crease of </w:t>
      </w:r>
      <w:r w:rsidR="00AF1D54" w:rsidRPr="00B12A61">
        <w:rPr>
          <w:rFonts w:ascii="Baskerville Old Face" w:hAnsi="Baskerville Old Face" w:cs="Times New Roman"/>
          <w:sz w:val="24"/>
          <w:szCs w:val="24"/>
        </w:rPr>
        <w:t>26</w:t>
      </w:r>
      <w:r w:rsidRPr="00B12A61">
        <w:rPr>
          <w:rFonts w:ascii="Baskerville Old Face" w:hAnsi="Baskerville Old Face" w:cs="Times New Roman"/>
          <w:sz w:val="24"/>
          <w:szCs w:val="24"/>
        </w:rPr>
        <w:t>.</w:t>
      </w:r>
      <w:r w:rsidR="00AF1D54" w:rsidRPr="00B12A61">
        <w:rPr>
          <w:rFonts w:ascii="Baskerville Old Face" w:hAnsi="Baskerville Old Face" w:cs="Times New Roman"/>
          <w:sz w:val="24"/>
          <w:szCs w:val="24"/>
        </w:rPr>
        <w:t>0</w:t>
      </w:r>
      <w:r w:rsidRPr="00B12A61">
        <w:rPr>
          <w:rFonts w:ascii="Baskerville Old Face" w:hAnsi="Baskerville Old Face" w:cs="Times New Roman"/>
          <w:sz w:val="24"/>
          <w:szCs w:val="24"/>
        </w:rPr>
        <w:t>% compared to the previous year's figure of 1</w:t>
      </w:r>
      <w:r w:rsidR="00AF1D54" w:rsidRPr="00B12A61">
        <w:rPr>
          <w:rFonts w:ascii="Baskerville Old Face" w:hAnsi="Baskerville Old Face" w:cs="Times New Roman"/>
          <w:sz w:val="24"/>
          <w:szCs w:val="24"/>
        </w:rPr>
        <w:t>3</w:t>
      </w:r>
      <w:r w:rsidRPr="00B12A61">
        <w:rPr>
          <w:rFonts w:ascii="Baskerville Old Face" w:hAnsi="Baskerville Old Face" w:cs="Times New Roman"/>
          <w:sz w:val="24"/>
          <w:szCs w:val="24"/>
        </w:rPr>
        <w:t>,</w:t>
      </w:r>
      <w:r w:rsidR="00AF1D54" w:rsidRPr="00B12A61">
        <w:rPr>
          <w:rFonts w:ascii="Baskerville Old Face" w:hAnsi="Baskerville Old Face" w:cs="Times New Roman"/>
          <w:sz w:val="24"/>
          <w:szCs w:val="24"/>
        </w:rPr>
        <w:t>979</w:t>
      </w:r>
      <w:r w:rsidRPr="00B12A61">
        <w:rPr>
          <w:rFonts w:ascii="Baskerville Old Face" w:hAnsi="Baskerville Old Face" w:cs="Times New Roman"/>
          <w:sz w:val="24"/>
          <w:szCs w:val="24"/>
        </w:rPr>
        <w:t>. Notably, in 202</w:t>
      </w:r>
      <w:r w:rsidR="00AF1D54" w:rsidRPr="00B12A61">
        <w:rPr>
          <w:rFonts w:ascii="Baskerville Old Face" w:hAnsi="Baskerville Old Face" w:cs="Times New Roman"/>
          <w:sz w:val="24"/>
          <w:szCs w:val="24"/>
        </w:rPr>
        <w:t>4</w:t>
      </w:r>
      <w:r w:rsidRPr="00B12A61">
        <w:rPr>
          <w:rFonts w:ascii="Baskerville Old Face" w:hAnsi="Baskerville Old Face" w:cs="Times New Roman"/>
          <w:sz w:val="24"/>
          <w:szCs w:val="24"/>
        </w:rPr>
        <w:t>, 9</w:t>
      </w:r>
      <w:r w:rsidR="00AF1D54" w:rsidRPr="00B12A61">
        <w:rPr>
          <w:rFonts w:ascii="Baskerville Old Face" w:hAnsi="Baskerville Old Face" w:cs="Times New Roman"/>
          <w:sz w:val="24"/>
          <w:szCs w:val="24"/>
        </w:rPr>
        <w:t>8</w:t>
      </w:r>
      <w:r w:rsidRPr="00B12A61">
        <w:rPr>
          <w:rFonts w:ascii="Baskerville Old Face" w:hAnsi="Baskerville Old Face" w:cs="Times New Roman"/>
          <w:sz w:val="24"/>
          <w:szCs w:val="24"/>
        </w:rPr>
        <w:t>.</w:t>
      </w:r>
      <w:r w:rsidR="00AF1D54" w:rsidRPr="00B12A61">
        <w:rPr>
          <w:rFonts w:ascii="Baskerville Old Face" w:hAnsi="Baskerville Old Face" w:cs="Times New Roman"/>
          <w:sz w:val="24"/>
          <w:szCs w:val="24"/>
        </w:rPr>
        <w:t>5</w:t>
      </w:r>
      <w:r w:rsidRPr="00B12A61">
        <w:rPr>
          <w:rFonts w:ascii="Baskerville Old Face" w:hAnsi="Baskerville Old Face" w:cs="Times New Roman"/>
          <w:sz w:val="24"/>
          <w:szCs w:val="24"/>
        </w:rPr>
        <w:t xml:space="preserve">% of these declarations underwent processing under the Red Selectivity Lane, a rise from </w:t>
      </w:r>
      <w:r w:rsidR="00AF1D54" w:rsidRPr="00B12A61">
        <w:rPr>
          <w:rFonts w:ascii="Baskerville Old Face" w:hAnsi="Baskerville Old Face" w:cs="Times New Roman"/>
          <w:sz w:val="24"/>
          <w:szCs w:val="24"/>
        </w:rPr>
        <w:t>96</w:t>
      </w:r>
      <w:r w:rsidRPr="00B12A61">
        <w:rPr>
          <w:rFonts w:ascii="Baskerville Old Face" w:hAnsi="Baskerville Old Face" w:cs="Times New Roman"/>
          <w:sz w:val="24"/>
          <w:szCs w:val="24"/>
        </w:rPr>
        <w:t>.</w:t>
      </w:r>
      <w:r w:rsidR="00AF1D54" w:rsidRPr="00B12A61">
        <w:rPr>
          <w:rFonts w:ascii="Baskerville Old Face" w:hAnsi="Baskerville Old Face" w:cs="Times New Roman"/>
          <w:sz w:val="24"/>
          <w:szCs w:val="24"/>
        </w:rPr>
        <w:t>0</w:t>
      </w:r>
      <w:r w:rsidRPr="00B12A61">
        <w:rPr>
          <w:rFonts w:ascii="Baskerville Old Face" w:hAnsi="Baskerville Old Face" w:cs="Times New Roman"/>
          <w:sz w:val="24"/>
          <w:szCs w:val="24"/>
        </w:rPr>
        <w:t>% observed in 202</w:t>
      </w:r>
      <w:r w:rsidR="00AF1D54" w:rsidRPr="00B12A61">
        <w:rPr>
          <w:rFonts w:ascii="Baskerville Old Face" w:hAnsi="Baskerville Old Face" w:cs="Times New Roman"/>
          <w:sz w:val="24"/>
          <w:szCs w:val="24"/>
        </w:rPr>
        <w:t>3</w:t>
      </w:r>
      <w:r w:rsidRPr="00B12A61">
        <w:rPr>
          <w:rFonts w:ascii="Baskerville Old Face" w:hAnsi="Baskerville Old Face" w:cs="Times New Roman"/>
          <w:sz w:val="24"/>
          <w:szCs w:val="24"/>
        </w:rPr>
        <w:t xml:space="preserve">. In addition, the total number of containers examined and cleared also experienced a </w:t>
      </w:r>
      <w:r w:rsidR="00AF1D54" w:rsidRPr="00B12A61">
        <w:rPr>
          <w:rFonts w:ascii="Baskerville Old Face" w:hAnsi="Baskerville Old Face" w:cs="Times New Roman"/>
          <w:sz w:val="24"/>
          <w:szCs w:val="24"/>
        </w:rPr>
        <w:t>decrease</w:t>
      </w:r>
      <w:r w:rsidRPr="00B12A61">
        <w:rPr>
          <w:rFonts w:ascii="Baskerville Old Face" w:hAnsi="Baskerville Old Face" w:cs="Times New Roman"/>
          <w:sz w:val="24"/>
          <w:szCs w:val="24"/>
        </w:rPr>
        <w:t xml:space="preserve"> in 202</w:t>
      </w:r>
      <w:r w:rsidR="00AF1D54" w:rsidRPr="00B12A61">
        <w:rPr>
          <w:rFonts w:ascii="Baskerville Old Face" w:hAnsi="Baskerville Old Face" w:cs="Times New Roman"/>
          <w:sz w:val="24"/>
          <w:szCs w:val="24"/>
        </w:rPr>
        <w:t>4</w:t>
      </w:r>
      <w:r w:rsidRPr="00B12A61">
        <w:rPr>
          <w:rFonts w:ascii="Baskerville Old Face" w:hAnsi="Baskerville Old Face" w:cs="Times New Roman"/>
          <w:sz w:val="24"/>
          <w:szCs w:val="24"/>
        </w:rPr>
        <w:t>,</w:t>
      </w:r>
      <w:r w:rsidRPr="00896C19">
        <w:rPr>
          <w:rFonts w:ascii="Baskerville Old Face" w:hAnsi="Baskerville Old Face" w:cs="Times New Roman"/>
          <w:sz w:val="24"/>
          <w:szCs w:val="24"/>
        </w:rPr>
        <w:t xml:space="preserve"> with </w:t>
      </w:r>
      <w:r w:rsidR="00AF1D54" w:rsidRPr="00896C19">
        <w:rPr>
          <w:rFonts w:ascii="Baskerville Old Face" w:hAnsi="Baskerville Old Face" w:cs="Times New Roman"/>
          <w:sz w:val="24"/>
          <w:szCs w:val="24"/>
        </w:rPr>
        <w:t>a</w:t>
      </w:r>
      <w:r w:rsidRPr="00896C19">
        <w:rPr>
          <w:rFonts w:ascii="Baskerville Old Face" w:hAnsi="Baskerville Old Face" w:cs="Times New Roman"/>
          <w:sz w:val="24"/>
          <w:szCs w:val="24"/>
        </w:rPr>
        <w:t xml:space="preserve"> </w:t>
      </w:r>
      <w:r w:rsidR="00AF1D54">
        <w:rPr>
          <w:rFonts w:ascii="Baskerville Old Face" w:hAnsi="Baskerville Old Face" w:cs="Times New Roman"/>
          <w:sz w:val="24"/>
          <w:szCs w:val="24"/>
        </w:rPr>
        <w:t>de</w:t>
      </w:r>
      <w:r w:rsidRPr="00896C19">
        <w:rPr>
          <w:rFonts w:ascii="Baskerville Old Face" w:hAnsi="Baskerville Old Face" w:cs="Times New Roman"/>
          <w:sz w:val="24"/>
          <w:szCs w:val="24"/>
        </w:rPr>
        <w:t xml:space="preserve">crease of </w:t>
      </w:r>
      <w:r w:rsidR="00AF1D54">
        <w:rPr>
          <w:rFonts w:ascii="Baskerville Old Face" w:hAnsi="Baskerville Old Face" w:cs="Times New Roman"/>
          <w:sz w:val="24"/>
          <w:szCs w:val="24"/>
        </w:rPr>
        <w:t>4</w:t>
      </w:r>
      <w:r w:rsidRPr="00896C19">
        <w:rPr>
          <w:rFonts w:ascii="Baskerville Old Face" w:hAnsi="Baskerville Old Face" w:cs="Times New Roman"/>
          <w:sz w:val="24"/>
          <w:szCs w:val="24"/>
        </w:rPr>
        <w:t>,</w:t>
      </w:r>
      <w:r w:rsidR="00AF1D54">
        <w:rPr>
          <w:rFonts w:ascii="Baskerville Old Face" w:hAnsi="Baskerville Old Face" w:cs="Times New Roman"/>
          <w:sz w:val="24"/>
          <w:szCs w:val="24"/>
        </w:rPr>
        <w:t>880</w:t>
      </w:r>
      <w:r w:rsidRPr="00896C19">
        <w:rPr>
          <w:rFonts w:ascii="Baskerville Old Face" w:hAnsi="Baskerville Old Face" w:cs="Times New Roman"/>
          <w:sz w:val="24"/>
          <w:szCs w:val="24"/>
        </w:rPr>
        <w:t xml:space="preserve"> </w:t>
      </w:r>
      <w:r>
        <w:rPr>
          <w:rFonts w:ascii="Baskerville Old Face" w:hAnsi="Baskerville Old Face" w:cs="Times New Roman"/>
          <w:sz w:val="24"/>
          <w:szCs w:val="24"/>
        </w:rPr>
        <w:t>from</w:t>
      </w:r>
      <w:r w:rsidRPr="00896C19">
        <w:rPr>
          <w:rFonts w:ascii="Baskerville Old Face" w:hAnsi="Baskerville Old Face" w:cs="Times New Roman"/>
          <w:sz w:val="24"/>
          <w:szCs w:val="24"/>
        </w:rPr>
        <w:t xml:space="preserve"> 2</w:t>
      </w:r>
      <w:r w:rsidR="00AF1D54">
        <w:rPr>
          <w:rFonts w:ascii="Baskerville Old Face" w:hAnsi="Baskerville Old Face" w:cs="Times New Roman"/>
          <w:sz w:val="24"/>
          <w:szCs w:val="24"/>
        </w:rPr>
        <w:t>6</w:t>
      </w:r>
      <w:r w:rsidRPr="00896C19">
        <w:rPr>
          <w:rFonts w:ascii="Baskerville Old Face" w:hAnsi="Baskerville Old Face" w:cs="Times New Roman"/>
          <w:sz w:val="24"/>
          <w:szCs w:val="24"/>
        </w:rPr>
        <w:t>,8</w:t>
      </w:r>
      <w:r w:rsidR="00AF1D54">
        <w:rPr>
          <w:rFonts w:ascii="Baskerville Old Face" w:hAnsi="Baskerville Old Face" w:cs="Times New Roman"/>
          <w:sz w:val="24"/>
          <w:szCs w:val="24"/>
        </w:rPr>
        <w:t>81</w:t>
      </w:r>
      <w:r w:rsidRPr="00896C19">
        <w:rPr>
          <w:rFonts w:ascii="Baskerville Old Face" w:hAnsi="Baskerville Old Face" w:cs="Times New Roman"/>
          <w:sz w:val="24"/>
          <w:szCs w:val="24"/>
        </w:rPr>
        <w:t xml:space="preserve"> reported in 202</w:t>
      </w:r>
      <w:r w:rsidR="00AF1D54">
        <w:rPr>
          <w:rFonts w:ascii="Baskerville Old Face" w:hAnsi="Baskerville Old Face" w:cs="Times New Roman"/>
          <w:sz w:val="24"/>
          <w:szCs w:val="24"/>
        </w:rPr>
        <w:t>3</w:t>
      </w:r>
      <w:r w:rsidRPr="00896C19">
        <w:rPr>
          <w:rFonts w:ascii="Baskerville Old Face" w:hAnsi="Baskerville Old Face" w:cs="Times New Roman"/>
          <w:sz w:val="24"/>
          <w:szCs w:val="24"/>
        </w:rPr>
        <w:t xml:space="preserve">. </w:t>
      </w:r>
    </w:p>
    <w:p w14:paraId="3F5753FD" w14:textId="51F1C6E0" w:rsidR="00AF1D54" w:rsidRPr="002465E3" w:rsidRDefault="00896C19" w:rsidP="002465E3">
      <w:pPr>
        <w:spacing w:line="276" w:lineRule="auto"/>
        <w:jc w:val="both"/>
        <w:rPr>
          <w:rFonts w:ascii="Baskerville Old Face" w:hAnsi="Baskerville Old Face" w:cs="Times New Roman"/>
          <w:sz w:val="24"/>
          <w:szCs w:val="24"/>
        </w:rPr>
      </w:pPr>
      <w:r w:rsidRPr="00896C19">
        <w:rPr>
          <w:rFonts w:ascii="Baskerville Old Face" w:hAnsi="Baskerville Old Face" w:cs="Times New Roman"/>
          <w:sz w:val="24"/>
          <w:szCs w:val="24"/>
        </w:rPr>
        <w:t xml:space="preserve">It is worth mentioning that while conducting physical inspections and verification procedures, the Container Unit identified discrepancies leading to the </w:t>
      </w:r>
      <w:r w:rsidRPr="00B12A61">
        <w:rPr>
          <w:rFonts w:ascii="Baskerville Old Face" w:hAnsi="Baskerville Old Face" w:cs="Times New Roman"/>
          <w:sz w:val="24"/>
          <w:szCs w:val="24"/>
        </w:rPr>
        <w:t xml:space="preserve">recovery of additional revenues amounting to </w:t>
      </w:r>
      <w:proofErr w:type="spellStart"/>
      <w:r w:rsidRPr="00B12A61">
        <w:rPr>
          <w:rFonts w:ascii="Baskerville Old Face" w:hAnsi="Baskerville Old Face" w:cs="Times New Roman"/>
          <w:sz w:val="24"/>
          <w:szCs w:val="24"/>
        </w:rPr>
        <w:t>NLe</w:t>
      </w:r>
      <w:proofErr w:type="spellEnd"/>
      <w:r w:rsidRPr="00B12A61">
        <w:rPr>
          <w:rFonts w:ascii="Baskerville Old Face" w:hAnsi="Baskerville Old Face" w:cs="Times New Roman"/>
          <w:sz w:val="24"/>
          <w:szCs w:val="24"/>
        </w:rPr>
        <w:t xml:space="preserve"> 1,</w:t>
      </w:r>
      <w:r w:rsidR="00AF1D54" w:rsidRPr="00B12A61">
        <w:rPr>
          <w:rFonts w:ascii="Baskerville Old Face" w:hAnsi="Baskerville Old Face" w:cs="Times New Roman"/>
          <w:sz w:val="24"/>
          <w:szCs w:val="24"/>
        </w:rPr>
        <w:t>294</w:t>
      </w:r>
      <w:r w:rsidRPr="00B12A61">
        <w:rPr>
          <w:rFonts w:ascii="Baskerville Old Face" w:hAnsi="Baskerville Old Face" w:cs="Times New Roman"/>
          <w:sz w:val="24"/>
          <w:szCs w:val="24"/>
        </w:rPr>
        <w:t xml:space="preserve"> million.</w:t>
      </w:r>
      <w:r w:rsidRPr="00896C19">
        <w:rPr>
          <w:rFonts w:ascii="Baskerville Old Face" w:hAnsi="Baskerville Old Face" w:cs="Times New Roman"/>
          <w:sz w:val="24"/>
          <w:szCs w:val="24"/>
        </w:rPr>
        <w:t xml:space="preserve"> This figure represents a</w:t>
      </w:r>
      <w:r w:rsidR="00AF1D54">
        <w:rPr>
          <w:rFonts w:ascii="Baskerville Old Face" w:hAnsi="Baskerville Old Face" w:cs="Times New Roman"/>
          <w:sz w:val="24"/>
          <w:szCs w:val="24"/>
        </w:rPr>
        <w:t>n incr</w:t>
      </w:r>
      <w:r w:rsidRPr="00896C19">
        <w:rPr>
          <w:rFonts w:ascii="Baskerville Old Face" w:hAnsi="Baskerville Old Face" w:cs="Times New Roman"/>
          <w:sz w:val="24"/>
          <w:szCs w:val="24"/>
        </w:rPr>
        <w:t xml:space="preserve">ease of </w:t>
      </w:r>
      <w:r w:rsidR="00AF1D54">
        <w:rPr>
          <w:rFonts w:ascii="Baskerville Old Face" w:hAnsi="Baskerville Old Face" w:cs="Times New Roman"/>
          <w:sz w:val="24"/>
          <w:szCs w:val="24"/>
        </w:rPr>
        <w:t>12</w:t>
      </w:r>
      <w:r w:rsidRPr="00896C19">
        <w:rPr>
          <w:rFonts w:ascii="Baskerville Old Face" w:hAnsi="Baskerville Old Face" w:cs="Times New Roman"/>
          <w:sz w:val="24"/>
          <w:szCs w:val="24"/>
        </w:rPr>
        <w:t xml:space="preserve">.6% compared to the </w:t>
      </w:r>
      <w:proofErr w:type="spellStart"/>
      <w:r w:rsidRPr="00896C19">
        <w:rPr>
          <w:rFonts w:ascii="Baskerville Old Face" w:hAnsi="Baskerville Old Face" w:cs="Times New Roman"/>
          <w:sz w:val="24"/>
          <w:szCs w:val="24"/>
        </w:rPr>
        <w:t>NLe</w:t>
      </w:r>
      <w:proofErr w:type="spellEnd"/>
      <w:r w:rsidRPr="00896C19">
        <w:rPr>
          <w:rFonts w:ascii="Baskerville Old Face" w:hAnsi="Baskerville Old Face" w:cs="Times New Roman"/>
          <w:sz w:val="24"/>
          <w:szCs w:val="24"/>
        </w:rPr>
        <w:t xml:space="preserve"> 1,</w:t>
      </w:r>
      <w:r w:rsidR="00AF1D54">
        <w:rPr>
          <w:rFonts w:ascii="Baskerville Old Face" w:hAnsi="Baskerville Old Face" w:cs="Times New Roman"/>
          <w:sz w:val="24"/>
          <w:szCs w:val="24"/>
        </w:rPr>
        <w:t>149</w:t>
      </w:r>
      <w:r w:rsidRPr="00896C19">
        <w:rPr>
          <w:rFonts w:ascii="Baskerville Old Face" w:hAnsi="Baskerville Old Face" w:cs="Times New Roman"/>
          <w:sz w:val="24"/>
          <w:szCs w:val="24"/>
        </w:rPr>
        <w:t xml:space="preserve"> million recovered in the previous year.</w:t>
      </w:r>
      <w:bookmarkEnd w:id="98"/>
    </w:p>
    <w:p w14:paraId="15C71975" w14:textId="137D0E65" w:rsidR="0071721B" w:rsidRPr="002465E3" w:rsidRDefault="0071721B" w:rsidP="0071721B">
      <w:pPr>
        <w:pStyle w:val="Caption"/>
        <w:keepNext/>
        <w:rPr>
          <w:rFonts w:ascii="Baskerville Old Face" w:hAnsi="Baskerville Old Face"/>
          <w:b/>
          <w:bCs/>
          <w:sz w:val="24"/>
          <w:szCs w:val="24"/>
        </w:rPr>
      </w:pPr>
      <w:bookmarkStart w:id="99" w:name="_Toc198044042"/>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24</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Containers Examined and Released 2024 and 2023 by the Container Unit</w:t>
      </w:r>
      <w:bookmarkEnd w:id="99"/>
    </w:p>
    <w:tbl>
      <w:tblPr>
        <w:tblStyle w:val="GridTable6ColourfulAccent4"/>
        <w:tblW w:w="0" w:type="auto"/>
        <w:tblLook w:val="04A0" w:firstRow="1" w:lastRow="0" w:firstColumn="1" w:lastColumn="0" w:noHBand="0" w:noVBand="1"/>
      </w:tblPr>
      <w:tblGrid>
        <w:gridCol w:w="3320"/>
        <w:gridCol w:w="2120"/>
        <w:gridCol w:w="1640"/>
        <w:gridCol w:w="2220"/>
      </w:tblGrid>
      <w:tr w:rsidR="00407188" w:rsidRPr="00407188" w14:paraId="201F8709" w14:textId="77777777" w:rsidTr="003459B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C0D5E4B" w14:textId="38F491C3" w:rsidR="00896C19" w:rsidRPr="00407188" w:rsidRDefault="00E41C30" w:rsidP="00F9112B">
            <w:pPr>
              <w:spacing w:line="360" w:lineRule="auto"/>
              <w:jc w:val="both"/>
              <w:rPr>
                <w:rFonts w:ascii="Baskerville Old Face" w:hAnsi="Baskerville Old Face" w:cs="Times New Roman"/>
                <w:b w:val="0"/>
                <w:bCs w:val="0"/>
                <w:color w:val="auto"/>
              </w:rPr>
            </w:pPr>
            <w:r w:rsidRPr="00407188">
              <w:rPr>
                <w:rFonts w:ascii="Baskerville Old Face" w:hAnsi="Baskerville Old Face" w:cs="Times New Roman"/>
                <w:color w:val="auto"/>
                <w:lang w:val="en-GB"/>
              </w:rPr>
              <w:t>Category</w:t>
            </w:r>
          </w:p>
        </w:tc>
        <w:tc>
          <w:tcPr>
            <w:tcW w:w="2120" w:type="dxa"/>
            <w:hideMark/>
          </w:tcPr>
          <w:p w14:paraId="57E7609A" w14:textId="68343AA5" w:rsidR="00896C19" w:rsidRPr="00407188"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407188">
              <w:rPr>
                <w:rFonts w:ascii="Baskerville Old Face" w:hAnsi="Baskerville Old Face" w:cs="Times New Roman"/>
                <w:color w:val="auto"/>
                <w:lang w:val="en-GB"/>
              </w:rPr>
              <w:t>202</w:t>
            </w:r>
            <w:r w:rsidR="00407188" w:rsidRPr="00407188">
              <w:rPr>
                <w:rFonts w:ascii="Baskerville Old Face" w:hAnsi="Baskerville Old Face" w:cs="Times New Roman"/>
                <w:color w:val="auto"/>
                <w:lang w:val="en-GB"/>
              </w:rPr>
              <w:t>4</w:t>
            </w:r>
          </w:p>
        </w:tc>
        <w:tc>
          <w:tcPr>
            <w:tcW w:w="1640" w:type="dxa"/>
            <w:hideMark/>
          </w:tcPr>
          <w:p w14:paraId="6271C970" w14:textId="36C3954A" w:rsidR="00896C19" w:rsidRPr="00407188"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407188">
              <w:rPr>
                <w:rFonts w:ascii="Baskerville Old Face" w:hAnsi="Baskerville Old Face" w:cs="Times New Roman"/>
                <w:color w:val="auto"/>
                <w:lang w:val="en-GB"/>
              </w:rPr>
              <w:t>202</w:t>
            </w:r>
            <w:r w:rsidR="00407188" w:rsidRPr="00407188">
              <w:rPr>
                <w:rFonts w:ascii="Baskerville Old Face" w:hAnsi="Baskerville Old Face" w:cs="Times New Roman"/>
                <w:color w:val="auto"/>
                <w:lang w:val="en-GB"/>
              </w:rPr>
              <w:t>3</w:t>
            </w:r>
          </w:p>
        </w:tc>
        <w:tc>
          <w:tcPr>
            <w:tcW w:w="2220" w:type="dxa"/>
            <w:hideMark/>
          </w:tcPr>
          <w:p w14:paraId="4249B131" w14:textId="134C99FE" w:rsidR="00896C19" w:rsidRPr="00407188"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407188">
              <w:rPr>
                <w:rFonts w:ascii="Baskerville Old Face" w:hAnsi="Baskerville Old Face" w:cs="Times New Roman"/>
                <w:color w:val="auto"/>
                <w:lang w:val="en-GB"/>
              </w:rPr>
              <w:t>Variance</w:t>
            </w:r>
          </w:p>
        </w:tc>
      </w:tr>
      <w:tr w:rsidR="00407188" w:rsidRPr="00407188" w14:paraId="0E00524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48C1CC3" w14:textId="77777777" w:rsidR="00407188" w:rsidRPr="00407188" w:rsidRDefault="00407188" w:rsidP="00407188">
            <w:pPr>
              <w:spacing w:line="360" w:lineRule="auto"/>
              <w:jc w:val="both"/>
              <w:rPr>
                <w:rFonts w:ascii="Baskerville Old Face" w:hAnsi="Baskerville Old Face" w:cs="Times New Roman"/>
                <w:color w:val="auto"/>
              </w:rPr>
            </w:pPr>
            <w:r w:rsidRPr="00407188">
              <w:rPr>
                <w:rFonts w:ascii="Baskerville Old Face" w:hAnsi="Baskerville Old Face" w:cs="Times New Roman"/>
                <w:color w:val="auto"/>
                <w:lang w:val="en-GB"/>
              </w:rPr>
              <w:t>TOTAL SCDs PROCESSED</w:t>
            </w:r>
          </w:p>
        </w:tc>
        <w:tc>
          <w:tcPr>
            <w:tcW w:w="2120" w:type="dxa"/>
            <w:hideMark/>
          </w:tcPr>
          <w:p w14:paraId="3E386365" w14:textId="1D23EAFD"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10,351</w:t>
            </w:r>
          </w:p>
        </w:tc>
        <w:tc>
          <w:tcPr>
            <w:tcW w:w="1640" w:type="dxa"/>
            <w:hideMark/>
          </w:tcPr>
          <w:p w14:paraId="1449EB97" w14:textId="7C73771B"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13,979</w:t>
            </w:r>
          </w:p>
        </w:tc>
        <w:tc>
          <w:tcPr>
            <w:tcW w:w="2220" w:type="dxa"/>
            <w:hideMark/>
          </w:tcPr>
          <w:p w14:paraId="72DFC7C9" w14:textId="3533FF27"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-3,628</w:t>
            </w:r>
          </w:p>
        </w:tc>
      </w:tr>
      <w:tr w:rsidR="00407188" w:rsidRPr="00407188" w14:paraId="544B5D15"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D6007D7" w14:textId="77777777" w:rsidR="00407188" w:rsidRPr="00407188" w:rsidRDefault="00407188" w:rsidP="00407188">
            <w:pPr>
              <w:spacing w:line="360" w:lineRule="auto"/>
              <w:jc w:val="both"/>
              <w:rPr>
                <w:rFonts w:ascii="Baskerville Old Face" w:hAnsi="Baskerville Old Face" w:cs="Times New Roman"/>
                <w:b w:val="0"/>
                <w:bCs w:val="0"/>
                <w:color w:val="auto"/>
              </w:rPr>
            </w:pPr>
            <w:r w:rsidRPr="00407188">
              <w:rPr>
                <w:rFonts w:ascii="Baskerville Old Face" w:hAnsi="Baskerville Old Face" w:cs="Times New Roman"/>
                <w:b w:val="0"/>
                <w:bCs w:val="0"/>
                <w:color w:val="auto"/>
                <w:lang w:val="en-GB"/>
              </w:rPr>
              <w:t>Red Lane</w:t>
            </w:r>
          </w:p>
        </w:tc>
        <w:tc>
          <w:tcPr>
            <w:tcW w:w="2120" w:type="dxa"/>
            <w:hideMark/>
          </w:tcPr>
          <w:p w14:paraId="28198B7D" w14:textId="60A7CA02" w:rsidR="00407188" w:rsidRPr="00407188" w:rsidRDefault="00407188"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10,195</w:t>
            </w:r>
          </w:p>
        </w:tc>
        <w:tc>
          <w:tcPr>
            <w:tcW w:w="1640" w:type="dxa"/>
            <w:hideMark/>
          </w:tcPr>
          <w:p w14:paraId="7708FFB7" w14:textId="618319C3" w:rsidR="00407188" w:rsidRPr="00407188" w:rsidRDefault="00407188"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13,421</w:t>
            </w:r>
          </w:p>
        </w:tc>
        <w:tc>
          <w:tcPr>
            <w:tcW w:w="2220" w:type="dxa"/>
            <w:hideMark/>
          </w:tcPr>
          <w:p w14:paraId="2F47105C" w14:textId="3A5F1A49" w:rsidR="00407188" w:rsidRPr="00407188" w:rsidRDefault="00407188"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-3,226</w:t>
            </w:r>
          </w:p>
        </w:tc>
      </w:tr>
      <w:tr w:rsidR="00407188" w:rsidRPr="00407188" w14:paraId="742781B9" w14:textId="77777777" w:rsidTr="0040718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A3EC94A" w14:textId="77777777" w:rsidR="00896C19" w:rsidRPr="00407188" w:rsidRDefault="00896C19" w:rsidP="00F9112B">
            <w:pPr>
              <w:spacing w:line="360" w:lineRule="auto"/>
              <w:jc w:val="both"/>
              <w:rPr>
                <w:rFonts w:ascii="Baskerville Old Face" w:hAnsi="Baskerville Old Face" w:cs="Times New Roman"/>
                <w:b w:val="0"/>
                <w:bCs w:val="0"/>
                <w:color w:val="auto"/>
              </w:rPr>
            </w:pPr>
            <w:r w:rsidRPr="00407188">
              <w:rPr>
                <w:rFonts w:ascii="Baskerville Old Face" w:hAnsi="Baskerville Old Face" w:cs="Times New Roman"/>
                <w:b w:val="0"/>
                <w:bCs w:val="0"/>
                <w:color w:val="auto"/>
                <w:lang w:val="en-GB"/>
              </w:rPr>
              <w:t>Green Lane</w:t>
            </w:r>
          </w:p>
        </w:tc>
        <w:tc>
          <w:tcPr>
            <w:tcW w:w="2120" w:type="dxa"/>
          </w:tcPr>
          <w:p w14:paraId="05BD13D9" w14:textId="78FAC795" w:rsidR="00896C19" w:rsidRPr="00407188"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1640" w:type="dxa"/>
          </w:tcPr>
          <w:p w14:paraId="41AF17E4" w14:textId="6BE323BB" w:rsidR="00896C19" w:rsidRPr="00407188"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2220" w:type="dxa"/>
          </w:tcPr>
          <w:p w14:paraId="7534582C" w14:textId="6D803E4E" w:rsidR="00896C19" w:rsidRPr="00407188"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r>
      <w:tr w:rsidR="00407188" w:rsidRPr="00407188" w14:paraId="1FF53F84" w14:textId="77777777" w:rsidTr="00407188">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2AA88C39" w14:textId="77777777" w:rsidR="00896C19" w:rsidRPr="00407188" w:rsidRDefault="00896C19" w:rsidP="00F9112B">
            <w:pPr>
              <w:spacing w:line="360" w:lineRule="auto"/>
              <w:jc w:val="both"/>
              <w:rPr>
                <w:rFonts w:ascii="Baskerville Old Face" w:hAnsi="Baskerville Old Face" w:cs="Times New Roman"/>
                <w:b w:val="0"/>
                <w:bCs w:val="0"/>
                <w:color w:val="auto"/>
              </w:rPr>
            </w:pPr>
            <w:r w:rsidRPr="00407188">
              <w:rPr>
                <w:rFonts w:ascii="Baskerville Old Face" w:hAnsi="Baskerville Old Face" w:cs="Times New Roman"/>
                <w:b w:val="0"/>
                <w:bCs w:val="0"/>
                <w:color w:val="auto"/>
                <w:lang w:val="en-GB"/>
              </w:rPr>
              <w:t>Blue Lane</w:t>
            </w:r>
          </w:p>
        </w:tc>
        <w:tc>
          <w:tcPr>
            <w:tcW w:w="2120" w:type="dxa"/>
          </w:tcPr>
          <w:p w14:paraId="1F181D7B" w14:textId="47C7A207" w:rsidR="00896C19" w:rsidRPr="00407188"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p>
        </w:tc>
        <w:tc>
          <w:tcPr>
            <w:tcW w:w="1640" w:type="dxa"/>
          </w:tcPr>
          <w:p w14:paraId="7B2FC90D" w14:textId="0E6A6EBF" w:rsidR="00896C19" w:rsidRPr="00407188"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p>
        </w:tc>
        <w:tc>
          <w:tcPr>
            <w:tcW w:w="2220" w:type="dxa"/>
          </w:tcPr>
          <w:p w14:paraId="734101F6" w14:textId="03DE9E45" w:rsidR="00896C19" w:rsidRPr="00407188"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p>
        </w:tc>
      </w:tr>
      <w:tr w:rsidR="00407188" w:rsidRPr="00407188" w14:paraId="1CA35D5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E927C41" w14:textId="77777777" w:rsidR="00407188" w:rsidRPr="00407188" w:rsidRDefault="00407188" w:rsidP="00407188">
            <w:pPr>
              <w:spacing w:line="360" w:lineRule="auto"/>
              <w:jc w:val="both"/>
              <w:rPr>
                <w:rFonts w:ascii="Baskerville Old Face" w:hAnsi="Baskerville Old Face" w:cs="Times New Roman"/>
                <w:b w:val="0"/>
                <w:bCs w:val="0"/>
                <w:color w:val="auto"/>
              </w:rPr>
            </w:pPr>
            <w:r w:rsidRPr="00407188">
              <w:rPr>
                <w:rFonts w:ascii="Baskerville Old Face" w:hAnsi="Baskerville Old Face" w:cs="Times New Roman"/>
                <w:b w:val="0"/>
                <w:bCs w:val="0"/>
                <w:color w:val="auto"/>
              </w:rPr>
              <w:t>Yellow Lane</w:t>
            </w:r>
          </w:p>
        </w:tc>
        <w:tc>
          <w:tcPr>
            <w:tcW w:w="2120" w:type="dxa"/>
            <w:hideMark/>
          </w:tcPr>
          <w:p w14:paraId="74B58028" w14:textId="62074104" w:rsidR="00407188" w:rsidRPr="00407188"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156</w:t>
            </w:r>
          </w:p>
        </w:tc>
        <w:tc>
          <w:tcPr>
            <w:tcW w:w="1640" w:type="dxa"/>
            <w:hideMark/>
          </w:tcPr>
          <w:p w14:paraId="720287B9" w14:textId="4B561F6D" w:rsidR="00407188" w:rsidRPr="00407188"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558</w:t>
            </w:r>
          </w:p>
        </w:tc>
        <w:tc>
          <w:tcPr>
            <w:tcW w:w="2220" w:type="dxa"/>
            <w:hideMark/>
          </w:tcPr>
          <w:p w14:paraId="661DB486" w14:textId="28F344AD" w:rsidR="00407188" w:rsidRPr="00407188"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407188">
              <w:rPr>
                <w:rFonts w:ascii="Baskerville Old Face" w:hAnsi="Baskerville Old Face"/>
                <w:color w:val="auto"/>
              </w:rPr>
              <w:t>-402</w:t>
            </w:r>
          </w:p>
        </w:tc>
      </w:tr>
      <w:tr w:rsidR="00407188" w:rsidRPr="00407188" w14:paraId="6614A8A9"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423F775E" w14:textId="77777777" w:rsidR="00407188" w:rsidRPr="00407188" w:rsidRDefault="00407188" w:rsidP="00407188">
            <w:pPr>
              <w:spacing w:line="360" w:lineRule="auto"/>
              <w:jc w:val="both"/>
              <w:rPr>
                <w:rFonts w:ascii="Baskerville Old Face" w:hAnsi="Baskerville Old Face" w:cs="Times New Roman"/>
                <w:color w:val="auto"/>
              </w:rPr>
            </w:pPr>
            <w:r w:rsidRPr="00407188">
              <w:rPr>
                <w:rFonts w:ascii="Baskerville Old Face" w:hAnsi="Baskerville Old Face" w:cs="Times New Roman"/>
                <w:color w:val="auto"/>
                <w:lang w:val="en-GB"/>
              </w:rPr>
              <w:t>TOTAL CONTAINERS</w:t>
            </w:r>
          </w:p>
        </w:tc>
        <w:tc>
          <w:tcPr>
            <w:tcW w:w="2120" w:type="dxa"/>
            <w:hideMark/>
          </w:tcPr>
          <w:p w14:paraId="17D3188F" w14:textId="6863FCFB" w:rsidR="00407188" w:rsidRPr="00D765D6" w:rsidRDefault="00407188"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22,001</w:t>
            </w:r>
          </w:p>
        </w:tc>
        <w:tc>
          <w:tcPr>
            <w:tcW w:w="1640" w:type="dxa"/>
            <w:hideMark/>
          </w:tcPr>
          <w:p w14:paraId="1861DD66" w14:textId="34670D40" w:rsidR="00407188" w:rsidRPr="00D765D6" w:rsidRDefault="00D765D6"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24,000</w:t>
            </w:r>
          </w:p>
        </w:tc>
        <w:tc>
          <w:tcPr>
            <w:tcW w:w="2220" w:type="dxa"/>
            <w:hideMark/>
          </w:tcPr>
          <w:p w14:paraId="7D775569" w14:textId="684036B2" w:rsidR="00407188" w:rsidRPr="00D765D6" w:rsidRDefault="00407188" w:rsidP="0040718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-4,880</w:t>
            </w:r>
          </w:p>
        </w:tc>
      </w:tr>
      <w:tr w:rsidR="00407188" w:rsidRPr="00407188" w14:paraId="229949C1"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52F9EA03" w14:textId="77777777" w:rsidR="00407188" w:rsidRPr="00407188" w:rsidRDefault="00407188" w:rsidP="00407188">
            <w:pPr>
              <w:spacing w:line="360" w:lineRule="auto"/>
              <w:jc w:val="both"/>
              <w:rPr>
                <w:rFonts w:ascii="Baskerville Old Face" w:hAnsi="Baskerville Old Face" w:cs="Times New Roman"/>
                <w:color w:val="auto"/>
              </w:rPr>
            </w:pPr>
            <w:r w:rsidRPr="00407188">
              <w:rPr>
                <w:rFonts w:ascii="Baskerville Old Face" w:hAnsi="Baskerville Old Face" w:cs="Times New Roman"/>
                <w:color w:val="auto"/>
              </w:rPr>
              <w:t>RECOVERY</w:t>
            </w:r>
          </w:p>
        </w:tc>
        <w:tc>
          <w:tcPr>
            <w:tcW w:w="2120" w:type="dxa"/>
            <w:noWrap/>
            <w:hideMark/>
          </w:tcPr>
          <w:p w14:paraId="589361F6" w14:textId="3B40F6BE"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1,293,569</w:t>
            </w:r>
          </w:p>
        </w:tc>
        <w:tc>
          <w:tcPr>
            <w:tcW w:w="1640" w:type="dxa"/>
            <w:noWrap/>
            <w:hideMark/>
          </w:tcPr>
          <w:p w14:paraId="2921F149" w14:textId="1FC28E0E"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1,148,988</w:t>
            </w:r>
          </w:p>
        </w:tc>
        <w:tc>
          <w:tcPr>
            <w:tcW w:w="2220" w:type="dxa"/>
            <w:hideMark/>
          </w:tcPr>
          <w:p w14:paraId="16324BF9" w14:textId="2A6431D1" w:rsidR="00407188" w:rsidRPr="00D765D6" w:rsidRDefault="00407188" w:rsidP="0040718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D765D6">
              <w:rPr>
                <w:rFonts w:ascii="Baskerville Old Face" w:hAnsi="Baskerville Old Face"/>
                <w:b/>
                <w:bCs/>
                <w:color w:val="auto"/>
              </w:rPr>
              <w:t>144,581</w:t>
            </w:r>
          </w:p>
        </w:tc>
      </w:tr>
    </w:tbl>
    <w:p w14:paraId="558094BD"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62C4799B" w14:textId="4C133200" w:rsidR="007532D0" w:rsidRPr="00292695" w:rsidRDefault="00520DD2" w:rsidP="00395E0D">
      <w:pPr>
        <w:pStyle w:val="Heading2"/>
        <w:rPr>
          <w:rFonts w:ascii="Baskerville Old Face" w:hAnsi="Baskerville Old Face"/>
          <w:b/>
          <w:bCs/>
        </w:rPr>
      </w:pPr>
      <w:bookmarkStart w:id="100" w:name="_Toc198043952"/>
      <w:r w:rsidRPr="00292695">
        <w:rPr>
          <w:rFonts w:ascii="Baskerville Old Face" w:hAnsi="Baskerville Old Face"/>
          <w:b/>
          <w:bCs/>
        </w:rPr>
        <w:lastRenderedPageBreak/>
        <w:t xml:space="preserve">4.12 </w:t>
      </w:r>
      <w:r w:rsidR="00116D56" w:rsidRPr="00292695">
        <w:rPr>
          <w:rFonts w:ascii="Baskerville Old Face" w:hAnsi="Baskerville Old Face"/>
          <w:b/>
          <w:bCs/>
        </w:rPr>
        <w:t>PORT BAGGAGE UNIT</w:t>
      </w:r>
      <w:bookmarkEnd w:id="100"/>
    </w:p>
    <w:p w14:paraId="47D33440" w14:textId="32AA3AD3" w:rsidR="007F47AC" w:rsidRPr="00C30DA0" w:rsidRDefault="007F47AC" w:rsidP="007F47AC">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39146F">
        <w:rPr>
          <w:rFonts w:ascii="Baskerville Old Face" w:eastAsia="Times New Roman" w:hAnsi="Baskerville Old Face" w:cs="Times New Roman"/>
          <w:kern w:val="0"/>
          <w:sz w:val="24"/>
          <w:szCs w:val="24"/>
          <w14:ligatures w14:val="none"/>
        </w:rPr>
        <w:t>Table 2</w:t>
      </w:r>
      <w:r w:rsidR="0039146F">
        <w:rPr>
          <w:rFonts w:ascii="Baskerville Old Face" w:eastAsia="Times New Roman" w:hAnsi="Baskerville Old Face" w:cs="Times New Roman"/>
          <w:kern w:val="0"/>
          <w:sz w:val="24"/>
          <w:szCs w:val="24"/>
          <w14:ligatures w14:val="none"/>
        </w:rPr>
        <w:t>5</w:t>
      </w:r>
      <w:r w:rsidRPr="00C30DA0">
        <w:rPr>
          <w:rFonts w:ascii="Baskerville Old Face" w:eastAsia="Times New Roman" w:hAnsi="Baskerville Old Face" w:cs="Times New Roman"/>
          <w:kern w:val="0"/>
          <w:sz w:val="24"/>
          <w:szCs w:val="24"/>
          <w14:ligatures w14:val="none"/>
        </w:rPr>
        <w:t xml:space="preserve"> provides a comparative summary of the total declarations, containers, and packages processed and released by the Baggage Unit in 2024 and 2023. In 2024, </w:t>
      </w:r>
      <w:r w:rsidRPr="00B12A61">
        <w:rPr>
          <w:rFonts w:ascii="Baskerville Old Face" w:eastAsia="Times New Roman" w:hAnsi="Baskerville Old Face" w:cs="Times New Roman"/>
          <w:kern w:val="0"/>
          <w:sz w:val="24"/>
          <w:szCs w:val="24"/>
          <w14:ligatures w14:val="none"/>
        </w:rPr>
        <w:t>the number of declarations processed declined by 1,961, totaling 5,487. The Unit examined and cleared 4,781 containers</w:t>
      </w:r>
      <w:r w:rsidRPr="00C30DA0">
        <w:rPr>
          <w:rFonts w:ascii="Baskerville Old Face" w:eastAsia="Times New Roman" w:hAnsi="Baskerville Old Face" w:cs="Times New Roman"/>
          <w:kern w:val="0"/>
          <w:sz w:val="24"/>
          <w:szCs w:val="24"/>
          <w14:ligatures w14:val="none"/>
        </w:rPr>
        <w:t>, of which 97.6% were 40-foot containers</w:t>
      </w:r>
      <w:r w:rsidRPr="007F47AC">
        <w:rPr>
          <w:rFonts w:ascii="Baskerville Old Face" w:eastAsia="Times New Roman" w:hAnsi="Baskerville Old Face" w:cs="Times New Roman"/>
          <w:kern w:val="0"/>
          <w:sz w:val="24"/>
          <w:szCs w:val="24"/>
          <w14:ligatures w14:val="none"/>
        </w:rPr>
        <w:t xml:space="preserve"> and 98.9% contained dutiable consignments. </w:t>
      </w:r>
      <w:r w:rsidRPr="00C30DA0">
        <w:rPr>
          <w:rFonts w:ascii="Baskerville Old Face" w:eastAsia="Times New Roman" w:hAnsi="Baskerville Old Face" w:cs="Times New Roman"/>
          <w:kern w:val="0"/>
          <w:sz w:val="24"/>
          <w:szCs w:val="24"/>
          <w14:ligatures w14:val="none"/>
        </w:rPr>
        <w:t>This represents a reduction of 102 containers compared to the 4,883 processed in 2023.</w:t>
      </w:r>
      <w:r w:rsidRPr="007F47AC">
        <w:rPr>
          <w:rFonts w:ascii="Baskerville Old Face" w:eastAsia="Times New Roman" w:hAnsi="Baskerville Old Face" w:cs="Times New Roman"/>
          <w:kern w:val="0"/>
          <w:sz w:val="24"/>
          <w:szCs w:val="24"/>
          <w14:ligatures w14:val="none"/>
        </w:rPr>
        <w:t xml:space="preserve"> </w:t>
      </w:r>
      <w:r w:rsidRPr="00C30DA0">
        <w:rPr>
          <w:rFonts w:ascii="Baskerville Old Face" w:eastAsia="Times New Roman" w:hAnsi="Baskerville Old Face" w:cs="Times New Roman"/>
          <w:kern w:val="0"/>
          <w:sz w:val="24"/>
          <w:szCs w:val="24"/>
          <w14:ligatures w14:val="none"/>
        </w:rPr>
        <w:t>Additionally, 1,206 packages or pallets were examined and released in 2024, with 47.9% classified as dutiable.</w:t>
      </w:r>
    </w:p>
    <w:p w14:paraId="0C88491B" w14:textId="2A399B95" w:rsidR="007F47AC" w:rsidRDefault="007F47AC" w:rsidP="007F47AC">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C30DA0">
        <w:rPr>
          <w:rFonts w:ascii="Baskerville Old Face" w:eastAsia="Times New Roman" w:hAnsi="Baskerville Old Face" w:cs="Times New Roman"/>
          <w:kern w:val="0"/>
          <w:sz w:val="24"/>
          <w:szCs w:val="24"/>
          <w14:ligatures w14:val="none"/>
        </w:rPr>
        <w:t xml:space="preserve">Through physical inspections and verification, the Baggage Unit identified discrepancies that led to the </w:t>
      </w:r>
      <w:r w:rsidRPr="00B12A61">
        <w:rPr>
          <w:rFonts w:ascii="Baskerville Old Face" w:eastAsia="Times New Roman" w:hAnsi="Baskerville Old Face" w:cs="Times New Roman"/>
          <w:kern w:val="0"/>
          <w:sz w:val="24"/>
          <w:szCs w:val="24"/>
          <w14:ligatures w14:val="none"/>
        </w:rPr>
        <w:t xml:space="preserve">recovery of </w:t>
      </w:r>
      <w:proofErr w:type="spellStart"/>
      <w:r w:rsidRPr="00B12A61">
        <w:rPr>
          <w:rFonts w:ascii="Baskerville Old Face" w:eastAsia="Times New Roman" w:hAnsi="Baskerville Old Face" w:cs="Times New Roman"/>
          <w:kern w:val="0"/>
          <w:sz w:val="24"/>
          <w:szCs w:val="24"/>
          <w14:ligatures w14:val="none"/>
        </w:rPr>
        <w:t>NLe</w:t>
      </w:r>
      <w:proofErr w:type="spellEnd"/>
      <w:r w:rsidRPr="00B12A61">
        <w:rPr>
          <w:rFonts w:ascii="Baskerville Old Face" w:eastAsia="Times New Roman" w:hAnsi="Baskerville Old Face" w:cs="Times New Roman"/>
          <w:kern w:val="0"/>
          <w:sz w:val="24"/>
          <w:szCs w:val="24"/>
          <w14:ligatures w14:val="none"/>
        </w:rPr>
        <w:t xml:space="preserve"> 186.721</w:t>
      </w:r>
      <w:r w:rsidRPr="00C30DA0">
        <w:rPr>
          <w:rFonts w:ascii="Baskerville Old Face" w:eastAsia="Times New Roman" w:hAnsi="Baskerville Old Face" w:cs="Times New Roman"/>
          <w:kern w:val="0"/>
          <w:sz w:val="24"/>
          <w:szCs w:val="24"/>
          <w14:ligatures w14:val="none"/>
        </w:rPr>
        <w:t xml:space="preserve"> thousand in additional revenue. This reflects a decline from the </w:t>
      </w:r>
      <w:proofErr w:type="spellStart"/>
      <w:r w:rsidRPr="00C30DA0">
        <w:rPr>
          <w:rFonts w:ascii="Baskerville Old Face" w:eastAsia="Times New Roman" w:hAnsi="Baskerville Old Face" w:cs="Times New Roman"/>
          <w:kern w:val="0"/>
          <w:sz w:val="24"/>
          <w:szCs w:val="24"/>
          <w14:ligatures w14:val="none"/>
        </w:rPr>
        <w:t>NLe</w:t>
      </w:r>
      <w:proofErr w:type="spellEnd"/>
      <w:r w:rsidRPr="00C30DA0">
        <w:rPr>
          <w:rFonts w:ascii="Baskerville Old Face" w:eastAsia="Times New Roman" w:hAnsi="Baskerville Old Face" w:cs="Times New Roman"/>
          <w:kern w:val="0"/>
          <w:sz w:val="24"/>
          <w:szCs w:val="24"/>
          <w14:ligatures w14:val="none"/>
        </w:rPr>
        <w:t xml:space="preserve"> 323.663 thousand recovered in 2023.</w:t>
      </w:r>
    </w:p>
    <w:p w14:paraId="457B92EB" w14:textId="2A399B95" w:rsidR="0071721B" w:rsidRPr="002465E3" w:rsidRDefault="0071721B" w:rsidP="0071721B">
      <w:pPr>
        <w:pStyle w:val="Caption"/>
        <w:keepNext/>
        <w:rPr>
          <w:rFonts w:ascii="Baskerville Old Face" w:hAnsi="Baskerville Old Face"/>
          <w:b/>
          <w:bCs/>
          <w:sz w:val="24"/>
          <w:szCs w:val="24"/>
        </w:rPr>
      </w:pPr>
      <w:bookmarkStart w:id="101" w:name="_Toc198044043"/>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25</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Number of Containers Examined and Released in 2024 and 2023 by the Baggage Unit</w:t>
      </w:r>
      <w:bookmarkEnd w:id="101"/>
    </w:p>
    <w:tbl>
      <w:tblPr>
        <w:tblStyle w:val="GridTable6Colourful"/>
        <w:tblW w:w="0" w:type="auto"/>
        <w:tblLook w:val="04A0" w:firstRow="1" w:lastRow="0" w:firstColumn="1" w:lastColumn="0" w:noHBand="0" w:noVBand="1"/>
      </w:tblPr>
      <w:tblGrid>
        <w:gridCol w:w="2983"/>
        <w:gridCol w:w="963"/>
        <w:gridCol w:w="963"/>
        <w:gridCol w:w="1591"/>
      </w:tblGrid>
      <w:tr w:rsidR="00D02553" w:rsidRPr="0062044A" w14:paraId="0A280D64" w14:textId="77777777" w:rsidTr="003B30E7">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983" w:type="dxa"/>
            <w:hideMark/>
          </w:tcPr>
          <w:p w14:paraId="2E8B118B" w14:textId="2E486139" w:rsidR="00D02553" w:rsidRPr="0062044A" w:rsidRDefault="00D02553" w:rsidP="00F9112B">
            <w:pPr>
              <w:jc w:val="both"/>
              <w:rPr>
                <w:rFonts w:ascii="Baskerville Old Face" w:hAnsi="Baskerville Old Face"/>
                <w:b w:val="0"/>
                <w:bCs w:val="0"/>
              </w:rPr>
            </w:pPr>
            <w:r w:rsidRPr="0062044A">
              <w:rPr>
                <w:rFonts w:ascii="Baskerville Old Face" w:hAnsi="Baskerville Old Face"/>
                <w:lang w:val="en-GB"/>
              </w:rPr>
              <w:t>CATEGORY</w:t>
            </w:r>
          </w:p>
        </w:tc>
        <w:tc>
          <w:tcPr>
            <w:tcW w:w="963" w:type="dxa"/>
          </w:tcPr>
          <w:p w14:paraId="67957459" w14:textId="50796307" w:rsidR="00D02553" w:rsidRPr="0062044A" w:rsidRDefault="00D02553"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lang w:val="en-GB"/>
              </w:rPr>
            </w:pPr>
            <w:r>
              <w:rPr>
                <w:rFonts w:ascii="Baskerville Old Face" w:hAnsi="Baskerville Old Face"/>
                <w:lang w:val="en-GB"/>
              </w:rPr>
              <w:t>2024</w:t>
            </w:r>
          </w:p>
        </w:tc>
        <w:tc>
          <w:tcPr>
            <w:tcW w:w="963" w:type="dxa"/>
            <w:hideMark/>
          </w:tcPr>
          <w:p w14:paraId="282CD8CA" w14:textId="3B633282" w:rsidR="00D02553" w:rsidRPr="0062044A" w:rsidRDefault="00D02553"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sidRPr="0062044A">
              <w:rPr>
                <w:rFonts w:ascii="Baskerville Old Face" w:hAnsi="Baskerville Old Face"/>
                <w:lang w:val="en-GB"/>
              </w:rPr>
              <w:t>2023</w:t>
            </w:r>
          </w:p>
        </w:tc>
        <w:tc>
          <w:tcPr>
            <w:tcW w:w="1591" w:type="dxa"/>
            <w:hideMark/>
          </w:tcPr>
          <w:p w14:paraId="2CCB311E" w14:textId="39783D19" w:rsidR="00D02553" w:rsidRPr="0062044A" w:rsidRDefault="00D02553"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Pr>
                <w:rFonts w:ascii="Baskerville Old Face" w:hAnsi="Baskerville Old Face"/>
                <w:lang w:val="en-GB"/>
              </w:rPr>
              <w:t>VARIANCE</w:t>
            </w:r>
          </w:p>
        </w:tc>
      </w:tr>
      <w:tr w:rsidR="00D02553" w:rsidRPr="0062044A" w14:paraId="79E0C061" w14:textId="77777777" w:rsidTr="00D0255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983" w:type="dxa"/>
            <w:hideMark/>
          </w:tcPr>
          <w:p w14:paraId="3D965F5D" w14:textId="58DBBE3D" w:rsidR="00D02553" w:rsidRPr="00B86FAD" w:rsidRDefault="00D02553" w:rsidP="00D02553">
            <w:pPr>
              <w:jc w:val="both"/>
              <w:rPr>
                <w:rFonts w:ascii="Baskerville Old Face" w:hAnsi="Baskerville Old Face"/>
              </w:rPr>
            </w:pPr>
            <w:r w:rsidRPr="00B86FAD">
              <w:rPr>
                <w:rFonts w:ascii="Baskerville Old Face" w:hAnsi="Baskerville Old Face"/>
                <w:lang w:val="en-GB"/>
              </w:rPr>
              <w:t>Total SCDs Processed</w:t>
            </w:r>
          </w:p>
        </w:tc>
        <w:tc>
          <w:tcPr>
            <w:tcW w:w="963" w:type="dxa"/>
          </w:tcPr>
          <w:p w14:paraId="125EB7DC" w14:textId="6CAB4BAE"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b/>
                <w:bCs/>
              </w:rPr>
              <w:t>5,487</w:t>
            </w:r>
          </w:p>
        </w:tc>
        <w:tc>
          <w:tcPr>
            <w:tcW w:w="963" w:type="dxa"/>
            <w:hideMark/>
          </w:tcPr>
          <w:p w14:paraId="4CD548CD" w14:textId="6B9D7357"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7,448</w:t>
            </w:r>
          </w:p>
        </w:tc>
        <w:tc>
          <w:tcPr>
            <w:tcW w:w="1591" w:type="dxa"/>
          </w:tcPr>
          <w:p w14:paraId="7638BE12" w14:textId="754CAF22" w:rsidR="00D02553" w:rsidRPr="00D02553"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rPr>
              <w:t>-1,961</w:t>
            </w:r>
          </w:p>
        </w:tc>
      </w:tr>
      <w:tr w:rsidR="00D02553" w:rsidRPr="0062044A" w14:paraId="6BE254EE" w14:textId="77777777" w:rsidTr="00D02553">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E415594" w14:textId="7BED533B" w:rsidR="00D02553" w:rsidRPr="00B86FAD" w:rsidRDefault="00D02553" w:rsidP="00D02553">
            <w:pPr>
              <w:jc w:val="both"/>
              <w:rPr>
                <w:rFonts w:ascii="Baskerville Old Face" w:hAnsi="Baskerville Old Face"/>
              </w:rPr>
            </w:pPr>
            <w:r w:rsidRPr="00B86FAD">
              <w:rPr>
                <w:rFonts w:ascii="Baskerville Old Face" w:hAnsi="Baskerville Old Face"/>
                <w:lang w:val="en-GB"/>
              </w:rPr>
              <w:t>Total Containers</w:t>
            </w:r>
          </w:p>
        </w:tc>
        <w:tc>
          <w:tcPr>
            <w:tcW w:w="963" w:type="dxa"/>
          </w:tcPr>
          <w:p w14:paraId="264E548E" w14:textId="035208BD" w:rsidR="00D02553" w:rsidRPr="0062044A"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D02553">
              <w:rPr>
                <w:rFonts w:ascii="Baskerville Old Face" w:hAnsi="Baskerville Old Face"/>
                <w:b/>
                <w:bCs/>
              </w:rPr>
              <w:t>4,781</w:t>
            </w:r>
          </w:p>
        </w:tc>
        <w:tc>
          <w:tcPr>
            <w:tcW w:w="963" w:type="dxa"/>
            <w:hideMark/>
          </w:tcPr>
          <w:p w14:paraId="6B7CF0D8" w14:textId="56C03216" w:rsidR="00D02553" w:rsidRPr="0062044A"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4,883</w:t>
            </w:r>
          </w:p>
        </w:tc>
        <w:tc>
          <w:tcPr>
            <w:tcW w:w="1591" w:type="dxa"/>
          </w:tcPr>
          <w:p w14:paraId="67881D8B" w14:textId="19E7A1D1" w:rsidR="00D02553" w:rsidRPr="00D02553"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D02553">
              <w:rPr>
                <w:rFonts w:ascii="Baskerville Old Face" w:hAnsi="Baskerville Old Face"/>
              </w:rPr>
              <w:t>-102</w:t>
            </w:r>
          </w:p>
        </w:tc>
      </w:tr>
      <w:tr w:rsidR="00D02553" w:rsidRPr="0062044A" w14:paraId="09F5E3DF" w14:textId="77777777" w:rsidTr="00D0255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4E11CD4" w14:textId="77777777" w:rsidR="00D02553" w:rsidRPr="00B86FAD" w:rsidRDefault="00D02553" w:rsidP="00D02553">
            <w:pPr>
              <w:jc w:val="both"/>
              <w:rPr>
                <w:rFonts w:ascii="Baskerville Old Face" w:hAnsi="Baskerville Old Face"/>
                <w:b w:val="0"/>
                <w:bCs w:val="0"/>
              </w:rPr>
            </w:pPr>
            <w:r w:rsidRPr="00B86FAD">
              <w:rPr>
                <w:rFonts w:ascii="Baskerville Old Face" w:hAnsi="Baskerville Old Face"/>
                <w:b w:val="0"/>
                <w:bCs w:val="0"/>
                <w:lang w:val="en-GB"/>
              </w:rPr>
              <w:t xml:space="preserve">40’ft </w:t>
            </w:r>
            <w:proofErr w:type="spellStart"/>
            <w:r w:rsidRPr="00B86FAD">
              <w:rPr>
                <w:rFonts w:ascii="Baskerville Old Face" w:hAnsi="Baskerville Old Face"/>
                <w:b w:val="0"/>
                <w:bCs w:val="0"/>
                <w:lang w:val="en-GB"/>
              </w:rPr>
              <w:t>Conts</w:t>
            </w:r>
            <w:proofErr w:type="spellEnd"/>
            <w:r w:rsidRPr="00B86FAD">
              <w:rPr>
                <w:rFonts w:ascii="Baskerville Old Face" w:hAnsi="Baskerville Old Face"/>
                <w:b w:val="0"/>
                <w:bCs w:val="0"/>
                <w:lang w:val="en-GB"/>
              </w:rPr>
              <w:t>.</w:t>
            </w:r>
          </w:p>
        </w:tc>
        <w:tc>
          <w:tcPr>
            <w:tcW w:w="963" w:type="dxa"/>
          </w:tcPr>
          <w:p w14:paraId="16808B3A" w14:textId="37B1CBB4"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D02553">
              <w:rPr>
                <w:rFonts w:ascii="Baskerville Old Face" w:hAnsi="Baskerville Old Face"/>
              </w:rPr>
              <w:t>4,668</w:t>
            </w:r>
          </w:p>
        </w:tc>
        <w:tc>
          <w:tcPr>
            <w:tcW w:w="963" w:type="dxa"/>
            <w:hideMark/>
          </w:tcPr>
          <w:p w14:paraId="2B1BE049" w14:textId="260E87E8"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4,741</w:t>
            </w:r>
          </w:p>
        </w:tc>
        <w:tc>
          <w:tcPr>
            <w:tcW w:w="1591" w:type="dxa"/>
          </w:tcPr>
          <w:p w14:paraId="0679CE8E" w14:textId="66378925" w:rsidR="00D02553" w:rsidRPr="00D02553"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rPr>
              <w:t>-73</w:t>
            </w:r>
          </w:p>
        </w:tc>
      </w:tr>
      <w:tr w:rsidR="00D02553" w:rsidRPr="0062044A" w14:paraId="4099DA56" w14:textId="77777777" w:rsidTr="00D02553">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933A406" w14:textId="77777777" w:rsidR="00D02553" w:rsidRPr="00B86FAD" w:rsidRDefault="00D02553" w:rsidP="00D02553">
            <w:pPr>
              <w:jc w:val="both"/>
              <w:rPr>
                <w:rFonts w:ascii="Baskerville Old Face" w:hAnsi="Baskerville Old Face"/>
                <w:b w:val="0"/>
                <w:bCs w:val="0"/>
              </w:rPr>
            </w:pPr>
            <w:r w:rsidRPr="00B86FAD">
              <w:rPr>
                <w:rFonts w:ascii="Baskerville Old Face" w:hAnsi="Baskerville Old Face"/>
                <w:b w:val="0"/>
                <w:bCs w:val="0"/>
                <w:lang w:val="en-GB"/>
              </w:rPr>
              <w:t xml:space="preserve">20’ft </w:t>
            </w:r>
            <w:proofErr w:type="spellStart"/>
            <w:r w:rsidRPr="00B86FAD">
              <w:rPr>
                <w:rFonts w:ascii="Baskerville Old Face" w:hAnsi="Baskerville Old Face"/>
                <w:b w:val="0"/>
                <w:bCs w:val="0"/>
                <w:lang w:val="en-GB"/>
              </w:rPr>
              <w:t>Conts</w:t>
            </w:r>
            <w:proofErr w:type="spellEnd"/>
            <w:r w:rsidRPr="00B86FAD">
              <w:rPr>
                <w:rFonts w:ascii="Baskerville Old Face" w:hAnsi="Baskerville Old Face"/>
                <w:b w:val="0"/>
                <w:bCs w:val="0"/>
                <w:lang w:val="en-GB"/>
              </w:rPr>
              <w:t>.</w:t>
            </w:r>
          </w:p>
        </w:tc>
        <w:tc>
          <w:tcPr>
            <w:tcW w:w="963" w:type="dxa"/>
          </w:tcPr>
          <w:p w14:paraId="67172ED6" w14:textId="50FD68E4" w:rsidR="00D02553" w:rsidRPr="0062044A"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D02553">
              <w:rPr>
                <w:rFonts w:ascii="Baskerville Old Face" w:hAnsi="Baskerville Old Face"/>
              </w:rPr>
              <w:t>113</w:t>
            </w:r>
          </w:p>
        </w:tc>
        <w:tc>
          <w:tcPr>
            <w:tcW w:w="963" w:type="dxa"/>
            <w:hideMark/>
          </w:tcPr>
          <w:p w14:paraId="0D2854FF" w14:textId="5C69EF88" w:rsidR="00D02553" w:rsidRPr="0062044A"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142</w:t>
            </w:r>
          </w:p>
        </w:tc>
        <w:tc>
          <w:tcPr>
            <w:tcW w:w="1591" w:type="dxa"/>
          </w:tcPr>
          <w:p w14:paraId="52D49661" w14:textId="7B952F72" w:rsidR="00D02553" w:rsidRPr="00D02553"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D02553">
              <w:rPr>
                <w:rFonts w:ascii="Baskerville Old Face" w:hAnsi="Baskerville Old Face"/>
              </w:rPr>
              <w:t>-29</w:t>
            </w:r>
          </w:p>
        </w:tc>
      </w:tr>
      <w:tr w:rsidR="00D02553" w:rsidRPr="0062044A" w14:paraId="48C07EF1" w14:textId="77777777" w:rsidTr="00D0255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959D993" w14:textId="21258A4C" w:rsidR="00D02553" w:rsidRPr="00B86FAD" w:rsidRDefault="00D02553" w:rsidP="00D02553">
            <w:pPr>
              <w:jc w:val="both"/>
              <w:rPr>
                <w:rFonts w:ascii="Baskerville Old Face" w:hAnsi="Baskerville Old Face"/>
              </w:rPr>
            </w:pPr>
            <w:r w:rsidRPr="00B86FAD">
              <w:rPr>
                <w:rFonts w:ascii="Baskerville Old Face" w:hAnsi="Baskerville Old Face"/>
                <w:lang w:val="en-GB"/>
              </w:rPr>
              <w:t>Total Packages</w:t>
            </w:r>
          </w:p>
        </w:tc>
        <w:tc>
          <w:tcPr>
            <w:tcW w:w="963" w:type="dxa"/>
          </w:tcPr>
          <w:p w14:paraId="0A1A2DC8" w14:textId="765A8150"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b/>
                <w:bCs/>
              </w:rPr>
              <w:t>1,206</w:t>
            </w:r>
          </w:p>
        </w:tc>
        <w:tc>
          <w:tcPr>
            <w:tcW w:w="963" w:type="dxa"/>
            <w:hideMark/>
          </w:tcPr>
          <w:p w14:paraId="36FCCF6B" w14:textId="7F6CC04C"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1,849</w:t>
            </w:r>
          </w:p>
        </w:tc>
        <w:tc>
          <w:tcPr>
            <w:tcW w:w="1591" w:type="dxa"/>
          </w:tcPr>
          <w:p w14:paraId="7F7864D0" w14:textId="254A34E8" w:rsidR="00D02553" w:rsidRPr="00D02553"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rPr>
              <w:t>-643</w:t>
            </w:r>
          </w:p>
        </w:tc>
      </w:tr>
      <w:tr w:rsidR="00D02553" w:rsidRPr="0062044A" w14:paraId="143C2D5D" w14:textId="77777777" w:rsidTr="00D02553">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1BD2B54D" w14:textId="77777777" w:rsidR="00D02553" w:rsidRPr="00B86FAD" w:rsidRDefault="00D02553" w:rsidP="00D02553">
            <w:pPr>
              <w:jc w:val="both"/>
              <w:rPr>
                <w:rFonts w:ascii="Baskerville Old Face" w:hAnsi="Baskerville Old Face"/>
                <w:b w:val="0"/>
                <w:bCs w:val="0"/>
              </w:rPr>
            </w:pPr>
            <w:r w:rsidRPr="00B86FAD">
              <w:rPr>
                <w:rFonts w:ascii="Baskerville Old Face" w:hAnsi="Baskerville Old Face"/>
                <w:b w:val="0"/>
                <w:bCs w:val="0"/>
                <w:lang w:val="en-GB"/>
              </w:rPr>
              <w:t>Dutiable</w:t>
            </w:r>
          </w:p>
        </w:tc>
        <w:tc>
          <w:tcPr>
            <w:tcW w:w="963" w:type="dxa"/>
          </w:tcPr>
          <w:p w14:paraId="23903EA6" w14:textId="4C367DC2" w:rsidR="00D02553" w:rsidRPr="0062044A" w:rsidRDefault="00E41956"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E41956">
              <w:rPr>
                <w:rFonts w:ascii="Baskerville Old Face" w:hAnsi="Baskerville Old Face"/>
              </w:rPr>
              <w:t>578</w:t>
            </w:r>
          </w:p>
        </w:tc>
        <w:tc>
          <w:tcPr>
            <w:tcW w:w="963" w:type="dxa"/>
            <w:hideMark/>
          </w:tcPr>
          <w:p w14:paraId="7D8204F7" w14:textId="295B0309" w:rsidR="00D02553" w:rsidRPr="0062044A"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1,397</w:t>
            </w:r>
          </w:p>
        </w:tc>
        <w:tc>
          <w:tcPr>
            <w:tcW w:w="1591" w:type="dxa"/>
          </w:tcPr>
          <w:p w14:paraId="6A7B38BA" w14:textId="2ADC71F0" w:rsidR="00D02553" w:rsidRPr="00D02553" w:rsidRDefault="00D02553" w:rsidP="00D02553">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D02553">
              <w:rPr>
                <w:rFonts w:ascii="Baskerville Old Face" w:hAnsi="Baskerville Old Face"/>
              </w:rPr>
              <w:t>3,332</w:t>
            </w:r>
          </w:p>
        </w:tc>
      </w:tr>
      <w:tr w:rsidR="00D02553" w:rsidRPr="0062044A" w14:paraId="7B5A4EA6" w14:textId="77777777" w:rsidTr="00D0255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83" w:type="dxa"/>
            <w:hideMark/>
          </w:tcPr>
          <w:p w14:paraId="63A4F870" w14:textId="77777777" w:rsidR="00D02553" w:rsidRPr="00B86FAD" w:rsidRDefault="00D02553" w:rsidP="00D02553">
            <w:pPr>
              <w:jc w:val="both"/>
              <w:rPr>
                <w:rFonts w:ascii="Baskerville Old Face" w:hAnsi="Baskerville Old Face"/>
                <w:b w:val="0"/>
                <w:bCs w:val="0"/>
              </w:rPr>
            </w:pPr>
            <w:r w:rsidRPr="00B86FAD">
              <w:rPr>
                <w:rFonts w:ascii="Baskerville Old Face" w:hAnsi="Baskerville Old Face"/>
                <w:b w:val="0"/>
                <w:bCs w:val="0"/>
                <w:lang w:val="en-GB"/>
              </w:rPr>
              <w:t>Duty-Free</w:t>
            </w:r>
          </w:p>
        </w:tc>
        <w:tc>
          <w:tcPr>
            <w:tcW w:w="963" w:type="dxa"/>
          </w:tcPr>
          <w:p w14:paraId="37A41F96" w14:textId="1C48CAFC" w:rsidR="00D02553" w:rsidRPr="0062044A" w:rsidRDefault="00E41956"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E41956">
              <w:rPr>
                <w:rFonts w:ascii="Baskerville Old Face" w:hAnsi="Baskerville Old Face"/>
              </w:rPr>
              <w:t>628</w:t>
            </w:r>
          </w:p>
        </w:tc>
        <w:tc>
          <w:tcPr>
            <w:tcW w:w="963" w:type="dxa"/>
            <w:hideMark/>
          </w:tcPr>
          <w:p w14:paraId="4ADBCE9B" w14:textId="6FC019A1" w:rsidR="00D02553" w:rsidRPr="0062044A"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452</w:t>
            </w:r>
          </w:p>
        </w:tc>
        <w:tc>
          <w:tcPr>
            <w:tcW w:w="1591" w:type="dxa"/>
          </w:tcPr>
          <w:p w14:paraId="147F8692" w14:textId="660BCCDE" w:rsidR="00D02553" w:rsidRPr="00D02553" w:rsidRDefault="00D02553" w:rsidP="00D0255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D02553">
              <w:rPr>
                <w:rFonts w:ascii="Baskerville Old Face" w:hAnsi="Baskerville Old Face"/>
              </w:rPr>
              <w:t>-400</w:t>
            </w:r>
          </w:p>
        </w:tc>
      </w:tr>
    </w:tbl>
    <w:p w14:paraId="5B73BE00"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4B7CA8FE" w14:textId="4BF6B8E6" w:rsidR="00292A98" w:rsidRPr="00292695" w:rsidRDefault="00520DD2" w:rsidP="00395E0D">
      <w:pPr>
        <w:pStyle w:val="Heading2"/>
        <w:rPr>
          <w:rFonts w:ascii="Baskerville Old Face" w:hAnsi="Baskerville Old Face"/>
          <w:b/>
          <w:bCs/>
        </w:rPr>
      </w:pPr>
      <w:bookmarkStart w:id="102" w:name="_Toc198043953"/>
      <w:r w:rsidRPr="00292695">
        <w:rPr>
          <w:rFonts w:ascii="Baskerville Old Face" w:hAnsi="Baskerville Old Face"/>
          <w:b/>
          <w:bCs/>
        </w:rPr>
        <w:t xml:space="preserve">4.13 </w:t>
      </w:r>
      <w:r w:rsidR="00116D56" w:rsidRPr="00292695">
        <w:rPr>
          <w:rFonts w:ascii="Baskerville Old Face" w:hAnsi="Baskerville Old Face"/>
          <w:b/>
          <w:bCs/>
        </w:rPr>
        <w:t>VEHICLE CLEARANCE UNIT</w:t>
      </w:r>
      <w:bookmarkEnd w:id="102"/>
    </w:p>
    <w:p w14:paraId="5A80C2F9" w14:textId="4FB10463" w:rsidR="00292695" w:rsidRDefault="00292A98" w:rsidP="00655D88">
      <w:pPr>
        <w:spacing w:line="276" w:lineRule="auto"/>
        <w:jc w:val="both"/>
        <w:rPr>
          <w:rFonts w:ascii="Baskerville Old Face" w:hAnsi="Baskerville Old Face" w:cs="Times New Roman"/>
          <w:sz w:val="24"/>
          <w:szCs w:val="24"/>
        </w:rPr>
      </w:pPr>
      <w:bookmarkStart w:id="103" w:name="_Hlk195533289"/>
      <w:r w:rsidRPr="00292A98">
        <w:rPr>
          <w:rFonts w:ascii="Baskerville Old Face" w:hAnsi="Baskerville Old Face" w:cs="Times New Roman"/>
          <w:sz w:val="24"/>
          <w:szCs w:val="24"/>
        </w:rPr>
        <w:t xml:space="preserve">The Vehicles Valuation Unit is tasked with evaluating the values of imported vehicles, motorcycles, machinery, and boats. During the </w:t>
      </w:r>
      <w:r>
        <w:rPr>
          <w:rFonts w:ascii="Baskerville Old Face" w:hAnsi="Baskerville Old Face" w:cs="Times New Roman"/>
          <w:sz w:val="24"/>
          <w:szCs w:val="24"/>
        </w:rPr>
        <w:t xml:space="preserve">year </w:t>
      </w:r>
      <w:r w:rsidRPr="00292A98">
        <w:rPr>
          <w:rFonts w:ascii="Baskerville Old Face" w:hAnsi="Baskerville Old Face" w:cs="Times New Roman"/>
          <w:sz w:val="24"/>
          <w:szCs w:val="24"/>
        </w:rPr>
        <w:t xml:space="preserve">under review, </w:t>
      </w:r>
      <w:r w:rsidRPr="00B12A61">
        <w:rPr>
          <w:rFonts w:ascii="Baskerville Old Face" w:hAnsi="Baskerville Old Face" w:cs="Times New Roman"/>
          <w:sz w:val="24"/>
          <w:szCs w:val="24"/>
        </w:rPr>
        <w:t xml:space="preserve">the Unit processed a total of </w:t>
      </w:r>
      <w:r w:rsidR="00456085" w:rsidRPr="00B12A61">
        <w:rPr>
          <w:rFonts w:ascii="Baskerville Old Face" w:hAnsi="Baskerville Old Face" w:cs="Times New Roman"/>
          <w:sz w:val="24"/>
          <w:szCs w:val="24"/>
        </w:rPr>
        <w:t>9,768</w:t>
      </w:r>
      <w:r w:rsidRPr="00B12A61">
        <w:rPr>
          <w:rFonts w:ascii="Baskerville Old Face" w:hAnsi="Baskerville Old Face" w:cs="Times New Roman"/>
          <w:sz w:val="24"/>
          <w:szCs w:val="24"/>
        </w:rPr>
        <w:t xml:space="preserve"> declarations, </w:t>
      </w:r>
      <w:r w:rsidR="006C72A7">
        <w:rPr>
          <w:rFonts w:ascii="Baskerville Old Face" w:hAnsi="Baskerville Old Face" w:cs="Times New Roman"/>
          <w:sz w:val="24"/>
          <w:szCs w:val="24"/>
        </w:rPr>
        <w:t>higher</w:t>
      </w:r>
      <w:r w:rsidRPr="00B12A61">
        <w:rPr>
          <w:rFonts w:ascii="Baskerville Old Face" w:hAnsi="Baskerville Old Face" w:cs="Times New Roman"/>
          <w:sz w:val="24"/>
          <w:szCs w:val="24"/>
        </w:rPr>
        <w:t xml:space="preserve"> than the 9,</w:t>
      </w:r>
      <w:r w:rsidR="00456085" w:rsidRPr="00B12A61">
        <w:rPr>
          <w:rFonts w:ascii="Baskerville Old Face" w:hAnsi="Baskerville Old Face" w:cs="Times New Roman"/>
          <w:sz w:val="24"/>
          <w:szCs w:val="24"/>
        </w:rPr>
        <w:t>522</w:t>
      </w:r>
      <w:r w:rsidRPr="00B12A61">
        <w:rPr>
          <w:rFonts w:ascii="Baskerville Old Face" w:hAnsi="Baskerville Old Face" w:cs="Times New Roman"/>
          <w:sz w:val="24"/>
          <w:szCs w:val="24"/>
        </w:rPr>
        <w:t xml:space="preserve"> declarations processed in 202</w:t>
      </w:r>
      <w:r w:rsidR="00456085" w:rsidRPr="00B12A61">
        <w:rPr>
          <w:rFonts w:ascii="Baskerville Old Face" w:hAnsi="Baskerville Old Face" w:cs="Times New Roman"/>
          <w:sz w:val="24"/>
          <w:szCs w:val="24"/>
        </w:rPr>
        <w:t>3</w:t>
      </w:r>
      <w:r w:rsidRPr="00B12A61">
        <w:rPr>
          <w:rFonts w:ascii="Baskerville Old Face" w:hAnsi="Baskerville Old Face" w:cs="Times New Roman"/>
          <w:sz w:val="24"/>
          <w:szCs w:val="24"/>
        </w:rPr>
        <w:t xml:space="preserve">. </w:t>
      </w:r>
      <w:r w:rsidR="00456085" w:rsidRPr="00B12A61">
        <w:rPr>
          <w:rFonts w:ascii="Baskerville Old Face" w:hAnsi="Baskerville Old Face" w:cs="Times New Roman"/>
          <w:sz w:val="24"/>
          <w:szCs w:val="24"/>
        </w:rPr>
        <w:t>The Unit</w:t>
      </w:r>
      <w:r w:rsidRPr="00B12A61">
        <w:rPr>
          <w:rFonts w:ascii="Baskerville Old Face" w:hAnsi="Baskerville Old Face" w:cs="Times New Roman"/>
          <w:sz w:val="24"/>
          <w:szCs w:val="24"/>
        </w:rPr>
        <w:t xml:space="preserve"> generate</w:t>
      </w:r>
      <w:r w:rsidR="00456085" w:rsidRPr="00B12A61">
        <w:rPr>
          <w:rFonts w:ascii="Baskerville Old Face" w:hAnsi="Baskerville Old Face" w:cs="Times New Roman"/>
          <w:sz w:val="24"/>
          <w:szCs w:val="24"/>
        </w:rPr>
        <w:t>d</w:t>
      </w:r>
      <w:r w:rsidRPr="00B12A61">
        <w:rPr>
          <w:rFonts w:ascii="Baskerville Old Face" w:hAnsi="Baskerville Old Face" w:cs="Times New Roman"/>
          <w:sz w:val="24"/>
          <w:szCs w:val="24"/>
        </w:rPr>
        <w:t xml:space="preserve"> revenue of </w:t>
      </w:r>
      <w:proofErr w:type="spellStart"/>
      <w:r w:rsidRPr="00B12A61">
        <w:rPr>
          <w:rFonts w:ascii="Baskerville Old Face" w:hAnsi="Baskerville Old Face" w:cs="Times New Roman"/>
          <w:sz w:val="24"/>
          <w:szCs w:val="24"/>
        </w:rPr>
        <w:t>NLe</w:t>
      </w:r>
      <w:proofErr w:type="spellEnd"/>
      <w:r w:rsidRPr="00B12A61">
        <w:rPr>
          <w:rFonts w:ascii="Baskerville Old Face" w:hAnsi="Baskerville Old Face" w:cs="Times New Roman"/>
          <w:sz w:val="24"/>
          <w:szCs w:val="24"/>
        </w:rPr>
        <w:t xml:space="preserve"> </w:t>
      </w:r>
      <w:r w:rsidR="00456085" w:rsidRPr="00B12A61">
        <w:rPr>
          <w:rFonts w:ascii="Baskerville Old Face" w:hAnsi="Baskerville Old Face" w:cs="Times New Roman"/>
          <w:sz w:val="24"/>
          <w:szCs w:val="24"/>
        </w:rPr>
        <w:t>413.825</w:t>
      </w:r>
      <w:r w:rsidRPr="00DF1F7B">
        <w:rPr>
          <w:rFonts w:ascii="Baskerville Old Face" w:hAnsi="Baskerville Old Face" w:cs="Times New Roman"/>
          <w:b/>
          <w:bCs/>
          <w:sz w:val="24"/>
          <w:szCs w:val="24"/>
        </w:rPr>
        <w:t xml:space="preserve"> </w:t>
      </w:r>
      <w:r w:rsidRPr="00B12A61">
        <w:rPr>
          <w:rFonts w:ascii="Baskerville Old Face" w:hAnsi="Baskerville Old Face" w:cs="Times New Roman"/>
          <w:sz w:val="24"/>
          <w:szCs w:val="24"/>
        </w:rPr>
        <w:t>million from various</w:t>
      </w:r>
      <w:r w:rsidRPr="00292A98">
        <w:rPr>
          <w:rFonts w:ascii="Baskerville Old Face" w:hAnsi="Baskerville Old Face" w:cs="Times New Roman"/>
          <w:sz w:val="24"/>
          <w:szCs w:val="24"/>
        </w:rPr>
        <w:t xml:space="preserve"> vehicle types, compared to the </w:t>
      </w:r>
      <w:proofErr w:type="spellStart"/>
      <w:r w:rsidRPr="00292A98">
        <w:rPr>
          <w:rFonts w:ascii="Baskerville Old Face" w:hAnsi="Baskerville Old Face" w:cs="Times New Roman"/>
          <w:sz w:val="24"/>
          <w:szCs w:val="24"/>
        </w:rPr>
        <w:t>NLe</w:t>
      </w:r>
      <w:proofErr w:type="spellEnd"/>
      <w:r w:rsidRPr="00292A98">
        <w:rPr>
          <w:rFonts w:ascii="Baskerville Old Face" w:hAnsi="Baskerville Old Face" w:cs="Times New Roman"/>
          <w:sz w:val="24"/>
          <w:szCs w:val="24"/>
        </w:rPr>
        <w:t xml:space="preserve"> </w:t>
      </w:r>
      <w:r w:rsidR="00456085">
        <w:rPr>
          <w:rFonts w:ascii="Baskerville Old Face" w:hAnsi="Baskerville Old Face" w:cs="Times New Roman"/>
          <w:sz w:val="24"/>
          <w:szCs w:val="24"/>
        </w:rPr>
        <w:t>357</w:t>
      </w:r>
      <w:r w:rsidRPr="00292A98">
        <w:rPr>
          <w:rFonts w:ascii="Baskerville Old Face" w:hAnsi="Baskerville Old Face" w:cs="Times New Roman"/>
          <w:sz w:val="24"/>
          <w:szCs w:val="24"/>
        </w:rPr>
        <w:t>,</w:t>
      </w:r>
      <w:r w:rsidR="00456085">
        <w:rPr>
          <w:rFonts w:ascii="Baskerville Old Face" w:hAnsi="Baskerville Old Face" w:cs="Times New Roman"/>
          <w:sz w:val="24"/>
          <w:szCs w:val="24"/>
        </w:rPr>
        <w:t>276</w:t>
      </w:r>
      <w:r w:rsidRPr="00292A98">
        <w:rPr>
          <w:rFonts w:ascii="Baskerville Old Face" w:hAnsi="Baskerville Old Face" w:cs="Times New Roman"/>
          <w:sz w:val="24"/>
          <w:szCs w:val="24"/>
        </w:rPr>
        <w:t xml:space="preserve"> million collected in 202</w:t>
      </w:r>
      <w:r w:rsidR="00456085">
        <w:rPr>
          <w:rFonts w:ascii="Baskerville Old Face" w:hAnsi="Baskerville Old Face" w:cs="Times New Roman"/>
          <w:sz w:val="24"/>
          <w:szCs w:val="24"/>
        </w:rPr>
        <w:t>3</w:t>
      </w:r>
      <w:r w:rsidRPr="00292A98">
        <w:rPr>
          <w:rFonts w:ascii="Baskerville Old Face" w:hAnsi="Baskerville Old Face" w:cs="Times New Roman"/>
          <w:sz w:val="24"/>
          <w:szCs w:val="24"/>
        </w:rPr>
        <w:t xml:space="preserve">, as indicated in </w:t>
      </w:r>
      <w:r w:rsidRPr="0039146F">
        <w:rPr>
          <w:rFonts w:ascii="Baskerville Old Face" w:hAnsi="Baskerville Old Face" w:cs="Times New Roman"/>
          <w:sz w:val="24"/>
          <w:szCs w:val="24"/>
        </w:rPr>
        <w:t xml:space="preserve">Table </w:t>
      </w:r>
      <w:r w:rsidR="00C340BA" w:rsidRPr="0039146F">
        <w:rPr>
          <w:rFonts w:ascii="Baskerville Old Face" w:hAnsi="Baskerville Old Face" w:cs="Times New Roman"/>
          <w:sz w:val="24"/>
          <w:szCs w:val="24"/>
        </w:rPr>
        <w:t>2</w:t>
      </w:r>
      <w:r w:rsidR="0039146F">
        <w:rPr>
          <w:rFonts w:ascii="Baskerville Old Face" w:hAnsi="Baskerville Old Face" w:cs="Times New Roman"/>
          <w:sz w:val="24"/>
          <w:szCs w:val="24"/>
        </w:rPr>
        <w:t>6</w:t>
      </w:r>
      <w:r w:rsidRPr="00292A98">
        <w:rPr>
          <w:rFonts w:ascii="Baskerville Old Face" w:hAnsi="Baskerville Old Face" w:cs="Times New Roman"/>
          <w:sz w:val="24"/>
          <w:szCs w:val="24"/>
        </w:rPr>
        <w:t xml:space="preserve">. </w:t>
      </w:r>
    </w:p>
    <w:p w14:paraId="3B836D85" w14:textId="77777777" w:rsidR="004D120F" w:rsidRDefault="004D120F" w:rsidP="00655D88">
      <w:pPr>
        <w:spacing w:line="276" w:lineRule="auto"/>
        <w:jc w:val="both"/>
        <w:rPr>
          <w:rFonts w:ascii="Baskerville Old Face" w:hAnsi="Baskerville Old Face" w:cs="Times New Roman"/>
          <w:sz w:val="24"/>
          <w:szCs w:val="24"/>
        </w:rPr>
      </w:pPr>
    </w:p>
    <w:p w14:paraId="2FF61EB2" w14:textId="77777777" w:rsidR="004D120F" w:rsidRDefault="004D120F" w:rsidP="00655D88">
      <w:pPr>
        <w:spacing w:line="276" w:lineRule="auto"/>
        <w:jc w:val="both"/>
        <w:rPr>
          <w:rFonts w:ascii="Baskerville Old Face" w:hAnsi="Baskerville Old Face" w:cs="Times New Roman"/>
          <w:sz w:val="24"/>
          <w:szCs w:val="24"/>
        </w:rPr>
      </w:pPr>
    </w:p>
    <w:p w14:paraId="5D0075E2" w14:textId="77777777" w:rsidR="004D120F" w:rsidRDefault="004D120F" w:rsidP="00655D88">
      <w:pPr>
        <w:spacing w:line="276" w:lineRule="auto"/>
        <w:jc w:val="both"/>
        <w:rPr>
          <w:rFonts w:ascii="Baskerville Old Face" w:hAnsi="Baskerville Old Face" w:cs="Times New Roman"/>
          <w:sz w:val="24"/>
          <w:szCs w:val="24"/>
        </w:rPr>
      </w:pPr>
    </w:p>
    <w:p w14:paraId="5BB2FA3C" w14:textId="77777777" w:rsidR="004D120F" w:rsidRDefault="004D120F" w:rsidP="00655D88">
      <w:pPr>
        <w:spacing w:line="276" w:lineRule="auto"/>
        <w:jc w:val="both"/>
        <w:rPr>
          <w:rFonts w:ascii="Baskerville Old Face" w:hAnsi="Baskerville Old Face" w:cs="Times New Roman"/>
          <w:sz w:val="24"/>
          <w:szCs w:val="24"/>
        </w:rPr>
      </w:pPr>
    </w:p>
    <w:p w14:paraId="729E8BA2" w14:textId="77777777" w:rsidR="004D120F" w:rsidRDefault="004D120F" w:rsidP="00655D88">
      <w:pPr>
        <w:spacing w:line="276" w:lineRule="auto"/>
        <w:jc w:val="both"/>
        <w:rPr>
          <w:rFonts w:ascii="Baskerville Old Face" w:hAnsi="Baskerville Old Face" w:cs="Times New Roman"/>
          <w:sz w:val="24"/>
          <w:szCs w:val="24"/>
        </w:rPr>
      </w:pPr>
    </w:p>
    <w:p w14:paraId="4F76CFC3" w14:textId="65B43D04" w:rsidR="0071721B" w:rsidRPr="002465E3" w:rsidRDefault="0071721B" w:rsidP="0071721B">
      <w:pPr>
        <w:pStyle w:val="Caption"/>
        <w:keepNext/>
        <w:rPr>
          <w:rFonts w:ascii="Baskerville Old Face" w:hAnsi="Baskerville Old Face"/>
          <w:b/>
          <w:bCs/>
          <w:sz w:val="24"/>
          <w:szCs w:val="24"/>
        </w:rPr>
      </w:pPr>
      <w:bookmarkStart w:id="104" w:name="_Toc198044044"/>
      <w:bookmarkEnd w:id="103"/>
      <w:r w:rsidRPr="002465E3">
        <w:rPr>
          <w:rFonts w:ascii="Baskerville Old Face" w:hAnsi="Baskerville Old Face"/>
          <w:b/>
          <w:bCs/>
          <w:sz w:val="24"/>
          <w:szCs w:val="24"/>
        </w:rPr>
        <w:lastRenderedPageBreak/>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26</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Number of Declarations and Revenue Collection by the Vehicle Unit in 2024 and 2023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w:t>
      </w:r>
      <w:bookmarkEnd w:id="104"/>
    </w:p>
    <w:tbl>
      <w:tblPr>
        <w:tblStyle w:val="GridTable4-Accent61"/>
        <w:tblW w:w="10272" w:type="dxa"/>
        <w:jc w:val="center"/>
        <w:tblLook w:val="04A0" w:firstRow="1" w:lastRow="0" w:firstColumn="1" w:lastColumn="0" w:noHBand="0" w:noVBand="1"/>
      </w:tblPr>
      <w:tblGrid>
        <w:gridCol w:w="1360"/>
        <w:gridCol w:w="2190"/>
        <w:gridCol w:w="2170"/>
        <w:gridCol w:w="2105"/>
        <w:gridCol w:w="2447"/>
      </w:tblGrid>
      <w:tr w:rsidR="00456085" w:rsidRPr="00456085" w14:paraId="6E3E3D5E" w14:textId="77777777" w:rsidTr="0045608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vMerge w:val="restart"/>
            <w:noWrap/>
            <w:hideMark/>
          </w:tcPr>
          <w:p w14:paraId="48D81EAA" w14:textId="77777777" w:rsidR="00456085" w:rsidRPr="00456085" w:rsidRDefault="00456085" w:rsidP="00456085">
            <w:pPr>
              <w:jc w:val="center"/>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Description</w:t>
            </w:r>
          </w:p>
        </w:tc>
        <w:tc>
          <w:tcPr>
            <w:tcW w:w="4360" w:type="dxa"/>
            <w:gridSpan w:val="2"/>
            <w:noWrap/>
            <w:hideMark/>
          </w:tcPr>
          <w:p w14:paraId="261D2D03" w14:textId="77777777" w:rsidR="00456085" w:rsidRPr="00456085" w:rsidRDefault="00456085" w:rsidP="0045608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2024</w:t>
            </w:r>
          </w:p>
        </w:tc>
        <w:tc>
          <w:tcPr>
            <w:tcW w:w="4552" w:type="dxa"/>
            <w:gridSpan w:val="2"/>
            <w:noWrap/>
            <w:hideMark/>
          </w:tcPr>
          <w:p w14:paraId="485489FB" w14:textId="77777777" w:rsidR="00456085" w:rsidRPr="00456085" w:rsidRDefault="00456085" w:rsidP="00456085">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2023</w:t>
            </w:r>
          </w:p>
        </w:tc>
      </w:tr>
      <w:tr w:rsidR="00456085" w:rsidRPr="00456085" w14:paraId="7BCC1B64"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vMerge/>
            <w:hideMark/>
          </w:tcPr>
          <w:p w14:paraId="64C54186" w14:textId="77777777" w:rsidR="00456085" w:rsidRPr="00456085" w:rsidRDefault="00456085" w:rsidP="00456085">
            <w:pPr>
              <w:rPr>
                <w:rFonts w:ascii="Baskerville Old Face" w:eastAsia="Times New Roman" w:hAnsi="Baskerville Old Face" w:cs="Times New Roman"/>
                <w:color w:val="000000"/>
              </w:rPr>
            </w:pPr>
          </w:p>
        </w:tc>
        <w:tc>
          <w:tcPr>
            <w:tcW w:w="2190" w:type="dxa"/>
            <w:noWrap/>
            <w:hideMark/>
          </w:tcPr>
          <w:p w14:paraId="7E6F8D9D"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No. Of Declarations</w:t>
            </w:r>
          </w:p>
        </w:tc>
        <w:tc>
          <w:tcPr>
            <w:tcW w:w="2170" w:type="dxa"/>
            <w:noWrap/>
            <w:hideMark/>
          </w:tcPr>
          <w:p w14:paraId="1898BB5F" w14:textId="023FD70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Revenue Collected</w:t>
            </w:r>
          </w:p>
        </w:tc>
        <w:tc>
          <w:tcPr>
            <w:tcW w:w="2105" w:type="dxa"/>
            <w:noWrap/>
            <w:hideMark/>
          </w:tcPr>
          <w:p w14:paraId="3658DE64"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No. Of Declarations</w:t>
            </w:r>
          </w:p>
        </w:tc>
        <w:tc>
          <w:tcPr>
            <w:tcW w:w="2447" w:type="dxa"/>
            <w:noWrap/>
            <w:hideMark/>
          </w:tcPr>
          <w:p w14:paraId="0A58629F" w14:textId="47CEC758"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Revenue Collected</w:t>
            </w:r>
          </w:p>
        </w:tc>
      </w:tr>
      <w:tr w:rsidR="00456085" w:rsidRPr="00456085" w14:paraId="7E252B06"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6043BCEB"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Cars</w:t>
            </w:r>
          </w:p>
        </w:tc>
        <w:tc>
          <w:tcPr>
            <w:tcW w:w="2190" w:type="dxa"/>
            <w:noWrap/>
            <w:hideMark/>
          </w:tcPr>
          <w:p w14:paraId="21B36B4C"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1,299</w:t>
            </w:r>
          </w:p>
        </w:tc>
        <w:tc>
          <w:tcPr>
            <w:tcW w:w="2170" w:type="dxa"/>
            <w:noWrap/>
            <w:hideMark/>
          </w:tcPr>
          <w:p w14:paraId="7B2819F9"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34,694,800.76</w:t>
            </w:r>
          </w:p>
        </w:tc>
        <w:tc>
          <w:tcPr>
            <w:tcW w:w="2105" w:type="dxa"/>
            <w:noWrap/>
            <w:hideMark/>
          </w:tcPr>
          <w:p w14:paraId="4C795DB7"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2,910</w:t>
            </w:r>
          </w:p>
        </w:tc>
        <w:tc>
          <w:tcPr>
            <w:tcW w:w="2447" w:type="dxa"/>
            <w:noWrap/>
            <w:hideMark/>
          </w:tcPr>
          <w:p w14:paraId="670D23D9" w14:textId="55DA483F"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29,391,242.00</w:t>
            </w:r>
          </w:p>
        </w:tc>
      </w:tr>
      <w:tr w:rsidR="00456085" w:rsidRPr="00456085" w14:paraId="0170F9A4"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72F0744C"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Jeeps</w:t>
            </w:r>
          </w:p>
        </w:tc>
        <w:tc>
          <w:tcPr>
            <w:tcW w:w="2190" w:type="dxa"/>
            <w:noWrap/>
            <w:hideMark/>
          </w:tcPr>
          <w:p w14:paraId="0DAA6FD7"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5,120</w:t>
            </w:r>
          </w:p>
        </w:tc>
        <w:tc>
          <w:tcPr>
            <w:tcW w:w="2170" w:type="dxa"/>
            <w:noWrap/>
            <w:hideMark/>
          </w:tcPr>
          <w:p w14:paraId="5E9131B1"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69,590,917.36</w:t>
            </w:r>
          </w:p>
        </w:tc>
        <w:tc>
          <w:tcPr>
            <w:tcW w:w="2105" w:type="dxa"/>
            <w:noWrap/>
            <w:hideMark/>
          </w:tcPr>
          <w:p w14:paraId="032C420D"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4,283</w:t>
            </w:r>
          </w:p>
        </w:tc>
        <w:tc>
          <w:tcPr>
            <w:tcW w:w="2447" w:type="dxa"/>
            <w:noWrap/>
            <w:hideMark/>
          </w:tcPr>
          <w:p w14:paraId="53EE8BAB" w14:textId="0BC4B8D8"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49,254,500.00</w:t>
            </w:r>
          </w:p>
        </w:tc>
      </w:tr>
      <w:tr w:rsidR="00456085" w:rsidRPr="00456085" w14:paraId="18EA24F6"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6625BCE0"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Vans</w:t>
            </w:r>
          </w:p>
        </w:tc>
        <w:tc>
          <w:tcPr>
            <w:tcW w:w="2190" w:type="dxa"/>
            <w:noWrap/>
            <w:hideMark/>
          </w:tcPr>
          <w:p w14:paraId="50CBD556"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1,689</w:t>
            </w:r>
          </w:p>
        </w:tc>
        <w:tc>
          <w:tcPr>
            <w:tcW w:w="2170" w:type="dxa"/>
            <w:noWrap/>
            <w:hideMark/>
          </w:tcPr>
          <w:p w14:paraId="36C42221"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35,288,640.25</w:t>
            </w:r>
          </w:p>
        </w:tc>
        <w:tc>
          <w:tcPr>
            <w:tcW w:w="2105" w:type="dxa"/>
            <w:noWrap/>
            <w:hideMark/>
          </w:tcPr>
          <w:p w14:paraId="1D5E1652"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1,712</w:t>
            </w:r>
          </w:p>
        </w:tc>
        <w:tc>
          <w:tcPr>
            <w:tcW w:w="2447" w:type="dxa"/>
            <w:noWrap/>
            <w:hideMark/>
          </w:tcPr>
          <w:p w14:paraId="3D8B0275" w14:textId="6EC41F2B"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18,318,400.00</w:t>
            </w:r>
          </w:p>
        </w:tc>
      </w:tr>
      <w:tr w:rsidR="00456085" w:rsidRPr="00456085" w14:paraId="75C19E99"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6998BEC4"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Buses</w:t>
            </w:r>
          </w:p>
        </w:tc>
        <w:tc>
          <w:tcPr>
            <w:tcW w:w="2190" w:type="dxa"/>
            <w:noWrap/>
            <w:hideMark/>
          </w:tcPr>
          <w:p w14:paraId="23DB5765"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63</w:t>
            </w:r>
          </w:p>
        </w:tc>
        <w:tc>
          <w:tcPr>
            <w:tcW w:w="2170" w:type="dxa"/>
            <w:noWrap/>
            <w:hideMark/>
          </w:tcPr>
          <w:p w14:paraId="30B490A3"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1,169,640.04</w:t>
            </w:r>
          </w:p>
        </w:tc>
        <w:tc>
          <w:tcPr>
            <w:tcW w:w="2105" w:type="dxa"/>
            <w:noWrap/>
            <w:hideMark/>
          </w:tcPr>
          <w:p w14:paraId="1A1D99FB"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102</w:t>
            </w:r>
          </w:p>
        </w:tc>
        <w:tc>
          <w:tcPr>
            <w:tcW w:w="2447" w:type="dxa"/>
            <w:noWrap/>
            <w:hideMark/>
          </w:tcPr>
          <w:p w14:paraId="7CA8E0B6" w14:textId="335E4864"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1,122,347.00</w:t>
            </w:r>
          </w:p>
        </w:tc>
      </w:tr>
      <w:tr w:rsidR="00456085" w:rsidRPr="00456085" w14:paraId="44C06DB7"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1FEE56C9"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Motorcycles</w:t>
            </w:r>
          </w:p>
        </w:tc>
        <w:tc>
          <w:tcPr>
            <w:tcW w:w="2190" w:type="dxa"/>
            <w:noWrap/>
            <w:hideMark/>
          </w:tcPr>
          <w:p w14:paraId="15841299"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225</w:t>
            </w:r>
          </w:p>
        </w:tc>
        <w:tc>
          <w:tcPr>
            <w:tcW w:w="2170" w:type="dxa"/>
            <w:noWrap/>
            <w:hideMark/>
          </w:tcPr>
          <w:p w14:paraId="06CA2631"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125,583,500.80</w:t>
            </w:r>
          </w:p>
        </w:tc>
        <w:tc>
          <w:tcPr>
            <w:tcW w:w="2105" w:type="dxa"/>
            <w:noWrap/>
            <w:hideMark/>
          </w:tcPr>
          <w:p w14:paraId="1427D888"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114</w:t>
            </w:r>
          </w:p>
        </w:tc>
        <w:tc>
          <w:tcPr>
            <w:tcW w:w="2447" w:type="dxa"/>
            <w:noWrap/>
            <w:hideMark/>
          </w:tcPr>
          <w:p w14:paraId="57AA8BC2" w14:textId="3A6DF3F9"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112,410,124.00</w:t>
            </w:r>
          </w:p>
        </w:tc>
      </w:tr>
      <w:tr w:rsidR="00456085" w:rsidRPr="00456085" w14:paraId="697C5819"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253DCFF6"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Machines</w:t>
            </w:r>
          </w:p>
        </w:tc>
        <w:tc>
          <w:tcPr>
            <w:tcW w:w="2190" w:type="dxa"/>
            <w:noWrap/>
            <w:hideMark/>
          </w:tcPr>
          <w:p w14:paraId="4F5FD8F9"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425</w:t>
            </w:r>
          </w:p>
        </w:tc>
        <w:tc>
          <w:tcPr>
            <w:tcW w:w="2170" w:type="dxa"/>
            <w:noWrap/>
            <w:hideMark/>
          </w:tcPr>
          <w:p w14:paraId="2B13A2AC"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38,476,500.85</w:t>
            </w:r>
          </w:p>
        </w:tc>
        <w:tc>
          <w:tcPr>
            <w:tcW w:w="2105" w:type="dxa"/>
            <w:noWrap/>
            <w:hideMark/>
          </w:tcPr>
          <w:p w14:paraId="2B546EA3"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248</w:t>
            </w:r>
          </w:p>
        </w:tc>
        <w:tc>
          <w:tcPr>
            <w:tcW w:w="2447" w:type="dxa"/>
            <w:noWrap/>
            <w:hideMark/>
          </w:tcPr>
          <w:p w14:paraId="612527FF" w14:textId="450C678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145,242,130.00</w:t>
            </w:r>
          </w:p>
        </w:tc>
      </w:tr>
      <w:tr w:rsidR="00456085" w:rsidRPr="00456085" w14:paraId="30A0B22A"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624C9797"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Trucks</w:t>
            </w:r>
          </w:p>
        </w:tc>
        <w:tc>
          <w:tcPr>
            <w:tcW w:w="2190" w:type="dxa"/>
            <w:noWrap/>
            <w:hideMark/>
          </w:tcPr>
          <w:p w14:paraId="2F6053E6"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763</w:t>
            </w:r>
          </w:p>
        </w:tc>
        <w:tc>
          <w:tcPr>
            <w:tcW w:w="2170" w:type="dxa"/>
            <w:noWrap/>
            <w:hideMark/>
          </w:tcPr>
          <w:p w14:paraId="1D7F6271"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29,432,429.54</w:t>
            </w:r>
          </w:p>
        </w:tc>
        <w:tc>
          <w:tcPr>
            <w:tcW w:w="2105" w:type="dxa"/>
            <w:noWrap/>
            <w:hideMark/>
          </w:tcPr>
          <w:p w14:paraId="3AF05242" w14:textId="07EC7D0A"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p>
        </w:tc>
        <w:tc>
          <w:tcPr>
            <w:tcW w:w="2447" w:type="dxa"/>
            <w:noWrap/>
            <w:hideMark/>
          </w:tcPr>
          <w:p w14:paraId="30907336" w14:textId="168597B1"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p>
        </w:tc>
      </w:tr>
      <w:tr w:rsidR="00456085" w:rsidRPr="00456085" w14:paraId="2F5E0EB3"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1FDFBD0B"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Boats</w:t>
            </w:r>
          </w:p>
        </w:tc>
        <w:tc>
          <w:tcPr>
            <w:tcW w:w="2190" w:type="dxa"/>
            <w:noWrap/>
            <w:hideMark/>
          </w:tcPr>
          <w:p w14:paraId="656402EB"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w:t>
            </w:r>
          </w:p>
        </w:tc>
        <w:tc>
          <w:tcPr>
            <w:tcW w:w="2170" w:type="dxa"/>
            <w:noWrap/>
            <w:hideMark/>
          </w:tcPr>
          <w:p w14:paraId="48D0ECDA"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114,650.40</w:t>
            </w:r>
          </w:p>
        </w:tc>
        <w:tc>
          <w:tcPr>
            <w:tcW w:w="2105" w:type="dxa"/>
            <w:noWrap/>
            <w:hideMark/>
          </w:tcPr>
          <w:p w14:paraId="121B4E3A"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w:t>
            </w:r>
          </w:p>
        </w:tc>
        <w:tc>
          <w:tcPr>
            <w:tcW w:w="2447" w:type="dxa"/>
            <w:noWrap/>
            <w:hideMark/>
          </w:tcPr>
          <w:p w14:paraId="3C94B12E" w14:textId="43A6634F"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32,150.76</w:t>
            </w:r>
          </w:p>
        </w:tc>
      </w:tr>
      <w:tr w:rsidR="00456085" w:rsidRPr="00456085" w14:paraId="1F9A1349"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4666AC76"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Trailer Tails</w:t>
            </w:r>
          </w:p>
        </w:tc>
        <w:tc>
          <w:tcPr>
            <w:tcW w:w="2190" w:type="dxa"/>
            <w:noWrap/>
            <w:hideMark/>
          </w:tcPr>
          <w:p w14:paraId="6BF316FD"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54</w:t>
            </w:r>
          </w:p>
        </w:tc>
        <w:tc>
          <w:tcPr>
            <w:tcW w:w="2170" w:type="dxa"/>
            <w:noWrap/>
            <w:hideMark/>
          </w:tcPr>
          <w:p w14:paraId="67C5C5DE"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440,800.32</w:t>
            </w:r>
          </w:p>
        </w:tc>
        <w:tc>
          <w:tcPr>
            <w:tcW w:w="2105" w:type="dxa"/>
            <w:noWrap/>
            <w:hideMark/>
          </w:tcPr>
          <w:p w14:paraId="2944CD76"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42</w:t>
            </w:r>
          </w:p>
        </w:tc>
        <w:tc>
          <w:tcPr>
            <w:tcW w:w="2447" w:type="dxa"/>
            <w:noWrap/>
            <w:hideMark/>
          </w:tcPr>
          <w:p w14:paraId="4F8AEC5A" w14:textId="6FA662C9"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294,230.00</w:t>
            </w:r>
          </w:p>
        </w:tc>
      </w:tr>
      <w:tr w:rsidR="00456085" w:rsidRPr="00456085" w14:paraId="1036F960" w14:textId="77777777" w:rsidTr="00FB1E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74E2A225"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Trailers</w:t>
            </w:r>
          </w:p>
        </w:tc>
        <w:tc>
          <w:tcPr>
            <w:tcW w:w="2190" w:type="dxa"/>
            <w:noWrap/>
            <w:hideMark/>
          </w:tcPr>
          <w:p w14:paraId="35736259"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4</w:t>
            </w:r>
          </w:p>
        </w:tc>
        <w:tc>
          <w:tcPr>
            <w:tcW w:w="2170" w:type="dxa"/>
            <w:noWrap/>
            <w:hideMark/>
          </w:tcPr>
          <w:p w14:paraId="2690C261"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120,520.85</w:t>
            </w:r>
          </w:p>
        </w:tc>
        <w:tc>
          <w:tcPr>
            <w:tcW w:w="2105" w:type="dxa"/>
            <w:noWrap/>
            <w:hideMark/>
          </w:tcPr>
          <w:p w14:paraId="1A7DD91C"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110</w:t>
            </w:r>
          </w:p>
        </w:tc>
        <w:tc>
          <w:tcPr>
            <w:tcW w:w="2447" w:type="dxa"/>
            <w:noWrap/>
            <w:hideMark/>
          </w:tcPr>
          <w:p w14:paraId="68FEC0CA" w14:textId="7A79BDF0"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1,210,450.23</w:t>
            </w:r>
          </w:p>
        </w:tc>
      </w:tr>
      <w:tr w:rsidR="00456085" w:rsidRPr="00456085" w14:paraId="06741AB9" w14:textId="77777777" w:rsidTr="00FB1E7E">
        <w:trPr>
          <w:trHeight w:val="288"/>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2809923F" w14:textId="77777777" w:rsidR="00456085" w:rsidRPr="00456085" w:rsidRDefault="00456085" w:rsidP="00456085">
            <w:pPr>
              <w:rPr>
                <w:rFonts w:ascii="Baskerville Old Face" w:eastAsia="Times New Roman" w:hAnsi="Baskerville Old Face" w:cs="Times New Roman"/>
                <w:b w:val="0"/>
                <w:bCs w:val="0"/>
                <w:color w:val="000000"/>
              </w:rPr>
            </w:pPr>
            <w:r w:rsidRPr="00456085">
              <w:rPr>
                <w:rFonts w:ascii="Baskerville Old Face" w:eastAsia="Times New Roman" w:hAnsi="Baskerville Old Face" w:cs="Times New Roman"/>
                <w:b w:val="0"/>
                <w:bCs w:val="0"/>
                <w:color w:val="000000"/>
              </w:rPr>
              <w:t>Tricycles</w:t>
            </w:r>
          </w:p>
        </w:tc>
        <w:tc>
          <w:tcPr>
            <w:tcW w:w="2190" w:type="dxa"/>
            <w:noWrap/>
            <w:hideMark/>
          </w:tcPr>
          <w:p w14:paraId="123C4179"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122</w:t>
            </w:r>
          </w:p>
        </w:tc>
        <w:tc>
          <w:tcPr>
            <w:tcW w:w="2170" w:type="dxa"/>
            <w:noWrap/>
            <w:hideMark/>
          </w:tcPr>
          <w:p w14:paraId="2CA8767B" w14:textId="77777777"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rPr>
              <w:t>78,912,410.13</w:t>
            </w:r>
          </w:p>
        </w:tc>
        <w:tc>
          <w:tcPr>
            <w:tcW w:w="2105" w:type="dxa"/>
            <w:noWrap/>
            <w:hideMark/>
          </w:tcPr>
          <w:p w14:paraId="55D61703" w14:textId="2B78A51D"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p>
        </w:tc>
        <w:tc>
          <w:tcPr>
            <w:tcW w:w="2447" w:type="dxa"/>
            <w:noWrap/>
            <w:hideMark/>
          </w:tcPr>
          <w:p w14:paraId="113DAF20" w14:textId="4E630600" w:rsidR="00456085" w:rsidRPr="00456085" w:rsidRDefault="00456085" w:rsidP="00456085">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p>
        </w:tc>
      </w:tr>
      <w:tr w:rsidR="00456085" w:rsidRPr="00456085" w14:paraId="05B23E8D" w14:textId="77777777" w:rsidTr="00FB1E7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14:paraId="2F31D23F" w14:textId="77777777" w:rsidR="00456085" w:rsidRPr="00456085" w:rsidRDefault="00456085" w:rsidP="00456085">
            <w:pPr>
              <w:rPr>
                <w:rFonts w:ascii="Baskerville Old Face" w:eastAsia="Times New Roman" w:hAnsi="Baskerville Old Face" w:cs="Times New Roman"/>
                <w:color w:val="000000"/>
              </w:rPr>
            </w:pPr>
            <w:r w:rsidRPr="00456085">
              <w:rPr>
                <w:rFonts w:ascii="Baskerville Old Face" w:eastAsia="Times New Roman" w:hAnsi="Baskerville Old Face" w:cs="Times New Roman"/>
                <w:color w:val="000000"/>
                <w:lang w:val="en-GB"/>
              </w:rPr>
              <w:t>TOTAL</w:t>
            </w:r>
          </w:p>
        </w:tc>
        <w:tc>
          <w:tcPr>
            <w:tcW w:w="2190" w:type="dxa"/>
            <w:noWrap/>
            <w:hideMark/>
          </w:tcPr>
          <w:p w14:paraId="255B86B7"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9,768</w:t>
            </w:r>
          </w:p>
        </w:tc>
        <w:tc>
          <w:tcPr>
            <w:tcW w:w="2170" w:type="dxa"/>
            <w:noWrap/>
            <w:hideMark/>
          </w:tcPr>
          <w:p w14:paraId="434BED6D"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413,824,811</w:t>
            </w:r>
          </w:p>
        </w:tc>
        <w:tc>
          <w:tcPr>
            <w:tcW w:w="2105" w:type="dxa"/>
            <w:noWrap/>
            <w:hideMark/>
          </w:tcPr>
          <w:p w14:paraId="52E04B5C" w14:textId="77777777"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9,522</w:t>
            </w:r>
          </w:p>
        </w:tc>
        <w:tc>
          <w:tcPr>
            <w:tcW w:w="2447" w:type="dxa"/>
            <w:noWrap/>
            <w:hideMark/>
          </w:tcPr>
          <w:p w14:paraId="01B7DD52" w14:textId="7B970E1B" w:rsidR="00456085" w:rsidRPr="00456085" w:rsidRDefault="00456085" w:rsidP="00456085">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sidRPr="00456085">
              <w:rPr>
                <w:rFonts w:ascii="Baskerville Old Face" w:eastAsia="Times New Roman" w:hAnsi="Baskerville Old Face" w:cs="Times New Roman"/>
                <w:b/>
                <w:bCs/>
                <w:color w:val="000000"/>
              </w:rPr>
              <w:t>357,275,573.99</w:t>
            </w:r>
          </w:p>
        </w:tc>
      </w:tr>
    </w:tbl>
    <w:p w14:paraId="75B99CCF" w14:textId="77777777" w:rsidR="00F021ED" w:rsidRPr="00F021ED" w:rsidRDefault="00F021ED" w:rsidP="00610B36">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59FE94B4" w14:textId="0D65677D" w:rsidR="009C05E4" w:rsidRPr="00292695" w:rsidRDefault="00520DD2" w:rsidP="00395E0D">
      <w:pPr>
        <w:pStyle w:val="Heading2"/>
        <w:rPr>
          <w:rFonts w:ascii="Baskerville Old Face" w:hAnsi="Baskerville Old Face"/>
          <w:b/>
          <w:bCs/>
        </w:rPr>
      </w:pPr>
      <w:bookmarkStart w:id="105" w:name="_Toc198043954"/>
      <w:r w:rsidRPr="00292695">
        <w:rPr>
          <w:rFonts w:ascii="Baskerville Old Face" w:hAnsi="Baskerville Old Face"/>
          <w:b/>
          <w:bCs/>
        </w:rPr>
        <w:t xml:space="preserve">4.14 </w:t>
      </w:r>
      <w:r w:rsidR="00116D56" w:rsidRPr="00292695">
        <w:rPr>
          <w:rFonts w:ascii="Baskerville Old Face" w:hAnsi="Baskerville Old Face"/>
          <w:b/>
          <w:bCs/>
        </w:rPr>
        <w:t>CUSTOMS BOARDING UNIT</w:t>
      </w:r>
      <w:bookmarkEnd w:id="105"/>
    </w:p>
    <w:p w14:paraId="2C62DDAB" w14:textId="55580E4E" w:rsidR="00D85BB5" w:rsidRDefault="009C05E4" w:rsidP="00655D88">
      <w:pPr>
        <w:spacing w:line="276" w:lineRule="auto"/>
        <w:jc w:val="both"/>
        <w:rPr>
          <w:rFonts w:ascii="Baskerville Old Face" w:hAnsi="Baskerville Old Face" w:cs="Times New Roman"/>
          <w:sz w:val="24"/>
          <w:szCs w:val="24"/>
        </w:rPr>
      </w:pPr>
      <w:bookmarkStart w:id="106" w:name="_Hlk195538508"/>
      <w:r w:rsidRPr="009C05E4">
        <w:rPr>
          <w:rFonts w:ascii="Baskerville Old Face" w:hAnsi="Baskerville Old Face" w:cs="Times New Roman"/>
          <w:sz w:val="24"/>
          <w:szCs w:val="24"/>
        </w:rPr>
        <w:t xml:space="preserve">The Boarding Unit oversees the inspection of all commercial cargo ships within Sierra Leone's territorial waters. </w:t>
      </w:r>
      <w:r w:rsidR="00AC7EA6" w:rsidRPr="00C340BA">
        <w:rPr>
          <w:rFonts w:ascii="Baskerville Old Face" w:hAnsi="Baskerville Old Face" w:cs="Times New Roman"/>
          <w:sz w:val="24"/>
          <w:szCs w:val="24"/>
        </w:rPr>
        <w:t>Figure</w:t>
      </w:r>
      <w:r w:rsidRPr="00C340BA">
        <w:rPr>
          <w:rFonts w:ascii="Baskerville Old Face" w:hAnsi="Baskerville Old Face" w:cs="Times New Roman"/>
          <w:sz w:val="24"/>
          <w:szCs w:val="24"/>
        </w:rPr>
        <w:t xml:space="preserve"> </w:t>
      </w:r>
      <w:r w:rsidR="0039146F">
        <w:rPr>
          <w:rFonts w:ascii="Baskerville Old Face" w:hAnsi="Baskerville Old Face" w:cs="Times New Roman"/>
          <w:sz w:val="24"/>
          <w:szCs w:val="24"/>
        </w:rPr>
        <w:t>1</w:t>
      </w:r>
      <w:r w:rsidR="0068040E">
        <w:rPr>
          <w:rFonts w:ascii="Baskerville Old Face" w:hAnsi="Baskerville Old Face" w:cs="Times New Roman"/>
          <w:sz w:val="24"/>
          <w:szCs w:val="24"/>
        </w:rPr>
        <w:t>1</w:t>
      </w:r>
      <w:r w:rsidRPr="009C05E4">
        <w:rPr>
          <w:rFonts w:ascii="Baskerville Old Face" w:hAnsi="Baskerville Old Face" w:cs="Times New Roman"/>
          <w:sz w:val="24"/>
          <w:szCs w:val="24"/>
        </w:rPr>
        <w:t xml:space="preserve"> illustrates the number of ships that docked in 202</w:t>
      </w:r>
      <w:r w:rsidR="00300223">
        <w:rPr>
          <w:rFonts w:ascii="Baskerville Old Face" w:hAnsi="Baskerville Old Face" w:cs="Times New Roman"/>
          <w:sz w:val="24"/>
          <w:szCs w:val="24"/>
        </w:rPr>
        <w:t>4</w:t>
      </w:r>
      <w:r w:rsidRPr="009C05E4">
        <w:rPr>
          <w:rFonts w:ascii="Baskerville Old Face" w:hAnsi="Baskerville Old Face" w:cs="Times New Roman"/>
          <w:sz w:val="24"/>
          <w:szCs w:val="24"/>
        </w:rPr>
        <w:t xml:space="preserve"> and 2023. According to the ship rotation data, </w:t>
      </w:r>
      <w:r w:rsidR="00300223">
        <w:rPr>
          <w:rFonts w:ascii="Baskerville Old Face" w:hAnsi="Baskerville Old Face" w:cs="Times New Roman"/>
          <w:sz w:val="24"/>
          <w:szCs w:val="24"/>
        </w:rPr>
        <w:t>373</w:t>
      </w:r>
      <w:r>
        <w:rPr>
          <w:rFonts w:ascii="Baskerville Old Face" w:hAnsi="Baskerville Old Face" w:cs="Times New Roman"/>
          <w:sz w:val="24"/>
          <w:szCs w:val="24"/>
        </w:rPr>
        <w:t xml:space="preserve"> vessels arrived in 202</w:t>
      </w:r>
      <w:r w:rsidR="00300223">
        <w:rPr>
          <w:rFonts w:ascii="Baskerville Old Face" w:hAnsi="Baskerville Old Face" w:cs="Times New Roman"/>
          <w:sz w:val="24"/>
          <w:szCs w:val="24"/>
        </w:rPr>
        <w:t>4</w:t>
      </w:r>
      <w:r>
        <w:rPr>
          <w:rFonts w:ascii="Baskerville Old Face" w:hAnsi="Baskerville Old Face" w:cs="Times New Roman"/>
          <w:sz w:val="24"/>
          <w:szCs w:val="24"/>
        </w:rPr>
        <w:t xml:space="preserve"> compared to </w:t>
      </w:r>
      <w:r w:rsidR="00300223">
        <w:rPr>
          <w:rFonts w:ascii="Baskerville Old Face" w:hAnsi="Baskerville Old Face" w:cs="Times New Roman"/>
          <w:sz w:val="24"/>
          <w:szCs w:val="24"/>
        </w:rPr>
        <w:t>399</w:t>
      </w:r>
      <w:r w:rsidRPr="009C05E4">
        <w:rPr>
          <w:rFonts w:ascii="Baskerville Old Face" w:hAnsi="Baskerville Old Face" w:cs="Times New Roman"/>
          <w:sz w:val="24"/>
          <w:szCs w:val="24"/>
        </w:rPr>
        <w:t xml:space="preserve"> in 202</w:t>
      </w:r>
      <w:r w:rsidR="00300223">
        <w:rPr>
          <w:rFonts w:ascii="Baskerville Old Face" w:hAnsi="Baskerville Old Face" w:cs="Times New Roman"/>
          <w:sz w:val="24"/>
          <w:szCs w:val="24"/>
        </w:rPr>
        <w:t>3</w:t>
      </w:r>
      <w:r w:rsidRPr="009C05E4">
        <w:rPr>
          <w:rFonts w:ascii="Baskerville Old Face" w:hAnsi="Baskerville Old Face" w:cs="Times New Roman"/>
          <w:sz w:val="24"/>
          <w:szCs w:val="24"/>
        </w:rPr>
        <w:t xml:space="preserve">, indicating a decrease of </w:t>
      </w:r>
      <w:r w:rsidR="00300223">
        <w:rPr>
          <w:rFonts w:ascii="Baskerville Old Face" w:hAnsi="Baskerville Old Face" w:cs="Times New Roman"/>
          <w:sz w:val="24"/>
          <w:szCs w:val="24"/>
        </w:rPr>
        <w:t>26</w:t>
      </w:r>
      <w:r w:rsidRPr="009C05E4">
        <w:rPr>
          <w:rFonts w:ascii="Baskerville Old Face" w:hAnsi="Baskerville Old Face" w:cs="Times New Roman"/>
          <w:sz w:val="24"/>
          <w:szCs w:val="24"/>
        </w:rPr>
        <w:t xml:space="preserve"> vessels. However, despite the </w:t>
      </w:r>
      <w:r w:rsidR="00300223">
        <w:rPr>
          <w:rFonts w:ascii="Baskerville Old Face" w:hAnsi="Baskerville Old Face" w:cs="Times New Roman"/>
          <w:sz w:val="24"/>
          <w:szCs w:val="24"/>
        </w:rPr>
        <w:t>lower</w:t>
      </w:r>
      <w:r w:rsidRPr="009C05E4">
        <w:rPr>
          <w:rFonts w:ascii="Baskerville Old Face" w:hAnsi="Baskerville Old Face" w:cs="Times New Roman"/>
          <w:sz w:val="24"/>
          <w:szCs w:val="24"/>
        </w:rPr>
        <w:t xml:space="preserve"> number of arrivals in 202</w:t>
      </w:r>
      <w:r w:rsidR="00300223">
        <w:rPr>
          <w:rFonts w:ascii="Baskerville Old Face" w:hAnsi="Baskerville Old Face" w:cs="Times New Roman"/>
          <w:sz w:val="24"/>
          <w:szCs w:val="24"/>
        </w:rPr>
        <w:t>4</w:t>
      </w:r>
      <w:r w:rsidRPr="009C05E4">
        <w:rPr>
          <w:rFonts w:ascii="Baskerville Old Face" w:hAnsi="Baskerville Old Face" w:cs="Times New Roman"/>
          <w:sz w:val="24"/>
          <w:szCs w:val="24"/>
        </w:rPr>
        <w:t>, the import revenue in 202</w:t>
      </w:r>
      <w:r w:rsidR="00300223">
        <w:rPr>
          <w:rFonts w:ascii="Baskerville Old Face" w:hAnsi="Baskerville Old Face" w:cs="Times New Roman"/>
          <w:sz w:val="24"/>
          <w:szCs w:val="24"/>
        </w:rPr>
        <w:t>4</w:t>
      </w:r>
      <w:r w:rsidRPr="009C05E4">
        <w:rPr>
          <w:rFonts w:ascii="Baskerville Old Face" w:hAnsi="Baskerville Old Face" w:cs="Times New Roman"/>
          <w:sz w:val="24"/>
          <w:szCs w:val="24"/>
        </w:rPr>
        <w:t xml:space="preserve"> surpassed that of 202</w:t>
      </w:r>
      <w:r w:rsidR="00300223">
        <w:rPr>
          <w:rFonts w:ascii="Baskerville Old Face" w:hAnsi="Baskerville Old Face" w:cs="Times New Roman"/>
          <w:sz w:val="24"/>
          <w:szCs w:val="24"/>
        </w:rPr>
        <w:t>3</w:t>
      </w:r>
      <w:r w:rsidRPr="009C05E4">
        <w:rPr>
          <w:rFonts w:ascii="Baskerville Old Face" w:hAnsi="Baskerville Old Face" w:cs="Times New Roman"/>
          <w:sz w:val="24"/>
          <w:szCs w:val="24"/>
        </w:rPr>
        <w:t>. This increase can be attributed to the higher value of the shipments</w:t>
      </w:r>
      <w:r w:rsidR="00300223">
        <w:rPr>
          <w:rFonts w:ascii="Baskerville Old Face" w:hAnsi="Baskerville Old Face" w:cs="Times New Roman"/>
          <w:sz w:val="24"/>
          <w:szCs w:val="24"/>
        </w:rPr>
        <w:t>, higher exchange rate, implementation of revenue enhancement provisions in the 2024 Finance Acts,</w:t>
      </w:r>
      <w:r w:rsidRPr="009C05E4">
        <w:rPr>
          <w:rFonts w:ascii="Baskerville Old Face" w:hAnsi="Baskerville Old Face" w:cs="Times New Roman"/>
          <w:sz w:val="24"/>
          <w:szCs w:val="24"/>
        </w:rPr>
        <w:t xml:space="preserve"> and the commercial nature of the vessels.</w:t>
      </w:r>
    </w:p>
    <w:p w14:paraId="37B739F0" w14:textId="06BB669F" w:rsidR="0068040E" w:rsidRPr="002465E3" w:rsidRDefault="0068040E" w:rsidP="0068040E">
      <w:pPr>
        <w:pStyle w:val="Caption"/>
        <w:rPr>
          <w:rFonts w:ascii="Baskerville Old Face" w:hAnsi="Baskerville Old Face" w:cs="Times New Roman"/>
          <w:b/>
          <w:bCs/>
          <w:i w:val="0"/>
          <w:iCs w:val="0"/>
          <w:sz w:val="24"/>
          <w:szCs w:val="24"/>
        </w:rPr>
      </w:pPr>
      <w:bookmarkStart w:id="107" w:name="_Toc198044057"/>
      <w:bookmarkEnd w:id="106"/>
      <w:r w:rsidRPr="002465E3">
        <w:rPr>
          <w:rFonts w:ascii="Baskerville Old Face" w:hAnsi="Baskerville Old Face"/>
          <w:b/>
          <w:bCs/>
          <w:sz w:val="24"/>
          <w:szCs w:val="24"/>
        </w:rPr>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11</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Monthly Number of Vessels 2024 and 2023</w:t>
      </w:r>
      <w:bookmarkEnd w:id="107"/>
    </w:p>
    <w:p w14:paraId="4ACCABA2" w14:textId="49D59F27" w:rsidR="00300223" w:rsidRPr="00300223" w:rsidRDefault="00300223" w:rsidP="00300223">
      <w:pPr>
        <w:rPr>
          <w:rFonts w:ascii="Baskerville Old Face" w:hAnsi="Baskerville Old Face" w:cs="Times New Roman"/>
          <w:sz w:val="24"/>
          <w:szCs w:val="24"/>
        </w:rPr>
      </w:pPr>
      <w:r>
        <w:rPr>
          <w:noProof/>
        </w:rPr>
        <w:drawing>
          <wp:inline distT="0" distB="0" distL="0" distR="0" wp14:anchorId="234770E3" wp14:editId="2E6D0DAA">
            <wp:extent cx="5943600" cy="2433484"/>
            <wp:effectExtent l="0" t="0" r="0" b="5080"/>
            <wp:docPr id="1490290714" name="Chart 1">
              <a:extLst xmlns:a="http://schemas.openxmlformats.org/drawingml/2006/main">
                <a:ext uri="{FF2B5EF4-FFF2-40B4-BE49-F238E27FC236}">
                  <a16:creationId xmlns:a16="http://schemas.microsoft.com/office/drawing/2014/main" id="{B2883682-A648-513A-E097-41686659A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1031FD" w14:textId="3D575DFC" w:rsidR="00395E0D" w:rsidRPr="00292695" w:rsidRDefault="00F021ED" w:rsidP="00ED4340">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20DEDD21" w14:textId="40BCE7FB" w:rsidR="00ED4340" w:rsidRPr="00292695" w:rsidRDefault="00520DD2" w:rsidP="00395E0D">
      <w:pPr>
        <w:pStyle w:val="Heading2"/>
        <w:rPr>
          <w:rFonts w:ascii="Baskerville Old Face" w:hAnsi="Baskerville Old Face"/>
          <w:b/>
          <w:bCs/>
        </w:rPr>
      </w:pPr>
      <w:bookmarkStart w:id="108" w:name="_Toc198043955"/>
      <w:r w:rsidRPr="00292695">
        <w:rPr>
          <w:rFonts w:ascii="Baskerville Old Face" w:hAnsi="Baskerville Old Face"/>
          <w:b/>
          <w:bCs/>
        </w:rPr>
        <w:lastRenderedPageBreak/>
        <w:t xml:space="preserve">4.15 </w:t>
      </w:r>
      <w:r w:rsidR="00116D56" w:rsidRPr="00292695">
        <w:rPr>
          <w:rFonts w:ascii="Baskerville Old Face" w:hAnsi="Baskerville Old Face"/>
          <w:b/>
          <w:bCs/>
        </w:rPr>
        <w:t>REVENUE PERFORMANCE OF CUSTOMS OUTSTATIONS / BORDER POSTS</w:t>
      </w:r>
      <w:bookmarkEnd w:id="108"/>
    </w:p>
    <w:p w14:paraId="20D5F4F7" w14:textId="77777777" w:rsidR="00ED4340" w:rsidRPr="00ED4340" w:rsidRDefault="00ED4340" w:rsidP="007067D1">
      <w:pPr>
        <w:spacing w:line="276" w:lineRule="auto"/>
        <w:jc w:val="both"/>
        <w:rPr>
          <w:rFonts w:ascii="Baskerville Old Face" w:hAnsi="Baskerville Old Face" w:cs="Times New Roman"/>
          <w:sz w:val="24"/>
          <w:szCs w:val="24"/>
        </w:rPr>
      </w:pPr>
      <w:r w:rsidRPr="00ED4340">
        <w:rPr>
          <w:rFonts w:ascii="Baskerville Old Face" w:hAnsi="Baskerville Old Face" w:cs="Times New Roman"/>
          <w:sz w:val="24"/>
          <w:szCs w:val="24"/>
        </w:rPr>
        <w:t xml:space="preserve">In addition to the main Freetown Customs post, Sierra Leone maintains several strategically positioned outstation posts across the country. Among these, the three largest are located at Lungi Terminal, </w:t>
      </w:r>
      <w:proofErr w:type="spellStart"/>
      <w:r w:rsidRPr="00ED4340">
        <w:rPr>
          <w:rFonts w:ascii="Baskerville Old Face" w:hAnsi="Baskerville Old Face" w:cs="Times New Roman"/>
          <w:sz w:val="24"/>
          <w:szCs w:val="24"/>
        </w:rPr>
        <w:t>Gbalamuya</w:t>
      </w:r>
      <w:proofErr w:type="spellEnd"/>
      <w:r w:rsidRPr="00ED4340">
        <w:rPr>
          <w:rFonts w:ascii="Baskerville Old Face" w:hAnsi="Baskerville Old Face" w:cs="Times New Roman"/>
          <w:sz w:val="24"/>
          <w:szCs w:val="24"/>
        </w:rPr>
        <w:t xml:space="preserve"> (on the Guinea border), and </w:t>
      </w:r>
      <w:proofErr w:type="spellStart"/>
      <w:r w:rsidRPr="00ED4340">
        <w:rPr>
          <w:rFonts w:ascii="Baskerville Old Face" w:hAnsi="Baskerville Old Face" w:cs="Times New Roman"/>
          <w:sz w:val="24"/>
          <w:szCs w:val="24"/>
        </w:rPr>
        <w:t>Jendema</w:t>
      </w:r>
      <w:proofErr w:type="spellEnd"/>
      <w:r w:rsidRPr="00ED4340">
        <w:rPr>
          <w:rFonts w:ascii="Baskerville Old Face" w:hAnsi="Baskerville Old Face" w:cs="Times New Roman"/>
          <w:sz w:val="24"/>
          <w:szCs w:val="24"/>
        </w:rPr>
        <w:t xml:space="preserve"> (on the Liberia border). These outstation posts play a significant role in the overall collection of Customs revenue. Additionally, smaller posts such as Bo/Kenema, </w:t>
      </w:r>
      <w:proofErr w:type="spellStart"/>
      <w:r w:rsidRPr="00ED4340">
        <w:rPr>
          <w:rFonts w:ascii="Baskerville Old Face" w:hAnsi="Baskerville Old Face" w:cs="Times New Roman"/>
          <w:sz w:val="24"/>
          <w:szCs w:val="24"/>
        </w:rPr>
        <w:t>Gbagbatok</w:t>
      </w:r>
      <w:proofErr w:type="spellEnd"/>
      <w:r w:rsidRPr="00ED4340">
        <w:rPr>
          <w:rFonts w:ascii="Baskerville Old Face" w:hAnsi="Baskerville Old Face" w:cs="Times New Roman"/>
          <w:sz w:val="24"/>
          <w:szCs w:val="24"/>
        </w:rPr>
        <w:t xml:space="preserve">, Kono, </w:t>
      </w:r>
      <w:proofErr w:type="spellStart"/>
      <w:r w:rsidRPr="00ED4340">
        <w:rPr>
          <w:rFonts w:ascii="Baskerville Old Face" w:hAnsi="Baskerville Old Face" w:cs="Times New Roman"/>
          <w:sz w:val="24"/>
          <w:szCs w:val="24"/>
        </w:rPr>
        <w:t>Dogolia</w:t>
      </w:r>
      <w:proofErr w:type="spellEnd"/>
      <w:r w:rsidRPr="00ED4340">
        <w:rPr>
          <w:rFonts w:ascii="Baskerville Old Face" w:hAnsi="Baskerville Old Face" w:cs="Times New Roman"/>
          <w:sz w:val="24"/>
          <w:szCs w:val="24"/>
        </w:rPr>
        <w:t>, Kailahun, Makeni, Susans Bay, and Port Loko are strategically situated to combat smuggling and prevent the illicit importation/exportation of contraband and drugs.</w:t>
      </w:r>
    </w:p>
    <w:p w14:paraId="3C9FA6D8" w14:textId="00957D14" w:rsidR="00DC5BAB" w:rsidRDefault="005D1ECF" w:rsidP="007067D1">
      <w:pPr>
        <w:spacing w:line="276" w:lineRule="auto"/>
        <w:jc w:val="both"/>
        <w:rPr>
          <w:rFonts w:ascii="Baskerville Old Face" w:hAnsi="Baskerville Old Face" w:cs="Times New Roman"/>
          <w:sz w:val="24"/>
          <w:szCs w:val="24"/>
        </w:rPr>
      </w:pPr>
      <w:r w:rsidRPr="00C340BA">
        <w:rPr>
          <w:rFonts w:ascii="Baskerville Old Face" w:hAnsi="Baskerville Old Face" w:cs="Times New Roman"/>
          <w:sz w:val="24"/>
          <w:szCs w:val="24"/>
        </w:rPr>
        <w:t>Figure</w:t>
      </w:r>
      <w:r w:rsidR="00ED4340" w:rsidRPr="00C340BA">
        <w:rPr>
          <w:rFonts w:ascii="Baskerville Old Face" w:hAnsi="Baskerville Old Face" w:cs="Times New Roman"/>
          <w:sz w:val="24"/>
          <w:szCs w:val="24"/>
        </w:rPr>
        <w:t xml:space="preserve"> </w:t>
      </w:r>
      <w:r w:rsidR="00C340BA">
        <w:rPr>
          <w:rFonts w:ascii="Baskerville Old Face" w:hAnsi="Baskerville Old Face" w:cs="Times New Roman"/>
          <w:sz w:val="24"/>
          <w:szCs w:val="24"/>
        </w:rPr>
        <w:t>1</w:t>
      </w:r>
      <w:r w:rsidR="0039146F">
        <w:rPr>
          <w:rFonts w:ascii="Baskerville Old Face" w:hAnsi="Baskerville Old Face" w:cs="Times New Roman"/>
          <w:sz w:val="24"/>
          <w:szCs w:val="24"/>
        </w:rPr>
        <w:t>1</w:t>
      </w:r>
      <w:r w:rsidR="00ED4340" w:rsidRPr="00ED4340">
        <w:rPr>
          <w:rFonts w:ascii="Baskerville Old Face" w:hAnsi="Baskerville Old Face" w:cs="Times New Roman"/>
          <w:sz w:val="24"/>
          <w:szCs w:val="24"/>
        </w:rPr>
        <w:t xml:space="preserve"> illustrates the annual revenue performance of the three largest Customs </w:t>
      </w:r>
      <w:r w:rsidR="0024579A">
        <w:rPr>
          <w:rFonts w:ascii="Baskerville Old Face" w:hAnsi="Baskerville Old Face" w:cs="Times New Roman"/>
          <w:sz w:val="24"/>
          <w:szCs w:val="24"/>
        </w:rPr>
        <w:t>offices</w:t>
      </w:r>
      <w:r w:rsidR="00ED4340" w:rsidRPr="00ED4340">
        <w:rPr>
          <w:rFonts w:ascii="Baskerville Old Face" w:hAnsi="Baskerville Old Face" w:cs="Times New Roman"/>
          <w:sz w:val="24"/>
          <w:szCs w:val="24"/>
        </w:rPr>
        <w:t xml:space="preserve">. A total of </w:t>
      </w:r>
      <w:proofErr w:type="spellStart"/>
      <w:r w:rsidR="00ED4340" w:rsidRPr="00ED4340">
        <w:rPr>
          <w:rFonts w:ascii="Baskerville Old Face" w:hAnsi="Baskerville Old Face" w:cs="Times New Roman"/>
          <w:sz w:val="24"/>
          <w:szCs w:val="24"/>
        </w:rPr>
        <w:t>NLe</w:t>
      </w:r>
      <w:proofErr w:type="spellEnd"/>
      <w:r w:rsidR="00ED4340" w:rsidRPr="00ED4340">
        <w:rPr>
          <w:rFonts w:ascii="Baskerville Old Face" w:hAnsi="Baskerville Old Face" w:cs="Times New Roman"/>
          <w:sz w:val="24"/>
          <w:szCs w:val="24"/>
        </w:rPr>
        <w:t xml:space="preserve"> 12</w:t>
      </w:r>
      <w:r w:rsidR="00DC5BAB">
        <w:rPr>
          <w:rFonts w:ascii="Baskerville Old Face" w:hAnsi="Baskerville Old Face" w:cs="Times New Roman"/>
          <w:sz w:val="24"/>
          <w:szCs w:val="24"/>
        </w:rPr>
        <w:t>8</w:t>
      </w:r>
      <w:r w:rsidR="00ED4340" w:rsidRPr="00ED4340">
        <w:rPr>
          <w:rFonts w:ascii="Baskerville Old Face" w:hAnsi="Baskerville Old Face" w:cs="Times New Roman"/>
          <w:sz w:val="24"/>
          <w:szCs w:val="24"/>
        </w:rPr>
        <w:t>.</w:t>
      </w:r>
      <w:r w:rsidR="00DC5BAB">
        <w:rPr>
          <w:rFonts w:ascii="Baskerville Old Face" w:hAnsi="Baskerville Old Face" w:cs="Times New Roman"/>
          <w:sz w:val="24"/>
          <w:szCs w:val="24"/>
        </w:rPr>
        <w:t>721</w:t>
      </w:r>
      <w:r w:rsidR="00ED4340" w:rsidRPr="00ED4340">
        <w:rPr>
          <w:rFonts w:ascii="Baskerville Old Face" w:hAnsi="Baskerville Old Face" w:cs="Times New Roman"/>
          <w:sz w:val="24"/>
          <w:szCs w:val="24"/>
        </w:rPr>
        <w:t xml:space="preserve"> million was collected from </w:t>
      </w:r>
      <w:r w:rsidR="00DC5BAB">
        <w:rPr>
          <w:rFonts w:ascii="Baskerville Old Face" w:hAnsi="Baskerville Old Face" w:cs="Times New Roman"/>
          <w:sz w:val="24"/>
          <w:szCs w:val="24"/>
        </w:rPr>
        <w:t>Customs outstation offices</w:t>
      </w:r>
      <w:r w:rsidR="00ED4340" w:rsidRPr="00ED4340">
        <w:rPr>
          <w:rFonts w:ascii="Baskerville Old Face" w:hAnsi="Baskerville Old Face" w:cs="Times New Roman"/>
          <w:sz w:val="24"/>
          <w:szCs w:val="24"/>
        </w:rPr>
        <w:t>, with the Lungi CSD post contributing over half (5</w:t>
      </w:r>
      <w:r w:rsidR="00DC5BAB">
        <w:rPr>
          <w:rFonts w:ascii="Baskerville Old Face" w:hAnsi="Baskerville Old Face" w:cs="Times New Roman"/>
          <w:sz w:val="24"/>
          <w:szCs w:val="24"/>
        </w:rPr>
        <w:t>7</w:t>
      </w:r>
      <w:r w:rsidR="00ED4340" w:rsidRPr="00ED4340">
        <w:rPr>
          <w:rFonts w:ascii="Baskerville Old Face" w:hAnsi="Baskerville Old Face" w:cs="Times New Roman"/>
          <w:sz w:val="24"/>
          <w:szCs w:val="24"/>
        </w:rPr>
        <w:t>.</w:t>
      </w:r>
      <w:r w:rsidR="00DC5BAB">
        <w:rPr>
          <w:rFonts w:ascii="Baskerville Old Face" w:hAnsi="Baskerville Old Face" w:cs="Times New Roman"/>
          <w:sz w:val="24"/>
          <w:szCs w:val="24"/>
        </w:rPr>
        <w:t>6</w:t>
      </w:r>
      <w:r w:rsidR="00ED4340" w:rsidRPr="00ED4340">
        <w:rPr>
          <w:rFonts w:ascii="Baskerville Old Face" w:hAnsi="Baskerville Old Face" w:cs="Times New Roman"/>
          <w:sz w:val="24"/>
          <w:szCs w:val="24"/>
        </w:rPr>
        <w:t xml:space="preserve">%) of the total collection. The Gbalamuya Customs post accounted for </w:t>
      </w:r>
      <w:r w:rsidR="00DC5BAB">
        <w:rPr>
          <w:rFonts w:ascii="Baskerville Old Face" w:hAnsi="Baskerville Old Face" w:cs="Times New Roman"/>
          <w:sz w:val="24"/>
          <w:szCs w:val="24"/>
        </w:rPr>
        <w:t>38</w:t>
      </w:r>
      <w:r w:rsidR="00ED4340" w:rsidRPr="00ED4340">
        <w:rPr>
          <w:rFonts w:ascii="Baskerville Old Face" w:hAnsi="Baskerville Old Face" w:cs="Times New Roman"/>
          <w:sz w:val="24"/>
          <w:szCs w:val="24"/>
        </w:rPr>
        <w:t>.</w:t>
      </w:r>
      <w:r w:rsidR="00DC5BAB">
        <w:rPr>
          <w:rFonts w:ascii="Baskerville Old Face" w:hAnsi="Baskerville Old Face" w:cs="Times New Roman"/>
          <w:sz w:val="24"/>
          <w:szCs w:val="24"/>
        </w:rPr>
        <w:t>6</w:t>
      </w:r>
      <w:r w:rsidR="00ED4340" w:rsidRPr="00ED4340">
        <w:rPr>
          <w:rFonts w:ascii="Baskerville Old Face" w:hAnsi="Baskerville Old Face" w:cs="Times New Roman"/>
          <w:sz w:val="24"/>
          <w:szCs w:val="24"/>
        </w:rPr>
        <w:t xml:space="preserve">% of the revenue, while </w:t>
      </w:r>
      <w:proofErr w:type="spellStart"/>
      <w:r w:rsidR="00ED4340" w:rsidRPr="00ED4340">
        <w:rPr>
          <w:rFonts w:ascii="Baskerville Old Face" w:hAnsi="Baskerville Old Face" w:cs="Times New Roman"/>
          <w:sz w:val="24"/>
          <w:szCs w:val="24"/>
        </w:rPr>
        <w:t>Jendema</w:t>
      </w:r>
      <w:proofErr w:type="spellEnd"/>
      <w:r w:rsidR="00ED4340" w:rsidRPr="00ED4340">
        <w:rPr>
          <w:rFonts w:ascii="Baskerville Old Face" w:hAnsi="Baskerville Old Face" w:cs="Times New Roman"/>
          <w:sz w:val="24"/>
          <w:szCs w:val="24"/>
        </w:rPr>
        <w:t xml:space="preserve"> contributed the least (</w:t>
      </w:r>
      <w:r w:rsidR="00DC5BAB">
        <w:rPr>
          <w:rFonts w:ascii="Baskerville Old Face" w:hAnsi="Baskerville Old Face" w:cs="Times New Roman"/>
          <w:sz w:val="24"/>
          <w:szCs w:val="24"/>
        </w:rPr>
        <w:t>3</w:t>
      </w:r>
      <w:r w:rsidR="00ED4340" w:rsidRPr="00ED4340">
        <w:rPr>
          <w:rFonts w:ascii="Baskerville Old Face" w:hAnsi="Baskerville Old Face" w:cs="Times New Roman"/>
          <w:sz w:val="24"/>
          <w:szCs w:val="24"/>
        </w:rPr>
        <w:t>.</w:t>
      </w:r>
      <w:r w:rsidR="00DC5BAB">
        <w:rPr>
          <w:rFonts w:ascii="Baskerville Old Face" w:hAnsi="Baskerville Old Face" w:cs="Times New Roman"/>
          <w:sz w:val="24"/>
          <w:szCs w:val="24"/>
        </w:rPr>
        <w:t>2</w:t>
      </w:r>
      <w:r w:rsidR="00ED4340" w:rsidRPr="00ED4340">
        <w:rPr>
          <w:rFonts w:ascii="Baskerville Old Face" w:hAnsi="Baskerville Old Face" w:cs="Times New Roman"/>
          <w:sz w:val="24"/>
          <w:szCs w:val="24"/>
        </w:rPr>
        <w:t>%) to the total collection.</w:t>
      </w:r>
    </w:p>
    <w:p w14:paraId="12617513" w14:textId="2F3896B1" w:rsidR="0068040E" w:rsidRPr="002465E3" w:rsidRDefault="0068040E" w:rsidP="0068040E">
      <w:pPr>
        <w:pStyle w:val="Caption"/>
        <w:rPr>
          <w:rFonts w:ascii="Baskerville Old Face" w:hAnsi="Baskerville Old Face" w:cs="Times New Roman"/>
          <w:b/>
          <w:bCs/>
          <w:sz w:val="36"/>
          <w:szCs w:val="36"/>
        </w:rPr>
      </w:pPr>
      <w:bookmarkStart w:id="109" w:name="_Toc198044058"/>
      <w:r w:rsidRPr="002465E3">
        <w:rPr>
          <w:rFonts w:ascii="Baskerville Old Face" w:hAnsi="Baskerville Old Face"/>
          <w:b/>
          <w:bCs/>
          <w:sz w:val="24"/>
          <w:szCs w:val="24"/>
        </w:rPr>
        <w:t xml:space="preserve">Figure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Figure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12</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Collection from Three Key Customs Outstations, 2024</w:t>
      </w:r>
      <w:bookmarkEnd w:id="109"/>
    </w:p>
    <w:p w14:paraId="33EF3528" w14:textId="00A5A47F" w:rsidR="00626C03" w:rsidRPr="00E85EB0" w:rsidRDefault="00DC5BAB" w:rsidP="00E85EB0">
      <w:pPr>
        <w:spacing w:after="200" w:line="240" w:lineRule="auto"/>
        <w:jc w:val="both"/>
        <w:rPr>
          <w:rFonts w:ascii="Baskerville Old Face" w:hAnsi="Baskerville Old Face" w:cs="Times New Roman"/>
          <w:sz w:val="24"/>
          <w:szCs w:val="24"/>
        </w:rPr>
      </w:pPr>
      <w:r>
        <w:rPr>
          <w:noProof/>
        </w:rPr>
        <w:drawing>
          <wp:inline distT="0" distB="0" distL="0" distR="0" wp14:anchorId="271644A5" wp14:editId="37503C7A">
            <wp:extent cx="6688667" cy="3305810"/>
            <wp:effectExtent l="0" t="0" r="17145" b="8890"/>
            <wp:docPr id="86531199" name="Chart 1">
              <a:extLst xmlns:a="http://schemas.openxmlformats.org/drawingml/2006/main">
                <a:ext uri="{FF2B5EF4-FFF2-40B4-BE49-F238E27FC236}">
                  <a16:creationId xmlns:a16="http://schemas.microsoft.com/office/drawing/2014/main" id="{512DE8EE-1E6B-C4E6-DF5E-68C13BCE0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021ED" w:rsidRPr="00F021ED">
        <w:rPr>
          <w:rFonts w:ascii="Baskerville Old Face" w:hAnsi="Baskerville Old Face" w:cs="Times New Roman"/>
          <w:i/>
          <w:iCs/>
          <w:sz w:val="18"/>
          <w:szCs w:val="18"/>
        </w:rPr>
        <w:t>Source: CSD</w:t>
      </w:r>
    </w:p>
    <w:p w14:paraId="12008312" w14:textId="77777777" w:rsidR="00772570" w:rsidRDefault="00772570" w:rsidP="000E4D6C">
      <w:pPr>
        <w:rPr>
          <w:rFonts w:ascii="Baskerville Old Face" w:hAnsi="Baskerville Old Face" w:cs="Times New Roman"/>
          <w:sz w:val="24"/>
          <w:szCs w:val="24"/>
        </w:rPr>
      </w:pPr>
    </w:p>
    <w:p w14:paraId="78EFF3BC" w14:textId="77777777" w:rsidR="00772570" w:rsidRDefault="00772570" w:rsidP="000E4D6C">
      <w:pPr>
        <w:rPr>
          <w:rFonts w:ascii="Baskerville Old Face" w:hAnsi="Baskerville Old Face" w:cs="Times New Roman"/>
          <w:sz w:val="24"/>
          <w:szCs w:val="24"/>
        </w:rPr>
      </w:pPr>
    </w:p>
    <w:p w14:paraId="7B7E3D49" w14:textId="77777777" w:rsidR="00772570" w:rsidRDefault="00772570" w:rsidP="000E4D6C">
      <w:pPr>
        <w:rPr>
          <w:rFonts w:ascii="Baskerville Old Face" w:hAnsi="Baskerville Old Face" w:cs="Times New Roman"/>
          <w:sz w:val="24"/>
          <w:szCs w:val="24"/>
        </w:rPr>
      </w:pPr>
    </w:p>
    <w:p w14:paraId="600CC2AF" w14:textId="77777777" w:rsidR="0071721B" w:rsidRDefault="0071721B" w:rsidP="000E4D6C">
      <w:pPr>
        <w:rPr>
          <w:rFonts w:ascii="Baskerville Old Face" w:hAnsi="Baskerville Old Face" w:cs="Times New Roman"/>
          <w:sz w:val="24"/>
          <w:szCs w:val="24"/>
        </w:rPr>
      </w:pPr>
    </w:p>
    <w:p w14:paraId="0602D653" w14:textId="77777777" w:rsidR="006C72A7" w:rsidRPr="00285F16" w:rsidRDefault="006C72A7" w:rsidP="000E4D6C">
      <w:pPr>
        <w:rPr>
          <w:rFonts w:ascii="Baskerville Old Face" w:hAnsi="Baskerville Old Face" w:cs="Times New Roman"/>
          <w:sz w:val="24"/>
          <w:szCs w:val="24"/>
        </w:rPr>
      </w:pPr>
    </w:p>
    <w:p w14:paraId="1CED0C2F" w14:textId="57B39F6E" w:rsidR="00C82318" w:rsidRPr="00292695" w:rsidRDefault="00C82318" w:rsidP="00292695">
      <w:pPr>
        <w:pStyle w:val="Heading1"/>
        <w:jc w:val="center"/>
        <w:rPr>
          <w:rFonts w:ascii="Baskerville Old Face" w:hAnsi="Baskerville Old Face"/>
          <w:b/>
          <w:bCs/>
        </w:rPr>
      </w:pPr>
      <w:bookmarkStart w:id="110" w:name="_Toc198043956"/>
      <w:r w:rsidRPr="00292695">
        <w:rPr>
          <w:rFonts w:ascii="Baskerville Old Face" w:hAnsi="Baskerville Old Face"/>
          <w:b/>
          <w:bCs/>
        </w:rPr>
        <w:lastRenderedPageBreak/>
        <w:t>CHAPTER FIVE</w:t>
      </w:r>
      <w:bookmarkEnd w:id="110"/>
    </w:p>
    <w:p w14:paraId="0B8224A4" w14:textId="0FD59827" w:rsidR="00C82318" w:rsidRPr="00292695" w:rsidRDefault="00520DD2" w:rsidP="00395E0D">
      <w:pPr>
        <w:pStyle w:val="Heading1"/>
        <w:rPr>
          <w:rFonts w:ascii="Baskerville Old Face" w:hAnsi="Baskerville Old Face"/>
          <w:b/>
          <w:bCs/>
        </w:rPr>
      </w:pPr>
      <w:bookmarkStart w:id="111" w:name="_Toc198043957"/>
      <w:r w:rsidRPr="00292695">
        <w:rPr>
          <w:rFonts w:ascii="Baskerville Old Face" w:hAnsi="Baskerville Old Face"/>
          <w:b/>
          <w:bCs/>
        </w:rPr>
        <w:t xml:space="preserve">5.0 </w:t>
      </w:r>
      <w:r w:rsidR="00B95E7E" w:rsidRPr="00292695">
        <w:rPr>
          <w:rFonts w:ascii="Baskerville Old Face" w:hAnsi="Baskerville Old Face"/>
          <w:b/>
          <w:bCs/>
        </w:rPr>
        <w:t>PROSPECTS</w:t>
      </w:r>
      <w:r w:rsidR="00C82318" w:rsidRPr="00292695">
        <w:rPr>
          <w:rFonts w:ascii="Baskerville Old Face" w:hAnsi="Baskerville Old Face"/>
          <w:b/>
          <w:bCs/>
        </w:rPr>
        <w:t xml:space="preserve"> AND CHALLENGES/</w:t>
      </w:r>
      <w:r w:rsidR="00B95E7E" w:rsidRPr="00292695">
        <w:rPr>
          <w:rFonts w:ascii="Baskerville Old Face" w:hAnsi="Baskerville Old Face"/>
          <w:b/>
          <w:bCs/>
        </w:rPr>
        <w:t>RISKS</w:t>
      </w:r>
      <w:r w:rsidR="00C82318" w:rsidRPr="00292695">
        <w:rPr>
          <w:rFonts w:ascii="Baskerville Old Face" w:hAnsi="Baskerville Old Face"/>
          <w:b/>
          <w:bCs/>
        </w:rPr>
        <w:t xml:space="preserve"> </w:t>
      </w:r>
      <w:r w:rsidR="00C74803" w:rsidRPr="00292695">
        <w:rPr>
          <w:rFonts w:ascii="Baskerville Old Face" w:hAnsi="Baskerville Old Face"/>
          <w:b/>
          <w:bCs/>
        </w:rPr>
        <w:t>FOR</w:t>
      </w:r>
      <w:r w:rsidR="00C82318" w:rsidRPr="00292695">
        <w:rPr>
          <w:rFonts w:ascii="Baskerville Old Face" w:hAnsi="Baskerville Old Face"/>
          <w:b/>
          <w:bCs/>
        </w:rPr>
        <w:t xml:space="preserve"> 202</w:t>
      </w:r>
      <w:r w:rsidR="00FF7395" w:rsidRPr="00292695">
        <w:rPr>
          <w:rFonts w:ascii="Baskerville Old Face" w:hAnsi="Baskerville Old Face"/>
          <w:b/>
          <w:bCs/>
        </w:rPr>
        <w:t>5</w:t>
      </w:r>
      <w:bookmarkEnd w:id="111"/>
    </w:p>
    <w:p w14:paraId="4BBD059A" w14:textId="103AD807" w:rsidR="009E46AC" w:rsidRPr="00292695" w:rsidRDefault="007D2403" w:rsidP="00395E0D">
      <w:pPr>
        <w:pStyle w:val="Heading2"/>
        <w:rPr>
          <w:rFonts w:ascii="Baskerville Old Face" w:hAnsi="Baskerville Old Face"/>
          <w:b/>
          <w:bCs/>
        </w:rPr>
      </w:pPr>
      <w:bookmarkStart w:id="112" w:name="_Toc198043958"/>
      <w:r w:rsidRPr="00292695">
        <w:rPr>
          <w:rFonts w:ascii="Baskerville Old Face" w:hAnsi="Baskerville Old Face"/>
          <w:b/>
          <w:bCs/>
        </w:rPr>
        <w:t xml:space="preserve">5.1 </w:t>
      </w:r>
      <w:r w:rsidR="009E46AC" w:rsidRPr="00292695">
        <w:rPr>
          <w:rFonts w:ascii="Baskerville Old Face" w:hAnsi="Baskerville Old Face"/>
          <w:b/>
          <w:bCs/>
        </w:rPr>
        <w:t>2025 Domestic Revenue Target</w:t>
      </w:r>
      <w:bookmarkEnd w:id="112"/>
    </w:p>
    <w:p w14:paraId="7D4DA303" w14:textId="700E9A5D" w:rsidR="006B6538" w:rsidRPr="00B84DE7" w:rsidRDefault="006B6538" w:rsidP="006B6538">
      <w:pPr>
        <w:jc w:val="both"/>
        <w:rPr>
          <w:rFonts w:ascii="Baskerville Old Face" w:hAnsi="Baskerville Old Face"/>
          <w:sz w:val="24"/>
          <w:szCs w:val="24"/>
          <w:lang w:val="en-GB"/>
        </w:rPr>
      </w:pPr>
      <w:r w:rsidRPr="00B84DE7">
        <w:rPr>
          <w:rFonts w:ascii="Baskerville Old Face" w:hAnsi="Baskerville Old Face"/>
          <w:sz w:val="24"/>
          <w:szCs w:val="24"/>
          <w:lang w:val="en-GB"/>
        </w:rPr>
        <w:t>The domestic Revenue Target for FY202</w:t>
      </w:r>
      <w:r>
        <w:rPr>
          <w:rFonts w:ascii="Baskerville Old Face" w:hAnsi="Baskerville Old Face"/>
          <w:sz w:val="24"/>
          <w:szCs w:val="24"/>
          <w:lang w:val="en-GB"/>
        </w:rPr>
        <w:t>5</w:t>
      </w:r>
      <w:r w:rsidRPr="00B84DE7">
        <w:rPr>
          <w:rFonts w:ascii="Baskerville Old Face" w:hAnsi="Baskerville Old Face"/>
          <w:sz w:val="24"/>
          <w:szCs w:val="24"/>
          <w:lang w:val="en-GB"/>
        </w:rPr>
        <w:t xml:space="preserve"> is set at NLe</w:t>
      </w:r>
      <w:r>
        <w:rPr>
          <w:rFonts w:ascii="Baskerville Old Face" w:hAnsi="Baskerville Old Face"/>
          <w:sz w:val="24"/>
          <w:szCs w:val="24"/>
          <w:lang w:val="en-GB"/>
        </w:rPr>
        <w:t>18</w:t>
      </w:r>
      <w:r w:rsidRPr="00B84DE7">
        <w:rPr>
          <w:rFonts w:ascii="Baskerville Old Face" w:hAnsi="Baskerville Old Face"/>
          <w:sz w:val="24"/>
          <w:szCs w:val="24"/>
          <w:lang w:val="en-GB"/>
        </w:rPr>
        <w:t xml:space="preserve">.9 billion, representing </w:t>
      </w:r>
      <w:r>
        <w:rPr>
          <w:rFonts w:ascii="Baskerville Old Face" w:hAnsi="Baskerville Old Face"/>
          <w:sz w:val="24"/>
          <w:szCs w:val="24"/>
          <w:lang w:val="en-GB"/>
        </w:rPr>
        <w:t>30</w:t>
      </w:r>
      <w:r w:rsidRPr="00B84DE7">
        <w:rPr>
          <w:rFonts w:ascii="Baskerville Old Face" w:hAnsi="Baskerville Old Face"/>
          <w:sz w:val="24"/>
          <w:szCs w:val="24"/>
          <w:lang w:val="en-GB"/>
        </w:rPr>
        <w:t>% increase compared to the actual collection in FY202</w:t>
      </w:r>
      <w:r>
        <w:rPr>
          <w:rFonts w:ascii="Baskerville Old Face" w:hAnsi="Baskerville Old Face"/>
          <w:sz w:val="24"/>
          <w:szCs w:val="24"/>
          <w:lang w:val="en-GB"/>
        </w:rPr>
        <w:t>4</w:t>
      </w:r>
      <w:r w:rsidRPr="00B84DE7">
        <w:rPr>
          <w:rFonts w:ascii="Baskerville Old Face" w:hAnsi="Baskerville Old Face"/>
          <w:sz w:val="24"/>
          <w:szCs w:val="24"/>
          <w:lang w:val="en-GB"/>
        </w:rPr>
        <w:t xml:space="preserve"> (Table </w:t>
      </w:r>
      <w:r w:rsidR="00F35131">
        <w:rPr>
          <w:rFonts w:ascii="Baskerville Old Face" w:hAnsi="Baskerville Old Face"/>
          <w:sz w:val="24"/>
          <w:szCs w:val="24"/>
          <w:lang w:val="en-GB"/>
        </w:rPr>
        <w:t>27</w:t>
      </w:r>
      <w:r w:rsidRPr="00B84DE7">
        <w:rPr>
          <w:rFonts w:ascii="Baskerville Old Face" w:hAnsi="Baskerville Old Face"/>
          <w:sz w:val="24"/>
          <w:szCs w:val="24"/>
          <w:lang w:val="en-GB"/>
        </w:rPr>
        <w:t>). This increase is based on the following assumptions:</w:t>
      </w:r>
    </w:p>
    <w:p w14:paraId="2673AC5B" w14:textId="77777777" w:rsidR="006B6538" w:rsidRPr="00672A6D" w:rsidRDefault="006B6538" w:rsidP="00931C1A">
      <w:pPr>
        <w:pStyle w:val="ListParagraph"/>
        <w:numPr>
          <w:ilvl w:val="0"/>
          <w:numId w:val="19"/>
        </w:numPr>
        <w:jc w:val="both"/>
        <w:rPr>
          <w:rFonts w:ascii="Baskerville Old Face" w:hAnsi="Baskerville Old Face"/>
          <w:sz w:val="24"/>
          <w:szCs w:val="24"/>
          <w:lang w:val="en-GB"/>
        </w:rPr>
      </w:pPr>
      <w:r w:rsidRPr="00672A6D">
        <w:rPr>
          <w:rFonts w:ascii="Baskerville Old Face" w:hAnsi="Baskerville Old Face"/>
          <w:sz w:val="24"/>
          <w:szCs w:val="24"/>
          <w:lang w:val="en-GB"/>
        </w:rPr>
        <w:t>Nominal GDP growth of 17.1%</w:t>
      </w:r>
    </w:p>
    <w:p w14:paraId="3EA7DD79" w14:textId="77777777" w:rsidR="006B6538" w:rsidRDefault="006B6538" w:rsidP="00931C1A">
      <w:pPr>
        <w:pStyle w:val="ListParagraph"/>
        <w:numPr>
          <w:ilvl w:val="0"/>
          <w:numId w:val="19"/>
        </w:numPr>
        <w:jc w:val="both"/>
        <w:rPr>
          <w:rFonts w:ascii="Baskerville Old Face" w:hAnsi="Baskerville Old Face"/>
          <w:sz w:val="24"/>
          <w:szCs w:val="24"/>
          <w:lang w:val="en-GB"/>
        </w:rPr>
      </w:pPr>
      <w:r>
        <w:rPr>
          <w:rFonts w:ascii="Baskerville Old Face" w:hAnsi="Baskerville Old Face"/>
          <w:sz w:val="24"/>
          <w:szCs w:val="24"/>
          <w:lang w:val="en-GB"/>
        </w:rPr>
        <w:t>Implementation of remaining provisions in Finance Act 2024</w:t>
      </w:r>
    </w:p>
    <w:p w14:paraId="48E8508F" w14:textId="77777777" w:rsidR="006B6538" w:rsidRDefault="006B6538" w:rsidP="00931C1A">
      <w:pPr>
        <w:pStyle w:val="ListParagraph"/>
        <w:numPr>
          <w:ilvl w:val="0"/>
          <w:numId w:val="19"/>
        </w:numPr>
        <w:jc w:val="both"/>
        <w:rPr>
          <w:rFonts w:ascii="Baskerville Old Face" w:hAnsi="Baskerville Old Face"/>
          <w:sz w:val="24"/>
          <w:szCs w:val="24"/>
          <w:lang w:val="en-GB"/>
        </w:rPr>
      </w:pPr>
      <w:r>
        <w:rPr>
          <w:rFonts w:ascii="Baskerville Old Face" w:hAnsi="Baskerville Old Face"/>
          <w:sz w:val="24"/>
          <w:szCs w:val="24"/>
          <w:lang w:val="en-GB"/>
        </w:rPr>
        <w:t xml:space="preserve">Full implementation of Finance Act 2025 </w:t>
      </w:r>
    </w:p>
    <w:p w14:paraId="1367637B" w14:textId="77777777" w:rsidR="006B6538" w:rsidRDefault="006B6538" w:rsidP="00931C1A">
      <w:pPr>
        <w:pStyle w:val="ListParagraph"/>
        <w:numPr>
          <w:ilvl w:val="0"/>
          <w:numId w:val="19"/>
        </w:numPr>
        <w:jc w:val="both"/>
        <w:rPr>
          <w:rFonts w:ascii="Baskerville Old Face" w:hAnsi="Baskerville Old Face"/>
          <w:sz w:val="24"/>
          <w:szCs w:val="24"/>
          <w:lang w:val="en-GB"/>
        </w:rPr>
      </w:pPr>
      <w:r>
        <w:rPr>
          <w:rFonts w:ascii="Baskerville Old Face" w:hAnsi="Baskerville Old Face"/>
          <w:sz w:val="24"/>
          <w:szCs w:val="24"/>
          <w:lang w:val="en-GB"/>
        </w:rPr>
        <w:t>Implementation of selected tax administration reforms</w:t>
      </w:r>
    </w:p>
    <w:p w14:paraId="00601DE2" w14:textId="77777777" w:rsidR="006B6538" w:rsidRDefault="006B6538" w:rsidP="00931C1A">
      <w:pPr>
        <w:pStyle w:val="ListParagraph"/>
        <w:numPr>
          <w:ilvl w:val="0"/>
          <w:numId w:val="19"/>
        </w:numPr>
        <w:jc w:val="both"/>
        <w:rPr>
          <w:rFonts w:ascii="Baskerville Old Face" w:hAnsi="Baskerville Old Face"/>
          <w:sz w:val="24"/>
          <w:szCs w:val="24"/>
          <w:lang w:val="en-GB"/>
        </w:rPr>
      </w:pPr>
      <w:r>
        <w:rPr>
          <w:rFonts w:ascii="Baskerville Old Face" w:hAnsi="Baskerville Old Face"/>
          <w:sz w:val="24"/>
          <w:szCs w:val="24"/>
          <w:lang w:val="en-GB"/>
        </w:rPr>
        <w:t>Other revenue mobilisation measures</w:t>
      </w:r>
    </w:p>
    <w:p w14:paraId="0267236C" w14:textId="77777777" w:rsidR="006B6538" w:rsidRDefault="006B6538" w:rsidP="00931C1A">
      <w:pPr>
        <w:pStyle w:val="ListParagraph"/>
        <w:numPr>
          <w:ilvl w:val="0"/>
          <w:numId w:val="19"/>
        </w:numPr>
        <w:jc w:val="both"/>
        <w:rPr>
          <w:rFonts w:ascii="Baskerville Old Face" w:hAnsi="Baskerville Old Face"/>
          <w:sz w:val="24"/>
          <w:szCs w:val="24"/>
          <w:lang w:val="en-GB"/>
        </w:rPr>
      </w:pPr>
      <w:r>
        <w:rPr>
          <w:rFonts w:ascii="Baskerville Old Face" w:hAnsi="Baskerville Old Face"/>
          <w:sz w:val="24"/>
          <w:szCs w:val="24"/>
          <w:lang w:val="en-GB"/>
        </w:rPr>
        <w:t>Stable global economy leading to increased and steady import volumes.</w:t>
      </w:r>
    </w:p>
    <w:p w14:paraId="3DA98B74" w14:textId="607DC403" w:rsidR="0071721B" w:rsidRPr="002465E3" w:rsidRDefault="0071721B" w:rsidP="0071721B">
      <w:pPr>
        <w:pStyle w:val="Caption"/>
        <w:keepNext/>
        <w:rPr>
          <w:rFonts w:ascii="Baskerville Old Face" w:hAnsi="Baskerville Old Face"/>
          <w:b/>
          <w:bCs/>
          <w:sz w:val="24"/>
          <w:szCs w:val="24"/>
        </w:rPr>
      </w:pPr>
      <w:bookmarkStart w:id="113" w:name="_Toc198044045"/>
      <w:r w:rsidRPr="002465E3">
        <w:rPr>
          <w:rFonts w:ascii="Baskerville Old Face" w:hAnsi="Baskerville Old Face"/>
          <w:b/>
          <w:bCs/>
          <w:sz w:val="24"/>
          <w:szCs w:val="24"/>
        </w:rPr>
        <w:t xml:space="preserve">Table </w:t>
      </w:r>
      <w:r w:rsidRPr="002465E3">
        <w:rPr>
          <w:rFonts w:ascii="Baskerville Old Face" w:hAnsi="Baskerville Old Face"/>
          <w:b/>
          <w:bCs/>
          <w:sz w:val="24"/>
          <w:szCs w:val="24"/>
        </w:rPr>
        <w:fldChar w:fldCharType="begin"/>
      </w:r>
      <w:r w:rsidRPr="002465E3">
        <w:rPr>
          <w:rFonts w:ascii="Baskerville Old Face" w:hAnsi="Baskerville Old Face"/>
          <w:b/>
          <w:bCs/>
          <w:sz w:val="24"/>
          <w:szCs w:val="24"/>
        </w:rPr>
        <w:instrText xml:space="preserve"> SEQ Table \* ARABIC </w:instrText>
      </w:r>
      <w:r w:rsidRPr="002465E3">
        <w:rPr>
          <w:rFonts w:ascii="Baskerville Old Face" w:hAnsi="Baskerville Old Face"/>
          <w:b/>
          <w:bCs/>
          <w:sz w:val="24"/>
          <w:szCs w:val="24"/>
        </w:rPr>
        <w:fldChar w:fldCharType="separate"/>
      </w:r>
      <w:r w:rsidRPr="002465E3">
        <w:rPr>
          <w:rFonts w:ascii="Baskerville Old Face" w:hAnsi="Baskerville Old Face"/>
          <w:b/>
          <w:bCs/>
          <w:noProof/>
          <w:sz w:val="24"/>
          <w:szCs w:val="24"/>
        </w:rPr>
        <w:t>27</w:t>
      </w:r>
      <w:r w:rsidRPr="002465E3">
        <w:rPr>
          <w:rFonts w:ascii="Baskerville Old Face" w:hAnsi="Baskerville Old Face"/>
          <w:b/>
          <w:bCs/>
          <w:sz w:val="24"/>
          <w:szCs w:val="24"/>
        </w:rPr>
        <w:fldChar w:fldCharType="end"/>
      </w:r>
      <w:r w:rsidRPr="002465E3">
        <w:rPr>
          <w:rFonts w:ascii="Baskerville Old Face" w:hAnsi="Baskerville Old Face"/>
          <w:b/>
          <w:bCs/>
          <w:sz w:val="24"/>
          <w:szCs w:val="24"/>
        </w:rPr>
        <w:t>: Domestic Revenue Target for 2025 (</w:t>
      </w:r>
      <w:proofErr w:type="spellStart"/>
      <w:r w:rsidRPr="002465E3">
        <w:rPr>
          <w:rFonts w:ascii="Baskerville Old Face" w:hAnsi="Baskerville Old Face"/>
          <w:b/>
          <w:bCs/>
          <w:sz w:val="24"/>
          <w:szCs w:val="24"/>
        </w:rPr>
        <w:t>NLe</w:t>
      </w:r>
      <w:proofErr w:type="spellEnd"/>
      <w:r w:rsidRPr="002465E3">
        <w:rPr>
          <w:rFonts w:ascii="Baskerville Old Face" w:hAnsi="Baskerville Old Face"/>
          <w:b/>
          <w:bCs/>
          <w:sz w:val="24"/>
          <w:szCs w:val="24"/>
        </w:rPr>
        <w:t xml:space="preserve"> Thousand)</w:t>
      </w:r>
      <w:bookmarkEnd w:id="113"/>
    </w:p>
    <w:tbl>
      <w:tblPr>
        <w:tblStyle w:val="GridTable4-Accent1"/>
        <w:tblW w:w="9985" w:type="dxa"/>
        <w:tblLook w:val="04A0" w:firstRow="1" w:lastRow="0" w:firstColumn="1" w:lastColumn="0" w:noHBand="0" w:noVBand="1"/>
      </w:tblPr>
      <w:tblGrid>
        <w:gridCol w:w="4172"/>
        <w:gridCol w:w="1427"/>
        <w:gridCol w:w="1671"/>
        <w:gridCol w:w="1545"/>
        <w:gridCol w:w="1170"/>
      </w:tblGrid>
      <w:tr w:rsidR="006B6538" w:rsidRPr="00AD62B4" w14:paraId="05FA37EB" w14:textId="77777777" w:rsidTr="003D1B93">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4CC92" w14:textId="77777777" w:rsidR="006B6538" w:rsidRPr="00AD62B4" w:rsidRDefault="006B6538" w:rsidP="006E4F32">
            <w:pPr>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 </w:t>
            </w:r>
          </w:p>
        </w:tc>
        <w:tc>
          <w:tcPr>
            <w:tcW w:w="0" w:type="auto"/>
            <w:hideMark/>
          </w:tcPr>
          <w:p w14:paraId="4068E497" w14:textId="77777777" w:rsidR="006B6538" w:rsidRPr="003D1B93" w:rsidRDefault="006B6538"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auto"/>
                <w:sz w:val="22"/>
                <w:szCs w:val="22"/>
              </w:rPr>
            </w:pPr>
            <w:r w:rsidRPr="003D1B93">
              <w:rPr>
                <w:rFonts w:ascii="Baskerville Old Face" w:eastAsia="Times New Roman" w:hAnsi="Baskerville Old Face" w:cs="Times New Roman"/>
                <w:color w:val="auto"/>
                <w:sz w:val="22"/>
                <w:szCs w:val="22"/>
              </w:rPr>
              <w:t>2024 Estimate</w:t>
            </w:r>
          </w:p>
        </w:tc>
        <w:tc>
          <w:tcPr>
            <w:tcW w:w="0" w:type="auto"/>
            <w:hideMark/>
          </w:tcPr>
          <w:p w14:paraId="13164FBF" w14:textId="77777777" w:rsidR="006B6538" w:rsidRPr="003D1B93" w:rsidRDefault="006B6538"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auto"/>
                <w:sz w:val="22"/>
                <w:szCs w:val="22"/>
              </w:rPr>
            </w:pPr>
            <w:r w:rsidRPr="003D1B93">
              <w:rPr>
                <w:rFonts w:ascii="Baskerville Old Face" w:eastAsia="Times New Roman" w:hAnsi="Baskerville Old Face" w:cs="Times New Roman"/>
                <w:color w:val="auto"/>
                <w:sz w:val="22"/>
                <w:szCs w:val="22"/>
              </w:rPr>
              <w:t>2025 Target IMF</w:t>
            </w:r>
          </w:p>
        </w:tc>
        <w:tc>
          <w:tcPr>
            <w:tcW w:w="1545" w:type="dxa"/>
            <w:hideMark/>
          </w:tcPr>
          <w:p w14:paraId="59FE1286" w14:textId="77777777" w:rsidR="006B6538" w:rsidRPr="003D1B93" w:rsidRDefault="006B6538"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auto"/>
                <w:sz w:val="22"/>
                <w:szCs w:val="22"/>
              </w:rPr>
            </w:pPr>
            <w:r w:rsidRPr="003D1B93">
              <w:rPr>
                <w:rFonts w:ascii="Baskerville Old Face" w:eastAsia="Times New Roman" w:hAnsi="Baskerville Old Face" w:cs="Times New Roman"/>
                <w:color w:val="auto"/>
                <w:sz w:val="22"/>
                <w:szCs w:val="22"/>
              </w:rPr>
              <w:t>Increase</w:t>
            </w:r>
          </w:p>
        </w:tc>
        <w:tc>
          <w:tcPr>
            <w:tcW w:w="1170" w:type="dxa"/>
            <w:hideMark/>
          </w:tcPr>
          <w:p w14:paraId="03198B1B" w14:textId="77777777" w:rsidR="006B6538" w:rsidRPr="003D1B93" w:rsidRDefault="006B6538"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auto"/>
                <w:sz w:val="22"/>
                <w:szCs w:val="22"/>
              </w:rPr>
            </w:pPr>
            <w:r w:rsidRPr="003D1B93">
              <w:rPr>
                <w:rFonts w:ascii="Baskerville Old Face" w:eastAsia="Times New Roman" w:hAnsi="Baskerville Old Face" w:cs="Times New Roman"/>
                <w:color w:val="auto"/>
                <w:sz w:val="22"/>
                <w:szCs w:val="22"/>
              </w:rPr>
              <w:t>% Growth</w:t>
            </w:r>
          </w:p>
        </w:tc>
      </w:tr>
      <w:tr w:rsidR="006B6538" w:rsidRPr="00AD62B4" w14:paraId="62057DCE" w14:textId="77777777" w:rsidTr="003D1B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hideMark/>
          </w:tcPr>
          <w:p w14:paraId="6B3FF32F"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TOTAL DOMESTIC  REVENUE</w:t>
            </w:r>
          </w:p>
        </w:tc>
        <w:tc>
          <w:tcPr>
            <w:tcW w:w="0" w:type="auto"/>
            <w:hideMark/>
          </w:tcPr>
          <w:p w14:paraId="0F61477B"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14,560,234</w:t>
            </w:r>
          </w:p>
        </w:tc>
        <w:tc>
          <w:tcPr>
            <w:tcW w:w="0" w:type="auto"/>
            <w:hideMark/>
          </w:tcPr>
          <w:p w14:paraId="21FFF627"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18,908,844</w:t>
            </w:r>
          </w:p>
        </w:tc>
        <w:tc>
          <w:tcPr>
            <w:tcW w:w="1545" w:type="dxa"/>
            <w:hideMark/>
          </w:tcPr>
          <w:p w14:paraId="7393000B"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4,348,610</w:t>
            </w:r>
          </w:p>
        </w:tc>
        <w:tc>
          <w:tcPr>
            <w:tcW w:w="1170" w:type="dxa"/>
            <w:noWrap/>
            <w:hideMark/>
          </w:tcPr>
          <w:p w14:paraId="6975A9F1"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30%</w:t>
            </w:r>
          </w:p>
        </w:tc>
      </w:tr>
      <w:tr w:rsidR="006B6538" w:rsidRPr="00AD62B4" w14:paraId="378512E6" w14:textId="77777777" w:rsidTr="003D1B93">
        <w:trPr>
          <w:trHeight w:val="353"/>
        </w:trPr>
        <w:tc>
          <w:tcPr>
            <w:cnfStyle w:val="001000000000" w:firstRow="0" w:lastRow="0" w:firstColumn="1" w:lastColumn="0" w:oddVBand="0" w:evenVBand="0" w:oddHBand="0" w:evenHBand="0" w:firstRowFirstColumn="0" w:firstRowLastColumn="0" w:lastRowFirstColumn="0" w:lastRowLastColumn="0"/>
            <w:tcW w:w="0" w:type="auto"/>
            <w:hideMark/>
          </w:tcPr>
          <w:p w14:paraId="07B84053"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DOMESTIC TAX DEPARTMENT</w:t>
            </w:r>
          </w:p>
        </w:tc>
        <w:tc>
          <w:tcPr>
            <w:tcW w:w="0" w:type="auto"/>
            <w:hideMark/>
          </w:tcPr>
          <w:p w14:paraId="428866A0"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8,042,068</w:t>
            </w:r>
          </w:p>
        </w:tc>
        <w:tc>
          <w:tcPr>
            <w:tcW w:w="0" w:type="auto"/>
            <w:hideMark/>
          </w:tcPr>
          <w:p w14:paraId="05D5E3FE"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11,060,403</w:t>
            </w:r>
          </w:p>
        </w:tc>
        <w:tc>
          <w:tcPr>
            <w:tcW w:w="1545" w:type="dxa"/>
            <w:hideMark/>
          </w:tcPr>
          <w:p w14:paraId="79982EE8"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3,018,336</w:t>
            </w:r>
          </w:p>
        </w:tc>
        <w:tc>
          <w:tcPr>
            <w:tcW w:w="1170" w:type="dxa"/>
            <w:noWrap/>
            <w:hideMark/>
          </w:tcPr>
          <w:p w14:paraId="5E4C7DDB"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38%</w:t>
            </w:r>
          </w:p>
        </w:tc>
      </w:tr>
      <w:tr w:rsidR="006B6538" w:rsidRPr="00AD62B4" w14:paraId="7BC3E31D"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0732E151"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 xml:space="preserve">Income Tax </w:t>
            </w:r>
          </w:p>
        </w:tc>
        <w:tc>
          <w:tcPr>
            <w:tcW w:w="0" w:type="auto"/>
            <w:hideMark/>
          </w:tcPr>
          <w:p w14:paraId="45FA9925"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5,734,321</w:t>
            </w:r>
          </w:p>
        </w:tc>
        <w:tc>
          <w:tcPr>
            <w:tcW w:w="0" w:type="auto"/>
            <w:hideMark/>
          </w:tcPr>
          <w:p w14:paraId="39D20D8A"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6,749,304</w:t>
            </w:r>
          </w:p>
        </w:tc>
        <w:tc>
          <w:tcPr>
            <w:tcW w:w="1545" w:type="dxa"/>
            <w:hideMark/>
          </w:tcPr>
          <w:p w14:paraId="4A5E2C97"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1,014,982</w:t>
            </w:r>
          </w:p>
        </w:tc>
        <w:tc>
          <w:tcPr>
            <w:tcW w:w="1170" w:type="dxa"/>
            <w:noWrap/>
            <w:hideMark/>
          </w:tcPr>
          <w:p w14:paraId="19E1854F"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18%</w:t>
            </w:r>
          </w:p>
        </w:tc>
      </w:tr>
      <w:tr w:rsidR="006B6538" w:rsidRPr="00AD62B4" w14:paraId="15009004"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24ECD150"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Goods and Services Tax (GST)</w:t>
            </w:r>
          </w:p>
        </w:tc>
        <w:tc>
          <w:tcPr>
            <w:tcW w:w="0" w:type="auto"/>
            <w:hideMark/>
          </w:tcPr>
          <w:p w14:paraId="2C26B49E"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2,307,747</w:t>
            </w:r>
          </w:p>
        </w:tc>
        <w:tc>
          <w:tcPr>
            <w:tcW w:w="0" w:type="auto"/>
            <w:hideMark/>
          </w:tcPr>
          <w:p w14:paraId="63EBE0F8"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4,311,100</w:t>
            </w:r>
          </w:p>
        </w:tc>
        <w:tc>
          <w:tcPr>
            <w:tcW w:w="1545" w:type="dxa"/>
            <w:hideMark/>
          </w:tcPr>
          <w:p w14:paraId="6B22868C"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2,003,353</w:t>
            </w:r>
          </w:p>
        </w:tc>
        <w:tc>
          <w:tcPr>
            <w:tcW w:w="1170" w:type="dxa"/>
            <w:noWrap/>
            <w:hideMark/>
          </w:tcPr>
          <w:p w14:paraId="26909DC0"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87%</w:t>
            </w:r>
          </w:p>
        </w:tc>
      </w:tr>
      <w:tr w:rsidR="006B6538" w:rsidRPr="00AD62B4" w14:paraId="79BAFC54"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51A1A4F2" w14:textId="77777777" w:rsidR="006B6538" w:rsidRPr="00AD62B4" w:rsidRDefault="006B6538" w:rsidP="006E4F32">
            <w:pPr>
              <w:rPr>
                <w:rFonts w:ascii="Baskerville Old Face" w:eastAsia="Times New Roman" w:hAnsi="Baskerville Old Face" w:cs="Times New Roman"/>
                <w:i/>
                <w:iCs/>
                <w:sz w:val="20"/>
                <w:szCs w:val="20"/>
              </w:rPr>
            </w:pPr>
            <w:r w:rsidRPr="00AD62B4">
              <w:rPr>
                <w:rFonts w:ascii="Baskerville Old Face" w:eastAsia="Times New Roman" w:hAnsi="Baskerville Old Face" w:cs="Times New Roman"/>
                <w:i/>
                <w:iCs/>
                <w:sz w:val="20"/>
                <w:szCs w:val="20"/>
              </w:rPr>
              <w:t>Import GST</w:t>
            </w:r>
          </w:p>
        </w:tc>
        <w:tc>
          <w:tcPr>
            <w:tcW w:w="0" w:type="auto"/>
            <w:noWrap/>
            <w:hideMark/>
          </w:tcPr>
          <w:p w14:paraId="4141BA4C"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1,083,487</w:t>
            </w:r>
          </w:p>
        </w:tc>
        <w:tc>
          <w:tcPr>
            <w:tcW w:w="0" w:type="auto"/>
            <w:hideMark/>
          </w:tcPr>
          <w:p w14:paraId="1194BC0C"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1,941,976</w:t>
            </w:r>
          </w:p>
        </w:tc>
        <w:tc>
          <w:tcPr>
            <w:tcW w:w="1545" w:type="dxa"/>
            <w:hideMark/>
          </w:tcPr>
          <w:p w14:paraId="11FEC1F3"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858,489</w:t>
            </w:r>
          </w:p>
        </w:tc>
        <w:tc>
          <w:tcPr>
            <w:tcW w:w="1170" w:type="dxa"/>
            <w:noWrap/>
            <w:hideMark/>
          </w:tcPr>
          <w:p w14:paraId="7563337B"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79%</w:t>
            </w:r>
          </w:p>
        </w:tc>
      </w:tr>
      <w:tr w:rsidR="006B6538" w:rsidRPr="00AD62B4" w14:paraId="41CC22F9"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156F0C18" w14:textId="77777777" w:rsidR="006B6538" w:rsidRPr="00AD62B4" w:rsidRDefault="006B6538" w:rsidP="006E4F32">
            <w:pPr>
              <w:rPr>
                <w:rFonts w:ascii="Baskerville Old Face" w:eastAsia="Times New Roman" w:hAnsi="Baskerville Old Face" w:cs="Times New Roman"/>
                <w:i/>
                <w:iCs/>
                <w:sz w:val="20"/>
                <w:szCs w:val="20"/>
              </w:rPr>
            </w:pPr>
            <w:r w:rsidRPr="00AD62B4">
              <w:rPr>
                <w:rFonts w:ascii="Baskerville Old Face" w:eastAsia="Times New Roman" w:hAnsi="Baskerville Old Face" w:cs="Times New Roman"/>
                <w:i/>
                <w:iCs/>
                <w:sz w:val="20"/>
                <w:szCs w:val="20"/>
              </w:rPr>
              <w:t>Domestic GST</w:t>
            </w:r>
          </w:p>
        </w:tc>
        <w:tc>
          <w:tcPr>
            <w:tcW w:w="0" w:type="auto"/>
            <w:noWrap/>
            <w:hideMark/>
          </w:tcPr>
          <w:p w14:paraId="602FA5A5"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1,224,259</w:t>
            </w:r>
          </w:p>
        </w:tc>
        <w:tc>
          <w:tcPr>
            <w:tcW w:w="0" w:type="auto"/>
            <w:hideMark/>
          </w:tcPr>
          <w:p w14:paraId="1EF29C3C"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2,369,123</w:t>
            </w:r>
          </w:p>
        </w:tc>
        <w:tc>
          <w:tcPr>
            <w:tcW w:w="1545" w:type="dxa"/>
            <w:hideMark/>
          </w:tcPr>
          <w:p w14:paraId="5C6075D9"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1,144,864</w:t>
            </w:r>
          </w:p>
        </w:tc>
        <w:tc>
          <w:tcPr>
            <w:tcW w:w="1170" w:type="dxa"/>
            <w:noWrap/>
            <w:hideMark/>
          </w:tcPr>
          <w:p w14:paraId="7B95EDAE"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94%</w:t>
            </w:r>
          </w:p>
        </w:tc>
      </w:tr>
      <w:tr w:rsidR="006B6538" w:rsidRPr="00AD62B4" w14:paraId="3C1B2E1E"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4F66808D" w14:textId="77777777" w:rsidR="006B6538" w:rsidRPr="00AD62B4" w:rsidRDefault="006B6538" w:rsidP="006E4F32">
            <w:pPr>
              <w:rPr>
                <w:rFonts w:ascii="Baskerville Old Face" w:eastAsia="Times New Roman" w:hAnsi="Baskerville Old Face" w:cs="Times New Roman"/>
                <w:sz w:val="20"/>
                <w:szCs w:val="20"/>
                <w:u w:val="single"/>
              </w:rPr>
            </w:pPr>
            <w:r w:rsidRPr="00AD62B4">
              <w:rPr>
                <w:rFonts w:ascii="Baskerville Old Face" w:eastAsia="Times New Roman" w:hAnsi="Baskerville Old Face" w:cs="Times New Roman"/>
                <w:sz w:val="20"/>
                <w:szCs w:val="20"/>
                <w:u w:val="single"/>
              </w:rPr>
              <w:t>CUSTOMS SERVICE DEPARTMENT (CSD)</w:t>
            </w:r>
          </w:p>
        </w:tc>
        <w:tc>
          <w:tcPr>
            <w:tcW w:w="0" w:type="auto"/>
            <w:hideMark/>
          </w:tcPr>
          <w:p w14:paraId="2A5E6FC0"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3,261,249</w:t>
            </w:r>
          </w:p>
        </w:tc>
        <w:tc>
          <w:tcPr>
            <w:tcW w:w="0" w:type="auto"/>
            <w:hideMark/>
          </w:tcPr>
          <w:p w14:paraId="03F1DA04"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4,076,005</w:t>
            </w:r>
          </w:p>
        </w:tc>
        <w:tc>
          <w:tcPr>
            <w:tcW w:w="1545" w:type="dxa"/>
            <w:hideMark/>
          </w:tcPr>
          <w:p w14:paraId="704586F2"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814,756</w:t>
            </w:r>
          </w:p>
        </w:tc>
        <w:tc>
          <w:tcPr>
            <w:tcW w:w="1170" w:type="dxa"/>
            <w:noWrap/>
            <w:hideMark/>
          </w:tcPr>
          <w:p w14:paraId="3656D44C"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25%</w:t>
            </w:r>
          </w:p>
        </w:tc>
      </w:tr>
      <w:tr w:rsidR="006B6538" w:rsidRPr="00AD62B4" w14:paraId="4CCB84D4"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79C50BD0"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 xml:space="preserve"> Import Duties</w:t>
            </w:r>
          </w:p>
        </w:tc>
        <w:tc>
          <w:tcPr>
            <w:tcW w:w="0" w:type="auto"/>
            <w:noWrap/>
            <w:hideMark/>
          </w:tcPr>
          <w:p w14:paraId="17631F61"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1,449,083</w:t>
            </w:r>
          </w:p>
        </w:tc>
        <w:tc>
          <w:tcPr>
            <w:tcW w:w="0" w:type="auto"/>
            <w:hideMark/>
          </w:tcPr>
          <w:p w14:paraId="50B7869B"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1,937,500</w:t>
            </w:r>
          </w:p>
        </w:tc>
        <w:tc>
          <w:tcPr>
            <w:tcW w:w="1545" w:type="dxa"/>
            <w:hideMark/>
          </w:tcPr>
          <w:p w14:paraId="2BB3D542"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488,417</w:t>
            </w:r>
          </w:p>
        </w:tc>
        <w:tc>
          <w:tcPr>
            <w:tcW w:w="1170" w:type="dxa"/>
            <w:noWrap/>
            <w:hideMark/>
          </w:tcPr>
          <w:p w14:paraId="2D08FC80"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34%</w:t>
            </w:r>
          </w:p>
        </w:tc>
      </w:tr>
      <w:tr w:rsidR="006B6538" w:rsidRPr="00AD62B4" w14:paraId="73A6D4C4"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36B39A0C"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Excise on Petroleum</w:t>
            </w:r>
          </w:p>
        </w:tc>
        <w:tc>
          <w:tcPr>
            <w:tcW w:w="0" w:type="auto"/>
            <w:noWrap/>
            <w:hideMark/>
          </w:tcPr>
          <w:p w14:paraId="2329A0D1"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1,663,439</w:t>
            </w:r>
          </w:p>
        </w:tc>
        <w:tc>
          <w:tcPr>
            <w:tcW w:w="0" w:type="auto"/>
            <w:hideMark/>
          </w:tcPr>
          <w:p w14:paraId="0F0B3F54"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1,931,190</w:t>
            </w:r>
          </w:p>
        </w:tc>
        <w:tc>
          <w:tcPr>
            <w:tcW w:w="1545" w:type="dxa"/>
            <w:hideMark/>
          </w:tcPr>
          <w:p w14:paraId="3D894558"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267,751</w:t>
            </w:r>
          </w:p>
        </w:tc>
        <w:tc>
          <w:tcPr>
            <w:tcW w:w="1170" w:type="dxa"/>
            <w:noWrap/>
            <w:hideMark/>
          </w:tcPr>
          <w:p w14:paraId="563613EA"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16%</w:t>
            </w:r>
          </w:p>
        </w:tc>
      </w:tr>
      <w:tr w:rsidR="006B6538" w:rsidRPr="00AD62B4" w14:paraId="3A24F3D5"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623D5E75"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Other Excise</w:t>
            </w:r>
          </w:p>
        </w:tc>
        <w:tc>
          <w:tcPr>
            <w:tcW w:w="0" w:type="auto"/>
            <w:noWrap/>
            <w:hideMark/>
          </w:tcPr>
          <w:p w14:paraId="675DA710"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148,727</w:t>
            </w:r>
          </w:p>
        </w:tc>
        <w:tc>
          <w:tcPr>
            <w:tcW w:w="0" w:type="auto"/>
            <w:hideMark/>
          </w:tcPr>
          <w:p w14:paraId="0EDEF49F"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207,315</w:t>
            </w:r>
          </w:p>
        </w:tc>
        <w:tc>
          <w:tcPr>
            <w:tcW w:w="1545" w:type="dxa"/>
            <w:hideMark/>
          </w:tcPr>
          <w:p w14:paraId="1A5B2924"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58,588</w:t>
            </w:r>
          </w:p>
        </w:tc>
        <w:tc>
          <w:tcPr>
            <w:tcW w:w="1170" w:type="dxa"/>
            <w:noWrap/>
            <w:hideMark/>
          </w:tcPr>
          <w:p w14:paraId="36461874"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39%</w:t>
            </w:r>
          </w:p>
        </w:tc>
      </w:tr>
      <w:tr w:rsidR="006B6538" w:rsidRPr="00AD62B4" w14:paraId="2EE84B73"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36AAF61D" w14:textId="77777777" w:rsidR="006B6538" w:rsidRPr="00AD62B4" w:rsidRDefault="006B6538" w:rsidP="006E4F32">
            <w:pPr>
              <w:rPr>
                <w:rFonts w:ascii="Baskerville Old Face" w:eastAsia="Times New Roman" w:hAnsi="Baskerville Old Face" w:cs="Times New Roman"/>
                <w:sz w:val="20"/>
                <w:szCs w:val="20"/>
                <w:u w:val="single"/>
              </w:rPr>
            </w:pPr>
            <w:r w:rsidRPr="00AD62B4">
              <w:rPr>
                <w:rFonts w:ascii="Baskerville Old Face" w:eastAsia="Times New Roman" w:hAnsi="Baskerville Old Face" w:cs="Times New Roman"/>
                <w:sz w:val="20"/>
                <w:szCs w:val="20"/>
                <w:u w:val="single"/>
              </w:rPr>
              <w:t>NON TAX REVENUE DEPARTMENT (NTR)</w:t>
            </w:r>
          </w:p>
        </w:tc>
        <w:tc>
          <w:tcPr>
            <w:tcW w:w="0" w:type="auto"/>
            <w:hideMark/>
          </w:tcPr>
          <w:p w14:paraId="57B0982A"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3,042,755</w:t>
            </w:r>
          </w:p>
        </w:tc>
        <w:tc>
          <w:tcPr>
            <w:tcW w:w="0" w:type="auto"/>
            <w:hideMark/>
          </w:tcPr>
          <w:p w14:paraId="2CCA7719"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3,523,348</w:t>
            </w:r>
          </w:p>
        </w:tc>
        <w:tc>
          <w:tcPr>
            <w:tcW w:w="1545" w:type="dxa"/>
            <w:hideMark/>
          </w:tcPr>
          <w:p w14:paraId="6E47CCE0"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480,593</w:t>
            </w:r>
          </w:p>
        </w:tc>
        <w:tc>
          <w:tcPr>
            <w:tcW w:w="1170" w:type="dxa"/>
            <w:noWrap/>
            <w:hideMark/>
          </w:tcPr>
          <w:p w14:paraId="538BA290"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16%</w:t>
            </w:r>
          </w:p>
        </w:tc>
      </w:tr>
      <w:tr w:rsidR="006B6538" w:rsidRPr="00AD62B4" w14:paraId="32F5CADA"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20A34C27"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Mines Revenue</w:t>
            </w:r>
          </w:p>
        </w:tc>
        <w:tc>
          <w:tcPr>
            <w:tcW w:w="0" w:type="auto"/>
            <w:hideMark/>
          </w:tcPr>
          <w:p w14:paraId="33AD31AF"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975,547</w:t>
            </w:r>
          </w:p>
        </w:tc>
        <w:tc>
          <w:tcPr>
            <w:tcW w:w="0" w:type="auto"/>
            <w:hideMark/>
          </w:tcPr>
          <w:p w14:paraId="1657E549"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1,106,318</w:t>
            </w:r>
          </w:p>
        </w:tc>
        <w:tc>
          <w:tcPr>
            <w:tcW w:w="1545" w:type="dxa"/>
            <w:hideMark/>
          </w:tcPr>
          <w:p w14:paraId="4503EBC6"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130,770</w:t>
            </w:r>
          </w:p>
        </w:tc>
        <w:tc>
          <w:tcPr>
            <w:tcW w:w="1170" w:type="dxa"/>
            <w:noWrap/>
            <w:hideMark/>
          </w:tcPr>
          <w:p w14:paraId="4278E4FE"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13%</w:t>
            </w:r>
          </w:p>
        </w:tc>
      </w:tr>
      <w:tr w:rsidR="006B6538" w:rsidRPr="00AD62B4" w14:paraId="6D22C355"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1A73DA39"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Other Departments</w:t>
            </w:r>
          </w:p>
        </w:tc>
        <w:tc>
          <w:tcPr>
            <w:tcW w:w="0" w:type="auto"/>
            <w:hideMark/>
          </w:tcPr>
          <w:p w14:paraId="69878C0E"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2,067,207</w:t>
            </w:r>
          </w:p>
        </w:tc>
        <w:tc>
          <w:tcPr>
            <w:tcW w:w="0" w:type="auto"/>
            <w:hideMark/>
          </w:tcPr>
          <w:p w14:paraId="1014DCA4"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2,417,030</w:t>
            </w:r>
          </w:p>
        </w:tc>
        <w:tc>
          <w:tcPr>
            <w:tcW w:w="1545" w:type="dxa"/>
            <w:hideMark/>
          </w:tcPr>
          <w:p w14:paraId="0B61341B"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349,823</w:t>
            </w:r>
          </w:p>
        </w:tc>
        <w:tc>
          <w:tcPr>
            <w:tcW w:w="1170" w:type="dxa"/>
            <w:noWrap/>
            <w:hideMark/>
          </w:tcPr>
          <w:p w14:paraId="2B18AFF3"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17%</w:t>
            </w:r>
          </w:p>
        </w:tc>
      </w:tr>
      <w:tr w:rsidR="006B6538" w:rsidRPr="00AD62B4" w14:paraId="6D76D001"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69AC8DB6"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Royalty on Fisheries etc</w:t>
            </w:r>
          </w:p>
        </w:tc>
        <w:tc>
          <w:tcPr>
            <w:tcW w:w="0" w:type="auto"/>
            <w:noWrap/>
            <w:hideMark/>
          </w:tcPr>
          <w:p w14:paraId="1BC56672"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144,771</w:t>
            </w:r>
          </w:p>
        </w:tc>
        <w:tc>
          <w:tcPr>
            <w:tcW w:w="0" w:type="auto"/>
            <w:hideMark/>
          </w:tcPr>
          <w:p w14:paraId="7EF7E965"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171,674</w:t>
            </w:r>
          </w:p>
        </w:tc>
        <w:tc>
          <w:tcPr>
            <w:tcW w:w="1545" w:type="dxa"/>
            <w:hideMark/>
          </w:tcPr>
          <w:p w14:paraId="07C1BA8F"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26,903</w:t>
            </w:r>
          </w:p>
        </w:tc>
        <w:tc>
          <w:tcPr>
            <w:tcW w:w="1170" w:type="dxa"/>
            <w:noWrap/>
            <w:hideMark/>
          </w:tcPr>
          <w:p w14:paraId="2E1EC4F6"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19%</w:t>
            </w:r>
          </w:p>
        </w:tc>
      </w:tr>
      <w:tr w:rsidR="006B6538" w:rsidRPr="00AD62B4" w14:paraId="28B96C28"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0216B0E0"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Parastatals Dividend</w:t>
            </w:r>
          </w:p>
        </w:tc>
        <w:tc>
          <w:tcPr>
            <w:tcW w:w="0" w:type="auto"/>
            <w:noWrap/>
            <w:hideMark/>
          </w:tcPr>
          <w:p w14:paraId="3B8C3440"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290,086</w:t>
            </w:r>
          </w:p>
        </w:tc>
        <w:tc>
          <w:tcPr>
            <w:tcW w:w="0" w:type="auto"/>
            <w:hideMark/>
          </w:tcPr>
          <w:p w14:paraId="0CBD61E8"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395,952</w:t>
            </w:r>
          </w:p>
        </w:tc>
        <w:tc>
          <w:tcPr>
            <w:tcW w:w="1545" w:type="dxa"/>
            <w:hideMark/>
          </w:tcPr>
          <w:p w14:paraId="5861C5EA"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105,866</w:t>
            </w:r>
          </w:p>
        </w:tc>
        <w:tc>
          <w:tcPr>
            <w:tcW w:w="1170" w:type="dxa"/>
            <w:noWrap/>
            <w:hideMark/>
          </w:tcPr>
          <w:p w14:paraId="39F28A89"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36%</w:t>
            </w:r>
          </w:p>
        </w:tc>
      </w:tr>
      <w:tr w:rsidR="006B6538" w:rsidRPr="00AD62B4" w14:paraId="148CB223"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6C7711D2"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Other Revenues</w:t>
            </w:r>
          </w:p>
        </w:tc>
        <w:tc>
          <w:tcPr>
            <w:tcW w:w="0" w:type="auto"/>
            <w:hideMark/>
          </w:tcPr>
          <w:p w14:paraId="2EF39695"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1,632,351</w:t>
            </w:r>
          </w:p>
        </w:tc>
        <w:tc>
          <w:tcPr>
            <w:tcW w:w="0" w:type="auto"/>
            <w:hideMark/>
          </w:tcPr>
          <w:p w14:paraId="51E49E2E"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1,849,405</w:t>
            </w:r>
          </w:p>
        </w:tc>
        <w:tc>
          <w:tcPr>
            <w:tcW w:w="1545" w:type="dxa"/>
            <w:hideMark/>
          </w:tcPr>
          <w:p w14:paraId="4A953290"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217,054</w:t>
            </w:r>
          </w:p>
        </w:tc>
        <w:tc>
          <w:tcPr>
            <w:tcW w:w="1170" w:type="dxa"/>
            <w:noWrap/>
            <w:hideMark/>
          </w:tcPr>
          <w:p w14:paraId="58C18EB6"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13%</w:t>
            </w:r>
          </w:p>
        </w:tc>
      </w:tr>
      <w:tr w:rsidR="006B6538" w:rsidRPr="00AD62B4" w14:paraId="35707F76"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749AB045" w14:textId="77777777" w:rsidR="006B6538" w:rsidRPr="00AD62B4" w:rsidRDefault="006B6538" w:rsidP="006E4F32">
            <w:pPr>
              <w:rPr>
                <w:rFonts w:ascii="Baskerville Old Face" w:eastAsia="Times New Roman" w:hAnsi="Baskerville Old Face" w:cs="Times New Roman"/>
                <w:i/>
                <w:iCs/>
                <w:sz w:val="20"/>
                <w:szCs w:val="20"/>
              </w:rPr>
            </w:pPr>
            <w:r w:rsidRPr="00AD62B4">
              <w:rPr>
                <w:rFonts w:ascii="Baskerville Old Face" w:eastAsia="Times New Roman" w:hAnsi="Baskerville Old Face" w:cs="Times New Roman"/>
                <w:i/>
                <w:iCs/>
                <w:sz w:val="20"/>
                <w:szCs w:val="20"/>
              </w:rPr>
              <w:t>o/w TSA</w:t>
            </w:r>
          </w:p>
        </w:tc>
        <w:tc>
          <w:tcPr>
            <w:tcW w:w="0" w:type="auto"/>
            <w:noWrap/>
            <w:hideMark/>
          </w:tcPr>
          <w:p w14:paraId="6D6932D0"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1,411,109</w:t>
            </w:r>
          </w:p>
        </w:tc>
        <w:tc>
          <w:tcPr>
            <w:tcW w:w="0" w:type="auto"/>
            <w:hideMark/>
          </w:tcPr>
          <w:p w14:paraId="77CF3731"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1,510,347</w:t>
            </w:r>
          </w:p>
        </w:tc>
        <w:tc>
          <w:tcPr>
            <w:tcW w:w="1545" w:type="dxa"/>
            <w:hideMark/>
          </w:tcPr>
          <w:p w14:paraId="638546B7"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99,238</w:t>
            </w:r>
          </w:p>
        </w:tc>
        <w:tc>
          <w:tcPr>
            <w:tcW w:w="1170" w:type="dxa"/>
            <w:noWrap/>
            <w:hideMark/>
          </w:tcPr>
          <w:p w14:paraId="0AF6B453"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7%</w:t>
            </w:r>
          </w:p>
        </w:tc>
      </w:tr>
      <w:tr w:rsidR="006B6538" w:rsidRPr="00AD62B4" w14:paraId="2CD24622"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37D6AB42" w14:textId="77777777" w:rsidR="006B6538" w:rsidRPr="00AD62B4" w:rsidRDefault="006B6538" w:rsidP="006E4F32">
            <w:pPr>
              <w:rPr>
                <w:rFonts w:ascii="Baskerville Old Face" w:eastAsia="Times New Roman" w:hAnsi="Baskerville Old Face" w:cs="Times New Roman"/>
                <w:i/>
                <w:iCs/>
                <w:sz w:val="20"/>
                <w:szCs w:val="20"/>
              </w:rPr>
            </w:pPr>
            <w:r w:rsidRPr="00AD62B4">
              <w:rPr>
                <w:rFonts w:ascii="Baskerville Old Face" w:eastAsia="Times New Roman" w:hAnsi="Baskerville Old Face" w:cs="Times New Roman"/>
                <w:i/>
                <w:iCs/>
                <w:sz w:val="20"/>
                <w:szCs w:val="20"/>
              </w:rPr>
              <w:t>o/w Timber</w:t>
            </w:r>
          </w:p>
        </w:tc>
        <w:tc>
          <w:tcPr>
            <w:tcW w:w="0" w:type="auto"/>
            <w:noWrap/>
            <w:hideMark/>
          </w:tcPr>
          <w:p w14:paraId="4174D134"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29,197</w:t>
            </w:r>
          </w:p>
        </w:tc>
        <w:tc>
          <w:tcPr>
            <w:tcW w:w="0" w:type="auto"/>
            <w:hideMark/>
          </w:tcPr>
          <w:p w14:paraId="398A83A5"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w:t>
            </w:r>
          </w:p>
        </w:tc>
        <w:tc>
          <w:tcPr>
            <w:tcW w:w="1545" w:type="dxa"/>
            <w:hideMark/>
          </w:tcPr>
          <w:p w14:paraId="11E91CEC"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(29,197)</w:t>
            </w:r>
          </w:p>
        </w:tc>
        <w:tc>
          <w:tcPr>
            <w:tcW w:w="1170" w:type="dxa"/>
            <w:noWrap/>
            <w:hideMark/>
          </w:tcPr>
          <w:p w14:paraId="37074441"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-100%</w:t>
            </w:r>
          </w:p>
        </w:tc>
      </w:tr>
      <w:tr w:rsidR="006B6538" w:rsidRPr="00AD62B4" w14:paraId="6A2D5B9B" w14:textId="77777777" w:rsidTr="003D1B9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19D95BFF" w14:textId="77777777" w:rsidR="006B6538" w:rsidRPr="00AD62B4" w:rsidRDefault="006B6538" w:rsidP="006E4F32">
            <w:pPr>
              <w:rPr>
                <w:rFonts w:ascii="Baskerville Old Face" w:eastAsia="Times New Roman" w:hAnsi="Baskerville Old Face" w:cs="Times New Roman"/>
                <w:i/>
                <w:iCs/>
                <w:sz w:val="20"/>
                <w:szCs w:val="20"/>
              </w:rPr>
            </w:pPr>
            <w:r w:rsidRPr="00AD62B4">
              <w:rPr>
                <w:rFonts w:ascii="Baskerville Old Face" w:eastAsia="Times New Roman" w:hAnsi="Baskerville Old Face" w:cs="Times New Roman"/>
                <w:i/>
                <w:iCs/>
                <w:sz w:val="20"/>
                <w:szCs w:val="20"/>
              </w:rPr>
              <w:t>o/w Other MDAs</w:t>
            </w:r>
          </w:p>
        </w:tc>
        <w:tc>
          <w:tcPr>
            <w:tcW w:w="0" w:type="auto"/>
            <w:noWrap/>
            <w:hideMark/>
          </w:tcPr>
          <w:p w14:paraId="42AB10B7"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192,045</w:t>
            </w:r>
          </w:p>
        </w:tc>
        <w:tc>
          <w:tcPr>
            <w:tcW w:w="0" w:type="auto"/>
            <w:hideMark/>
          </w:tcPr>
          <w:p w14:paraId="37AD1678"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339,058</w:t>
            </w:r>
          </w:p>
        </w:tc>
        <w:tc>
          <w:tcPr>
            <w:tcW w:w="1545" w:type="dxa"/>
            <w:hideMark/>
          </w:tcPr>
          <w:p w14:paraId="0643D935"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147,014</w:t>
            </w:r>
          </w:p>
        </w:tc>
        <w:tc>
          <w:tcPr>
            <w:tcW w:w="1170" w:type="dxa"/>
            <w:noWrap/>
            <w:hideMark/>
          </w:tcPr>
          <w:p w14:paraId="73F07109" w14:textId="77777777" w:rsidR="006B6538" w:rsidRPr="00AD62B4" w:rsidRDefault="006B6538" w:rsidP="006E4F32">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77%</w:t>
            </w:r>
          </w:p>
        </w:tc>
      </w:tr>
      <w:tr w:rsidR="006B6538" w:rsidRPr="00AD62B4" w14:paraId="706D14F1" w14:textId="77777777" w:rsidTr="003D1B93">
        <w:trPr>
          <w:trHeight w:val="323"/>
        </w:trPr>
        <w:tc>
          <w:tcPr>
            <w:cnfStyle w:val="001000000000" w:firstRow="0" w:lastRow="0" w:firstColumn="1" w:lastColumn="0" w:oddVBand="0" w:evenVBand="0" w:oddHBand="0" w:evenHBand="0" w:firstRowFirstColumn="0" w:firstRowLastColumn="0" w:lastRowFirstColumn="0" w:lastRowLastColumn="0"/>
            <w:tcW w:w="0" w:type="auto"/>
            <w:noWrap/>
            <w:hideMark/>
          </w:tcPr>
          <w:p w14:paraId="69203487" w14:textId="77777777" w:rsidR="006B6538" w:rsidRPr="00AD62B4" w:rsidRDefault="006B6538" w:rsidP="006E4F32">
            <w:pPr>
              <w:rPr>
                <w:rFonts w:ascii="Baskerville Old Face" w:eastAsia="Times New Roman" w:hAnsi="Baskerville Old Face" w:cs="Times New Roman"/>
                <w:sz w:val="20"/>
                <w:szCs w:val="20"/>
              </w:rPr>
            </w:pPr>
            <w:r w:rsidRPr="00AD62B4">
              <w:rPr>
                <w:rFonts w:ascii="Baskerville Old Face" w:eastAsia="Times New Roman" w:hAnsi="Baskerville Old Face" w:cs="Times New Roman"/>
                <w:sz w:val="20"/>
                <w:szCs w:val="20"/>
              </w:rPr>
              <w:t>RUC</w:t>
            </w:r>
          </w:p>
        </w:tc>
        <w:tc>
          <w:tcPr>
            <w:tcW w:w="0" w:type="auto"/>
            <w:noWrap/>
            <w:hideMark/>
          </w:tcPr>
          <w:p w14:paraId="138C1C7A"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214,162</w:t>
            </w:r>
          </w:p>
        </w:tc>
        <w:tc>
          <w:tcPr>
            <w:tcW w:w="0" w:type="auto"/>
            <w:hideMark/>
          </w:tcPr>
          <w:p w14:paraId="012D2A59"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249,087</w:t>
            </w:r>
          </w:p>
        </w:tc>
        <w:tc>
          <w:tcPr>
            <w:tcW w:w="1545" w:type="dxa"/>
            <w:hideMark/>
          </w:tcPr>
          <w:p w14:paraId="3CBE4A62"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0"/>
                <w:szCs w:val="20"/>
              </w:rPr>
            </w:pPr>
            <w:r w:rsidRPr="00AD62B4">
              <w:rPr>
                <w:rFonts w:ascii="Baskerville Old Face" w:eastAsia="Times New Roman" w:hAnsi="Baskerville Old Face" w:cs="Times New Roman"/>
                <w:b/>
                <w:bCs/>
                <w:sz w:val="20"/>
                <w:szCs w:val="20"/>
              </w:rPr>
              <w:t>34,925</w:t>
            </w:r>
          </w:p>
        </w:tc>
        <w:tc>
          <w:tcPr>
            <w:tcW w:w="1170" w:type="dxa"/>
            <w:noWrap/>
            <w:hideMark/>
          </w:tcPr>
          <w:p w14:paraId="6B387854" w14:textId="77777777" w:rsidR="006B6538" w:rsidRPr="00AD62B4" w:rsidRDefault="006B6538"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sz w:val="20"/>
                <w:szCs w:val="20"/>
              </w:rPr>
            </w:pPr>
            <w:r w:rsidRPr="00AD62B4">
              <w:rPr>
                <w:rFonts w:ascii="Baskerville Old Face" w:eastAsia="Times New Roman" w:hAnsi="Baskerville Old Face" w:cs="Times New Roman"/>
                <w:color w:val="000000"/>
                <w:sz w:val="20"/>
                <w:szCs w:val="20"/>
              </w:rPr>
              <w:t>16%</w:t>
            </w:r>
          </w:p>
        </w:tc>
      </w:tr>
    </w:tbl>
    <w:p w14:paraId="23C94715" w14:textId="2A471832" w:rsidR="006B6538" w:rsidRPr="00292695" w:rsidRDefault="00292695" w:rsidP="006B6538">
      <w:pPr>
        <w:jc w:val="both"/>
        <w:rPr>
          <w:rFonts w:ascii="Baskerville Old Face" w:hAnsi="Baskerville Old Face"/>
          <w:i/>
          <w:iCs/>
          <w:sz w:val="18"/>
          <w:szCs w:val="18"/>
          <w:lang w:val="en-GB"/>
        </w:rPr>
      </w:pPr>
      <w:r w:rsidRPr="00292695">
        <w:rPr>
          <w:rFonts w:ascii="Baskerville Old Face" w:hAnsi="Baskerville Old Face"/>
          <w:i/>
          <w:iCs/>
          <w:sz w:val="18"/>
          <w:szCs w:val="18"/>
          <w:lang w:val="en-GB"/>
        </w:rPr>
        <w:t>Source: MRP Department</w:t>
      </w:r>
    </w:p>
    <w:p w14:paraId="7BB8A8E6" w14:textId="77777777" w:rsidR="006B6538" w:rsidRDefault="006B6538" w:rsidP="006B6538">
      <w:pPr>
        <w:jc w:val="both"/>
        <w:rPr>
          <w:rFonts w:ascii="Baskerville Old Face" w:hAnsi="Baskerville Old Face"/>
          <w:sz w:val="24"/>
          <w:szCs w:val="24"/>
          <w:lang w:val="en-GB"/>
        </w:rPr>
      </w:pPr>
    </w:p>
    <w:p w14:paraId="41D56BA9" w14:textId="76346933" w:rsidR="008D2D97" w:rsidRDefault="006B6538" w:rsidP="006B6538">
      <w:pPr>
        <w:rPr>
          <w:rFonts w:ascii="Baskerville Old Face" w:hAnsi="Baskerville Old Face" w:cs="Times New Roman"/>
          <w:sz w:val="24"/>
          <w:szCs w:val="24"/>
        </w:rPr>
      </w:pPr>
      <w:r>
        <w:rPr>
          <w:rFonts w:ascii="Baskerville Old Face" w:hAnsi="Baskerville Old Face"/>
          <w:sz w:val="24"/>
          <w:szCs w:val="24"/>
          <w:lang w:val="en-GB"/>
        </w:rPr>
        <w:lastRenderedPageBreak/>
        <w:t>The Domestic Tax Department (DTD) is targeted to collect NLe11.0 billion (representing 58%), Customs Service Department (CSD) to collect NLe4.2 billion (representing 23%), and NTR to collect NLe3.5 billion (representing 19%) of the total 2025 Domestic Revenue Target.</w:t>
      </w:r>
    </w:p>
    <w:p w14:paraId="25B33B9B" w14:textId="3C7E3F70" w:rsidR="00281FF7" w:rsidRPr="00292695" w:rsidRDefault="007D2403" w:rsidP="00395E0D">
      <w:pPr>
        <w:pStyle w:val="Heading2"/>
        <w:rPr>
          <w:rFonts w:ascii="Baskerville Old Face" w:hAnsi="Baskerville Old Face"/>
          <w:b/>
          <w:bCs/>
        </w:rPr>
      </w:pPr>
      <w:bookmarkStart w:id="114" w:name="_Toc198043959"/>
      <w:r w:rsidRPr="00292695">
        <w:rPr>
          <w:rFonts w:ascii="Baskerville Old Face" w:hAnsi="Baskerville Old Face"/>
          <w:b/>
          <w:bCs/>
        </w:rPr>
        <w:t xml:space="preserve">5.2 </w:t>
      </w:r>
      <w:r w:rsidR="00281FF7" w:rsidRPr="00292695">
        <w:rPr>
          <w:rFonts w:ascii="Baskerville Old Face" w:hAnsi="Baskerville Old Face"/>
          <w:b/>
          <w:bCs/>
        </w:rPr>
        <w:t>Measures to Improve Revenue in 2025</w:t>
      </w:r>
      <w:bookmarkEnd w:id="114"/>
    </w:p>
    <w:p w14:paraId="68026B78" w14:textId="77777777" w:rsidR="00281FF7" w:rsidRPr="005104A8" w:rsidRDefault="00281FF7" w:rsidP="00281FF7">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The National Revenue Authority has outlined a series of strategic measures for 2025 aimed at boosting revenue collection, improving taxpayer compliance, and enhancing the efficiency of revenue administration. These efforts are critical for supporting the government’s development agenda and ensuring fiscal sustainability.</w:t>
      </w:r>
    </w:p>
    <w:p w14:paraId="3FE1C358" w14:textId="77777777" w:rsidR="00281FF7" w:rsidRPr="00B57F3C" w:rsidRDefault="00281FF7" w:rsidP="00281FF7">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To increase domestic revenue collection in 2025, the NRA will focus on implementing key tax policy measures and operational reforms, including:</w:t>
      </w:r>
    </w:p>
    <w:p w14:paraId="530FDE42"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Expanding the Minimum Alternate Tax (MAT) to cover all sectors and enforcing the taxation of digital services, as provided for in the 2024 Finance Act.</w:t>
      </w:r>
    </w:p>
    <w:p w14:paraId="22CE7B45"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proofErr w:type="spellStart"/>
      <w:r w:rsidRPr="00B57F3C">
        <w:rPr>
          <w:rFonts w:ascii="Baskerville Old Face" w:eastAsia="Times New Roman" w:hAnsi="Baskerville Old Face" w:cs="Times New Roman"/>
          <w:kern w:val="0"/>
          <w:sz w:val="24"/>
          <w:szCs w:val="24"/>
          <w14:ligatures w14:val="none"/>
        </w:rPr>
        <w:t>Operationali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ing</w:t>
      </w:r>
      <w:proofErr w:type="spellEnd"/>
      <w:r w:rsidRPr="00B57F3C">
        <w:rPr>
          <w:rFonts w:ascii="Baskerville Old Face" w:eastAsia="Times New Roman" w:hAnsi="Baskerville Old Face" w:cs="Times New Roman"/>
          <w:kern w:val="0"/>
          <w:sz w:val="24"/>
          <w:szCs w:val="24"/>
          <w14:ligatures w14:val="none"/>
        </w:rPr>
        <w:t xml:space="preserve"> the safe harbor pricing mechanism for iron ore exports starting February 2025, to ensure fair and transparent valuation.</w:t>
      </w:r>
    </w:p>
    <w:p w14:paraId="665BD21E" w14:textId="23CB4229"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Enforcing the upfront collection of Goods and Services Tax (GST) from EDSA, which, although budgeted, was not collected in 2024.</w:t>
      </w:r>
    </w:p>
    <w:p w14:paraId="6B98B0BF"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Conducting a comprehensive survey of mining operations across the country and maintaining NRA presence at mining export points to address underreporting and underassessment issues.</w:t>
      </w:r>
    </w:p>
    <w:p w14:paraId="5BC18626"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Establishing a dedicated Customs Revenue Taskforce to address leakages and enforce compliance.</w:t>
      </w:r>
    </w:p>
    <w:p w14:paraId="2A4435E6"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Strengthening efforts to collect arrears owed by mining companies and other key </w:t>
      </w:r>
      <w:r>
        <w:rPr>
          <w:rFonts w:ascii="Baskerville Old Face" w:eastAsia="Times New Roman" w:hAnsi="Baskerville Old Face" w:cs="Times New Roman"/>
          <w:kern w:val="0"/>
          <w:sz w:val="24"/>
          <w:szCs w:val="24"/>
          <w14:ligatures w14:val="none"/>
        </w:rPr>
        <w:t>companies</w:t>
      </w:r>
      <w:r w:rsidRPr="00B57F3C">
        <w:rPr>
          <w:rFonts w:ascii="Baskerville Old Face" w:eastAsia="Times New Roman" w:hAnsi="Baskerville Old Face" w:cs="Times New Roman"/>
          <w:kern w:val="0"/>
          <w:sz w:val="24"/>
          <w:szCs w:val="24"/>
          <w14:ligatures w14:val="none"/>
        </w:rPr>
        <w:t>.</w:t>
      </w:r>
    </w:p>
    <w:p w14:paraId="15D48715" w14:textId="77777777" w:rsidR="00281FF7" w:rsidRPr="00B57F3C" w:rsidRDefault="00281FF7" w:rsidP="00931C1A">
      <w:pPr>
        <w:numPr>
          <w:ilvl w:val="0"/>
          <w:numId w:val="14"/>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Concluding key audits initiated or ongoing in 2024 to recover additional revenues.</w:t>
      </w:r>
    </w:p>
    <w:p w14:paraId="154EF1E5" w14:textId="52547CAF" w:rsidR="00281FF7" w:rsidRPr="00292695" w:rsidRDefault="007D2403" w:rsidP="00395E0D">
      <w:pPr>
        <w:pStyle w:val="Heading2"/>
        <w:rPr>
          <w:rFonts w:ascii="Baskerville Old Face" w:hAnsi="Baskerville Old Face"/>
          <w:b/>
          <w:bCs/>
        </w:rPr>
      </w:pPr>
      <w:bookmarkStart w:id="115" w:name="_Toc198043960"/>
      <w:r w:rsidRPr="00292695">
        <w:rPr>
          <w:rFonts w:ascii="Baskerville Old Face" w:hAnsi="Baskerville Old Face"/>
          <w:b/>
          <w:bCs/>
        </w:rPr>
        <w:t>5</w:t>
      </w:r>
      <w:r w:rsidR="00335224" w:rsidRPr="00292695">
        <w:rPr>
          <w:rFonts w:ascii="Baskerville Old Face" w:hAnsi="Baskerville Old Face"/>
          <w:b/>
          <w:bCs/>
        </w:rPr>
        <w:t xml:space="preserve">.3 </w:t>
      </w:r>
      <w:r w:rsidR="00281FF7" w:rsidRPr="00292695">
        <w:rPr>
          <w:rFonts w:ascii="Baskerville Old Face" w:hAnsi="Baskerville Old Face"/>
          <w:b/>
          <w:bCs/>
        </w:rPr>
        <w:t>Measures to Improve Compliance in 2025</w:t>
      </w:r>
      <w:bookmarkEnd w:id="115"/>
    </w:p>
    <w:p w14:paraId="10A299B0" w14:textId="77777777" w:rsidR="00281FF7" w:rsidRPr="00B57F3C" w:rsidRDefault="00281FF7" w:rsidP="00281FF7">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Improving taxpayer compliance is essential for expanding the tax base and ensuring fairness in the tax system. For 2025, the NRA will focus on:</w:t>
      </w:r>
    </w:p>
    <w:p w14:paraId="48EEB0F4"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Enforcing the compliance</w:t>
      </w:r>
      <w:r>
        <w:rPr>
          <w:rFonts w:ascii="Baskerville Old Face" w:eastAsia="Times New Roman" w:hAnsi="Baskerville Old Face" w:cs="Times New Roman"/>
          <w:kern w:val="0"/>
          <w:sz w:val="24"/>
          <w:szCs w:val="24"/>
          <w14:ligatures w14:val="none"/>
        </w:rPr>
        <w:t xml:space="preserve"> enhancement</w:t>
      </w:r>
      <w:r w:rsidRPr="00B57F3C">
        <w:rPr>
          <w:rFonts w:ascii="Baskerville Old Face" w:eastAsia="Times New Roman" w:hAnsi="Baskerville Old Face" w:cs="Times New Roman"/>
          <w:kern w:val="0"/>
          <w:sz w:val="24"/>
          <w:szCs w:val="24"/>
          <w14:ligatures w14:val="none"/>
        </w:rPr>
        <w:t xml:space="preserve"> provisions introduced in the Finance Act 2025.</w:t>
      </w:r>
    </w:p>
    <w:p w14:paraId="08076D71"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Strengthening data analytics capabilities to detect compliance risks and support risk-based auditing.</w:t>
      </w:r>
    </w:p>
    <w:p w14:paraId="1FFE31A3"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Developing Compliance Improvement Plans for GST, LTO, and High Net-Worth Individuals (HNWI).</w:t>
      </w:r>
    </w:p>
    <w:p w14:paraId="75C30CC8"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Designing and rolling out robust and sustainable tax education program</w:t>
      </w:r>
      <w:r>
        <w:rPr>
          <w:rFonts w:ascii="Baskerville Old Face" w:eastAsia="Times New Roman" w:hAnsi="Baskerville Old Face" w:cs="Times New Roman"/>
          <w:kern w:val="0"/>
          <w:sz w:val="24"/>
          <w:szCs w:val="24"/>
          <w14:ligatures w14:val="none"/>
        </w:rPr>
        <w:t>me</w:t>
      </w:r>
      <w:r w:rsidRPr="00B57F3C">
        <w:rPr>
          <w:rFonts w:ascii="Baskerville Old Face" w:eastAsia="Times New Roman" w:hAnsi="Baskerville Old Face" w:cs="Times New Roman"/>
          <w:kern w:val="0"/>
          <w:sz w:val="24"/>
          <w:szCs w:val="24"/>
          <w14:ligatures w14:val="none"/>
        </w:rPr>
        <w:t>s to increase public awareness and voluntary compliance.</w:t>
      </w:r>
    </w:p>
    <w:p w14:paraId="56CE5B4D"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Automating all NRA processes and continuously upgrading systems to resolve technical issues that affect efficiency.</w:t>
      </w:r>
    </w:p>
    <w:p w14:paraId="4591828C"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lastRenderedPageBreak/>
        <w:t>Establishing taxpayer service centres to provide timely and effective support to taxpayers.</w:t>
      </w:r>
    </w:p>
    <w:p w14:paraId="7A4A0C13"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Setting up and </w:t>
      </w:r>
      <w:proofErr w:type="spellStart"/>
      <w:r w:rsidRPr="00B57F3C">
        <w:rPr>
          <w:rFonts w:ascii="Baskerville Old Face" w:eastAsia="Times New Roman" w:hAnsi="Baskerville Old Face" w:cs="Times New Roman"/>
          <w:kern w:val="0"/>
          <w:sz w:val="24"/>
          <w:szCs w:val="24"/>
          <w14:ligatures w14:val="none"/>
        </w:rPr>
        <w:t>operationali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ing</w:t>
      </w:r>
      <w:proofErr w:type="spellEnd"/>
      <w:r w:rsidRPr="00B57F3C">
        <w:rPr>
          <w:rFonts w:ascii="Baskerville Old Face" w:eastAsia="Times New Roman" w:hAnsi="Baskerville Old Face" w:cs="Times New Roman"/>
          <w:kern w:val="0"/>
          <w:sz w:val="24"/>
          <w:szCs w:val="24"/>
          <w14:ligatures w14:val="none"/>
        </w:rPr>
        <w:t xml:space="preserve"> a tax court to handle tax-related disputes and improve enforcement.</w:t>
      </w:r>
    </w:p>
    <w:p w14:paraId="05BE1F3B" w14:textId="77777777" w:rsidR="00281FF7" w:rsidRPr="00B57F3C" w:rsidRDefault="00281FF7" w:rsidP="00931C1A">
      <w:pPr>
        <w:numPr>
          <w:ilvl w:val="0"/>
          <w:numId w:val="15"/>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Conducting a regional block registration drive in </w:t>
      </w:r>
      <w:r w:rsidRPr="00E92C37">
        <w:rPr>
          <w:rFonts w:ascii="Baskerville Old Face" w:eastAsia="Times New Roman" w:hAnsi="Baskerville Old Face" w:cs="Times New Roman"/>
          <w:kern w:val="0"/>
          <w:sz w:val="24"/>
          <w:szCs w:val="24"/>
          <w14:ligatures w14:val="none"/>
        </w:rPr>
        <w:t>the regional</w:t>
      </w:r>
      <w:r w:rsidRPr="00B57F3C">
        <w:rPr>
          <w:rFonts w:ascii="Baskerville Old Face" w:eastAsia="Times New Roman" w:hAnsi="Baskerville Old Face" w:cs="Times New Roman"/>
          <w:kern w:val="0"/>
          <w:sz w:val="24"/>
          <w:szCs w:val="24"/>
          <w14:ligatures w14:val="none"/>
        </w:rPr>
        <w:t xml:space="preserve"> cities to register informal and unregistered businesses, thereby expanding the tax base and improving compliance.</w:t>
      </w:r>
      <w:r>
        <w:rPr>
          <w:rFonts w:ascii="Baskerville Old Face" w:eastAsia="Times New Roman" w:hAnsi="Baskerville Old Face" w:cs="Times New Roman"/>
          <w:kern w:val="0"/>
          <w:sz w:val="24"/>
          <w:szCs w:val="24"/>
          <w14:ligatures w14:val="none"/>
        </w:rPr>
        <w:t xml:space="preserve"> </w:t>
      </w:r>
    </w:p>
    <w:p w14:paraId="69C0C451" w14:textId="0E402CFB" w:rsidR="00281FF7" w:rsidRPr="00292695" w:rsidRDefault="00335224" w:rsidP="00395E0D">
      <w:pPr>
        <w:pStyle w:val="Heading2"/>
        <w:rPr>
          <w:rFonts w:ascii="Baskerville Old Face" w:hAnsi="Baskerville Old Face"/>
          <w:b/>
          <w:bCs/>
        </w:rPr>
      </w:pPr>
      <w:bookmarkStart w:id="116" w:name="_Toc198043961"/>
      <w:r w:rsidRPr="00292695">
        <w:rPr>
          <w:rFonts w:ascii="Baskerville Old Face" w:hAnsi="Baskerville Old Face"/>
          <w:b/>
          <w:bCs/>
        </w:rPr>
        <w:t xml:space="preserve">5.4 </w:t>
      </w:r>
      <w:r w:rsidR="00281FF7" w:rsidRPr="00292695">
        <w:rPr>
          <w:rFonts w:ascii="Baskerville Old Face" w:hAnsi="Baskerville Old Face"/>
          <w:b/>
          <w:bCs/>
        </w:rPr>
        <w:t>Revenue Administration Reforms for 2025</w:t>
      </w:r>
      <w:bookmarkEnd w:id="116"/>
    </w:p>
    <w:p w14:paraId="233845DF" w14:textId="77777777" w:rsidR="00281FF7" w:rsidRPr="00B57F3C" w:rsidRDefault="00281FF7" w:rsidP="00281FF7">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The NRA is committed to </w:t>
      </w:r>
      <w:proofErr w:type="spellStart"/>
      <w:r w:rsidRPr="00B57F3C">
        <w:rPr>
          <w:rFonts w:ascii="Baskerville Old Face" w:eastAsia="Times New Roman" w:hAnsi="Baskerville Old Face" w:cs="Times New Roman"/>
          <w:kern w:val="0"/>
          <w:sz w:val="24"/>
          <w:szCs w:val="24"/>
          <w14:ligatures w14:val="none"/>
        </w:rPr>
        <w:t>moderni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ing</w:t>
      </w:r>
      <w:proofErr w:type="spellEnd"/>
      <w:r w:rsidRPr="00B57F3C">
        <w:rPr>
          <w:rFonts w:ascii="Baskerville Old Face" w:eastAsia="Times New Roman" w:hAnsi="Baskerville Old Face" w:cs="Times New Roman"/>
          <w:kern w:val="0"/>
          <w:sz w:val="24"/>
          <w:szCs w:val="24"/>
          <w14:ligatures w14:val="none"/>
        </w:rPr>
        <w:t xml:space="preserve"> its operations through the following reforms in 2025:</w:t>
      </w:r>
    </w:p>
    <w:p w14:paraId="40DD4BD0"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Acquiring Rwanda’s EBM2 system to enhance GST compliance by improving the reporting of taxable sales.</w:t>
      </w:r>
    </w:p>
    <w:p w14:paraId="04B22F33"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Using N-Soft technology to enforce excise taxes on online gambling and other digital services.</w:t>
      </w:r>
    </w:p>
    <w:p w14:paraId="42C979B0"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Upgrading the ASYCUDA system to version 4.4 and automating remaining manual Customs processes to reduce discretion and under-valuation.</w:t>
      </w:r>
    </w:p>
    <w:p w14:paraId="464E3DB0"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Fully integrating key revenue systems (SICPA, ORAS, ITAS, ECR, AW) to improve data sharing and taxpayer risk profiling.</w:t>
      </w:r>
    </w:p>
    <w:p w14:paraId="42A1603B"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Fully </w:t>
      </w:r>
      <w:proofErr w:type="spellStart"/>
      <w:r w:rsidRPr="00B57F3C">
        <w:rPr>
          <w:rFonts w:ascii="Baskerville Old Face" w:eastAsia="Times New Roman" w:hAnsi="Baskerville Old Face" w:cs="Times New Roman"/>
          <w:kern w:val="0"/>
          <w:sz w:val="24"/>
          <w:szCs w:val="24"/>
          <w14:ligatures w14:val="none"/>
        </w:rPr>
        <w:t>operationali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ing</w:t>
      </w:r>
      <w:proofErr w:type="spellEnd"/>
      <w:r w:rsidRPr="00B57F3C">
        <w:rPr>
          <w:rFonts w:ascii="Baskerville Old Face" w:eastAsia="Times New Roman" w:hAnsi="Baskerville Old Face" w:cs="Times New Roman"/>
          <w:kern w:val="0"/>
          <w:sz w:val="24"/>
          <w:szCs w:val="24"/>
          <w14:ligatures w14:val="none"/>
        </w:rPr>
        <w:t xml:space="preserve"> the Electronic Single Window (ESW) to </w:t>
      </w:r>
      <w:proofErr w:type="spellStart"/>
      <w:r w:rsidRPr="00B57F3C">
        <w:rPr>
          <w:rFonts w:ascii="Baskerville Old Face" w:eastAsia="Times New Roman" w:hAnsi="Baskerville Old Face" w:cs="Times New Roman"/>
          <w:kern w:val="0"/>
          <w:sz w:val="24"/>
          <w:szCs w:val="24"/>
          <w14:ligatures w14:val="none"/>
        </w:rPr>
        <w:t>minimi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e</w:t>
      </w:r>
      <w:proofErr w:type="spellEnd"/>
      <w:r w:rsidRPr="00B57F3C">
        <w:rPr>
          <w:rFonts w:ascii="Baskerville Old Face" w:eastAsia="Times New Roman" w:hAnsi="Baskerville Old Face" w:cs="Times New Roman"/>
          <w:kern w:val="0"/>
          <w:sz w:val="24"/>
          <w:szCs w:val="24"/>
          <w14:ligatures w14:val="none"/>
        </w:rPr>
        <w:t xml:space="preserve"> leakages, curb under-valuation, and speed up the clearance process at Customs.</w:t>
      </w:r>
    </w:p>
    <w:p w14:paraId="43F5825D"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Completing the implementation of the SIGMAT transit monitoring system to track cross-border goods in real time.</w:t>
      </w:r>
    </w:p>
    <w:p w14:paraId="3C96F5D7"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Stopping income tax concessions in new agreements and phasing out those due for review in line with the Finance Act 2025.</w:t>
      </w:r>
    </w:p>
    <w:p w14:paraId="0661FA99"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Conducting a thorough analysis of existing concessional agreements with private sector companies to ensure compliance with tax obligations.</w:t>
      </w:r>
    </w:p>
    <w:p w14:paraId="77D7699D"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Implementing a Safe Harbor Framework for the pricing of all mineral exports, starting with iron ore in 2025.</w:t>
      </w:r>
    </w:p>
    <w:p w14:paraId="1DFBA86B"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Undertaking tax audits of high-risk taxpayers, especially in the extractive, financial, manufacturing, and telecommunications sectors.</w:t>
      </w:r>
    </w:p>
    <w:p w14:paraId="5A78D86D" w14:textId="77777777" w:rsidR="00281FF7" w:rsidRPr="00B57F3C" w:rsidRDefault="00281FF7" w:rsidP="00931C1A">
      <w:pPr>
        <w:numPr>
          <w:ilvl w:val="0"/>
          <w:numId w:val="16"/>
        </w:num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Expanding the data warehouse by sourcing third-party data from systems such as the Business Registry System (BRS), E-procurement platforms, Land Information System, IFMIS, and NASSIT.</w:t>
      </w:r>
    </w:p>
    <w:p w14:paraId="6913B958" w14:textId="77777777" w:rsidR="00281FF7" w:rsidRPr="00B57F3C" w:rsidRDefault="00281FF7" w:rsidP="00281FF7">
      <w:pPr>
        <w:spacing w:before="100" w:beforeAutospacing="1" w:after="100" w:afterAutospacing="1" w:line="276" w:lineRule="auto"/>
        <w:jc w:val="both"/>
        <w:rPr>
          <w:rFonts w:ascii="Baskerville Old Face" w:eastAsia="Times New Roman" w:hAnsi="Baskerville Old Face" w:cs="Times New Roman"/>
          <w:kern w:val="0"/>
          <w:sz w:val="24"/>
          <w:szCs w:val="24"/>
          <w14:ligatures w14:val="none"/>
        </w:rPr>
      </w:pPr>
      <w:r w:rsidRPr="00B57F3C">
        <w:rPr>
          <w:rFonts w:ascii="Baskerville Old Face" w:eastAsia="Times New Roman" w:hAnsi="Baskerville Old Face" w:cs="Times New Roman"/>
          <w:kern w:val="0"/>
          <w:sz w:val="24"/>
          <w:szCs w:val="24"/>
          <w14:ligatures w14:val="none"/>
        </w:rPr>
        <w:t xml:space="preserve">The NRA's outlook for 2025 is focused on consolidating gains made in previous years while intensifying efforts to increase revenue, strengthen compliance, and </w:t>
      </w:r>
      <w:proofErr w:type="spellStart"/>
      <w:r w:rsidRPr="00B57F3C">
        <w:rPr>
          <w:rFonts w:ascii="Baskerville Old Face" w:eastAsia="Times New Roman" w:hAnsi="Baskerville Old Face" w:cs="Times New Roman"/>
          <w:kern w:val="0"/>
          <w:sz w:val="24"/>
          <w:szCs w:val="24"/>
          <w14:ligatures w14:val="none"/>
        </w:rPr>
        <w:t>moderni</w:t>
      </w:r>
      <w:r>
        <w:rPr>
          <w:rFonts w:ascii="Baskerville Old Face" w:eastAsia="Times New Roman" w:hAnsi="Baskerville Old Face" w:cs="Times New Roman"/>
          <w:kern w:val="0"/>
          <w:sz w:val="24"/>
          <w:szCs w:val="24"/>
          <w14:ligatures w14:val="none"/>
        </w:rPr>
        <w:t>s</w:t>
      </w:r>
      <w:r w:rsidRPr="00B57F3C">
        <w:rPr>
          <w:rFonts w:ascii="Baskerville Old Face" w:eastAsia="Times New Roman" w:hAnsi="Baskerville Old Face" w:cs="Times New Roman"/>
          <w:kern w:val="0"/>
          <w:sz w:val="24"/>
          <w:szCs w:val="24"/>
          <w14:ligatures w14:val="none"/>
        </w:rPr>
        <w:t>e</w:t>
      </w:r>
      <w:proofErr w:type="spellEnd"/>
      <w:r w:rsidRPr="00B57F3C">
        <w:rPr>
          <w:rFonts w:ascii="Baskerville Old Face" w:eastAsia="Times New Roman" w:hAnsi="Baskerville Old Face" w:cs="Times New Roman"/>
          <w:kern w:val="0"/>
          <w:sz w:val="24"/>
          <w:szCs w:val="24"/>
          <w14:ligatures w14:val="none"/>
        </w:rPr>
        <w:t xml:space="preserve"> tax administration. Through the implementation of these strategic measures, the Authority aims to contribute significantly to national development and support the government’s broader economic goals.</w:t>
      </w:r>
    </w:p>
    <w:p w14:paraId="0CC44F01" w14:textId="447E9BEA" w:rsidR="001A1976" w:rsidRPr="001A1976" w:rsidRDefault="001A1976" w:rsidP="001A1976">
      <w:pPr>
        <w:rPr>
          <w:rFonts w:ascii="Baskerville Old Face" w:hAnsi="Baskerville Old Face" w:cs="Times New Roman"/>
          <w:sz w:val="24"/>
          <w:szCs w:val="24"/>
        </w:rPr>
      </w:pPr>
    </w:p>
    <w:sectPr w:rsidR="001A1976" w:rsidRPr="001A197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AD73" w14:textId="77777777" w:rsidR="00733AE5" w:rsidRDefault="00733AE5" w:rsidP="004F6CB3">
      <w:pPr>
        <w:spacing w:after="0" w:line="240" w:lineRule="auto"/>
      </w:pPr>
      <w:r>
        <w:separator/>
      </w:r>
    </w:p>
  </w:endnote>
  <w:endnote w:type="continuationSeparator" w:id="0">
    <w:p w14:paraId="2BE310F3" w14:textId="77777777" w:rsidR="00733AE5" w:rsidRDefault="00733AE5" w:rsidP="004F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103825"/>
      <w:docPartObj>
        <w:docPartGallery w:val="Page Numbers (Bottom of Page)"/>
        <w:docPartUnique/>
      </w:docPartObj>
    </w:sdtPr>
    <w:sdtEndPr>
      <w:rPr>
        <w:noProof/>
      </w:rPr>
    </w:sdtEndPr>
    <w:sdtContent>
      <w:p w14:paraId="713E7216" w14:textId="3531F162" w:rsidR="00796259" w:rsidRDefault="007962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46144" w14:textId="77777777" w:rsidR="00796259" w:rsidRDefault="0079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915AB" w14:textId="77777777" w:rsidR="00733AE5" w:rsidRDefault="00733AE5" w:rsidP="004F6CB3">
      <w:pPr>
        <w:spacing w:after="0" w:line="240" w:lineRule="auto"/>
      </w:pPr>
      <w:r>
        <w:separator/>
      </w:r>
    </w:p>
  </w:footnote>
  <w:footnote w:type="continuationSeparator" w:id="0">
    <w:p w14:paraId="0E9FB73B" w14:textId="77777777" w:rsidR="00733AE5" w:rsidRDefault="00733AE5" w:rsidP="004F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DF68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7997279" o:spid="_x0000_i1025" type="#_x0000_t75" style="width:11.25pt;height:11.25pt;visibility:visible;mso-wrap-style:square">
            <v:imagedata r:id="rId1" o:title=""/>
          </v:shape>
        </w:pict>
      </mc:Choice>
      <mc:Fallback>
        <w:drawing>
          <wp:inline distT="0" distB="0" distL="0" distR="0" wp14:anchorId="5641445F" wp14:editId="20E8DF08">
            <wp:extent cx="142875" cy="142875"/>
            <wp:effectExtent l="0" t="0" r="0" b="0"/>
            <wp:docPr id="2137997279" name="Picture 213799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00043F"/>
    <w:multiLevelType w:val="multilevel"/>
    <w:tmpl w:val="39D2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927CD"/>
    <w:multiLevelType w:val="multilevel"/>
    <w:tmpl w:val="278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6DB6"/>
    <w:multiLevelType w:val="multilevel"/>
    <w:tmpl w:val="6B40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1634F"/>
    <w:multiLevelType w:val="multilevel"/>
    <w:tmpl w:val="443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F4C76"/>
    <w:multiLevelType w:val="multilevel"/>
    <w:tmpl w:val="45E4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10A00"/>
    <w:multiLevelType w:val="multilevel"/>
    <w:tmpl w:val="8CB8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C695C"/>
    <w:multiLevelType w:val="hybridMultilevel"/>
    <w:tmpl w:val="9A2E5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0F17"/>
    <w:multiLevelType w:val="multilevel"/>
    <w:tmpl w:val="306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31640"/>
    <w:multiLevelType w:val="multilevel"/>
    <w:tmpl w:val="8F7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F59C7"/>
    <w:multiLevelType w:val="multilevel"/>
    <w:tmpl w:val="C28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61D4D"/>
    <w:multiLevelType w:val="multilevel"/>
    <w:tmpl w:val="7B9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F3509"/>
    <w:multiLevelType w:val="multilevel"/>
    <w:tmpl w:val="9A16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612BE"/>
    <w:multiLevelType w:val="multilevel"/>
    <w:tmpl w:val="5644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B0697"/>
    <w:multiLevelType w:val="multilevel"/>
    <w:tmpl w:val="F8D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1551A"/>
    <w:multiLevelType w:val="multilevel"/>
    <w:tmpl w:val="159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A49E6"/>
    <w:multiLevelType w:val="hybridMultilevel"/>
    <w:tmpl w:val="721E4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83823"/>
    <w:multiLevelType w:val="multilevel"/>
    <w:tmpl w:val="CB3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53EBF"/>
    <w:multiLevelType w:val="multilevel"/>
    <w:tmpl w:val="C594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D3DB6"/>
    <w:multiLevelType w:val="multilevel"/>
    <w:tmpl w:val="84B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471F7"/>
    <w:multiLevelType w:val="hybridMultilevel"/>
    <w:tmpl w:val="C2CC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82D9C"/>
    <w:multiLevelType w:val="hybridMultilevel"/>
    <w:tmpl w:val="938003A0"/>
    <w:lvl w:ilvl="0" w:tplc="4D029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47361"/>
    <w:multiLevelType w:val="hybridMultilevel"/>
    <w:tmpl w:val="D4402896"/>
    <w:lvl w:ilvl="0" w:tplc="D38C1A3A">
      <w:start w:val="1"/>
      <w:numFmt w:val="decimal"/>
      <w:lvlText w:val="%1."/>
      <w:lvlJc w:val="left"/>
      <w:pPr>
        <w:ind w:left="1080" w:hanging="720"/>
      </w:pPr>
      <w:rPr>
        <w:rFonts w:hint="default"/>
      </w:rPr>
    </w:lvl>
    <w:lvl w:ilvl="1" w:tplc="F8989FD2">
      <w:start w:val="6"/>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D580D"/>
    <w:multiLevelType w:val="hybridMultilevel"/>
    <w:tmpl w:val="67EA1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5858DA"/>
    <w:multiLevelType w:val="hybridMultilevel"/>
    <w:tmpl w:val="EAF66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76746"/>
    <w:multiLevelType w:val="multilevel"/>
    <w:tmpl w:val="6744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262AAC"/>
    <w:multiLevelType w:val="hybridMultilevel"/>
    <w:tmpl w:val="75107D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011C71"/>
    <w:multiLevelType w:val="multilevel"/>
    <w:tmpl w:val="74011C71"/>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8133038">
    <w:abstractNumId w:val="6"/>
  </w:num>
  <w:num w:numId="2" w16cid:durableId="2139492167">
    <w:abstractNumId w:val="22"/>
  </w:num>
  <w:num w:numId="3" w16cid:durableId="1897277995">
    <w:abstractNumId w:val="20"/>
  </w:num>
  <w:num w:numId="4" w16cid:durableId="1143502534">
    <w:abstractNumId w:val="19"/>
  </w:num>
  <w:num w:numId="5" w16cid:durableId="1029838594">
    <w:abstractNumId w:val="23"/>
  </w:num>
  <w:num w:numId="6" w16cid:durableId="1467775489">
    <w:abstractNumId w:val="15"/>
  </w:num>
  <w:num w:numId="7" w16cid:durableId="1904831746">
    <w:abstractNumId w:val="8"/>
  </w:num>
  <w:num w:numId="8" w16cid:durableId="2115401821">
    <w:abstractNumId w:val="21"/>
  </w:num>
  <w:num w:numId="9" w16cid:durableId="1750617419">
    <w:abstractNumId w:val="25"/>
  </w:num>
  <w:num w:numId="10" w16cid:durableId="1291474912">
    <w:abstractNumId w:val="4"/>
  </w:num>
  <w:num w:numId="11" w16cid:durableId="1744256335">
    <w:abstractNumId w:val="17"/>
  </w:num>
  <w:num w:numId="12" w16cid:durableId="90591970">
    <w:abstractNumId w:val="11"/>
  </w:num>
  <w:num w:numId="13" w16cid:durableId="1812676924">
    <w:abstractNumId w:val="0"/>
  </w:num>
  <w:num w:numId="14" w16cid:durableId="1383677576">
    <w:abstractNumId w:val="12"/>
  </w:num>
  <w:num w:numId="15" w16cid:durableId="2040617383">
    <w:abstractNumId w:val="5"/>
  </w:num>
  <w:num w:numId="16" w16cid:durableId="794450002">
    <w:abstractNumId w:val="9"/>
  </w:num>
  <w:num w:numId="17" w16cid:durableId="1336153971">
    <w:abstractNumId w:val="13"/>
  </w:num>
  <w:num w:numId="18" w16cid:durableId="1005354010">
    <w:abstractNumId w:val="2"/>
  </w:num>
  <w:num w:numId="19" w16cid:durableId="2001155068">
    <w:abstractNumId w:val="26"/>
  </w:num>
  <w:num w:numId="20" w16cid:durableId="1921676440">
    <w:abstractNumId w:val="10"/>
  </w:num>
  <w:num w:numId="21" w16cid:durableId="398603137">
    <w:abstractNumId w:val="16"/>
  </w:num>
  <w:num w:numId="22" w16cid:durableId="1173885103">
    <w:abstractNumId w:val="7"/>
  </w:num>
  <w:num w:numId="23" w16cid:durableId="531843358">
    <w:abstractNumId w:val="24"/>
  </w:num>
  <w:num w:numId="24" w16cid:durableId="1961567200">
    <w:abstractNumId w:val="18"/>
  </w:num>
  <w:num w:numId="25" w16cid:durableId="690497793">
    <w:abstractNumId w:val="1"/>
  </w:num>
  <w:num w:numId="26" w16cid:durableId="1246768174">
    <w:abstractNumId w:val="14"/>
  </w:num>
  <w:num w:numId="27" w16cid:durableId="16410340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94"/>
    <w:rsid w:val="00001032"/>
    <w:rsid w:val="00002021"/>
    <w:rsid w:val="000046AD"/>
    <w:rsid w:val="00006ADA"/>
    <w:rsid w:val="000073B2"/>
    <w:rsid w:val="0000742A"/>
    <w:rsid w:val="00010585"/>
    <w:rsid w:val="00010DAF"/>
    <w:rsid w:val="00013ABF"/>
    <w:rsid w:val="00014002"/>
    <w:rsid w:val="0001617B"/>
    <w:rsid w:val="00016189"/>
    <w:rsid w:val="00017243"/>
    <w:rsid w:val="0002051D"/>
    <w:rsid w:val="000218B2"/>
    <w:rsid w:val="0002192E"/>
    <w:rsid w:val="00026F9C"/>
    <w:rsid w:val="0003123A"/>
    <w:rsid w:val="00036C5B"/>
    <w:rsid w:val="000403DB"/>
    <w:rsid w:val="00040794"/>
    <w:rsid w:val="00046D90"/>
    <w:rsid w:val="00050635"/>
    <w:rsid w:val="000521FB"/>
    <w:rsid w:val="00052559"/>
    <w:rsid w:val="00052ED9"/>
    <w:rsid w:val="000551CA"/>
    <w:rsid w:val="00056280"/>
    <w:rsid w:val="000679D1"/>
    <w:rsid w:val="00067FE5"/>
    <w:rsid w:val="00071DD5"/>
    <w:rsid w:val="00072069"/>
    <w:rsid w:val="00072363"/>
    <w:rsid w:val="000745DE"/>
    <w:rsid w:val="00076196"/>
    <w:rsid w:val="0007721A"/>
    <w:rsid w:val="0007785F"/>
    <w:rsid w:val="000814B0"/>
    <w:rsid w:val="0008160F"/>
    <w:rsid w:val="00081D02"/>
    <w:rsid w:val="00083133"/>
    <w:rsid w:val="00083637"/>
    <w:rsid w:val="0009032E"/>
    <w:rsid w:val="000925B1"/>
    <w:rsid w:val="00092AD8"/>
    <w:rsid w:val="00094D59"/>
    <w:rsid w:val="00094E2D"/>
    <w:rsid w:val="00095653"/>
    <w:rsid w:val="00097166"/>
    <w:rsid w:val="000A0A4F"/>
    <w:rsid w:val="000A18F0"/>
    <w:rsid w:val="000A29E5"/>
    <w:rsid w:val="000A49A2"/>
    <w:rsid w:val="000A5A96"/>
    <w:rsid w:val="000A75D2"/>
    <w:rsid w:val="000B1680"/>
    <w:rsid w:val="000B2100"/>
    <w:rsid w:val="000B58F0"/>
    <w:rsid w:val="000B6C88"/>
    <w:rsid w:val="000B7F6B"/>
    <w:rsid w:val="000C0CBE"/>
    <w:rsid w:val="000C11AC"/>
    <w:rsid w:val="000C486F"/>
    <w:rsid w:val="000C53D5"/>
    <w:rsid w:val="000C6BF6"/>
    <w:rsid w:val="000C7133"/>
    <w:rsid w:val="000C78FD"/>
    <w:rsid w:val="000D1C54"/>
    <w:rsid w:val="000D3B58"/>
    <w:rsid w:val="000D5177"/>
    <w:rsid w:val="000D595F"/>
    <w:rsid w:val="000D6CCA"/>
    <w:rsid w:val="000E146B"/>
    <w:rsid w:val="000E1837"/>
    <w:rsid w:val="000E28A7"/>
    <w:rsid w:val="000E2FED"/>
    <w:rsid w:val="000E419A"/>
    <w:rsid w:val="000E4CEC"/>
    <w:rsid w:val="000E4D6C"/>
    <w:rsid w:val="000E5C01"/>
    <w:rsid w:val="000E61F5"/>
    <w:rsid w:val="000E6AFD"/>
    <w:rsid w:val="000F1C5D"/>
    <w:rsid w:val="000F2063"/>
    <w:rsid w:val="000F7D77"/>
    <w:rsid w:val="00100CFF"/>
    <w:rsid w:val="001052CF"/>
    <w:rsid w:val="00105E91"/>
    <w:rsid w:val="0011188B"/>
    <w:rsid w:val="00116D56"/>
    <w:rsid w:val="001200E4"/>
    <w:rsid w:val="00120EB5"/>
    <w:rsid w:val="00121081"/>
    <w:rsid w:val="00121786"/>
    <w:rsid w:val="00122B2B"/>
    <w:rsid w:val="001245C4"/>
    <w:rsid w:val="0013070E"/>
    <w:rsid w:val="00130CF4"/>
    <w:rsid w:val="00130FD2"/>
    <w:rsid w:val="00132797"/>
    <w:rsid w:val="0013376F"/>
    <w:rsid w:val="001347EB"/>
    <w:rsid w:val="00134ED7"/>
    <w:rsid w:val="00135321"/>
    <w:rsid w:val="00135A86"/>
    <w:rsid w:val="00136FFF"/>
    <w:rsid w:val="00144318"/>
    <w:rsid w:val="00144BCB"/>
    <w:rsid w:val="00145C33"/>
    <w:rsid w:val="00146FB9"/>
    <w:rsid w:val="00161D52"/>
    <w:rsid w:val="0016320E"/>
    <w:rsid w:val="001632E0"/>
    <w:rsid w:val="00163678"/>
    <w:rsid w:val="001639BF"/>
    <w:rsid w:val="00163BF6"/>
    <w:rsid w:val="00164720"/>
    <w:rsid w:val="00164AD1"/>
    <w:rsid w:val="00171258"/>
    <w:rsid w:val="0017165C"/>
    <w:rsid w:val="00171927"/>
    <w:rsid w:val="00172B16"/>
    <w:rsid w:val="00174992"/>
    <w:rsid w:val="00176BE1"/>
    <w:rsid w:val="00180EB1"/>
    <w:rsid w:val="00181AF6"/>
    <w:rsid w:val="00181BF1"/>
    <w:rsid w:val="00181F25"/>
    <w:rsid w:val="00182E9F"/>
    <w:rsid w:val="00183775"/>
    <w:rsid w:val="001844D4"/>
    <w:rsid w:val="001847A2"/>
    <w:rsid w:val="00185C54"/>
    <w:rsid w:val="0018662C"/>
    <w:rsid w:val="001935C7"/>
    <w:rsid w:val="00193709"/>
    <w:rsid w:val="0019371E"/>
    <w:rsid w:val="00193742"/>
    <w:rsid w:val="001964CD"/>
    <w:rsid w:val="001A06A2"/>
    <w:rsid w:val="001A0B6F"/>
    <w:rsid w:val="001A1976"/>
    <w:rsid w:val="001A1FCF"/>
    <w:rsid w:val="001A462E"/>
    <w:rsid w:val="001A736E"/>
    <w:rsid w:val="001A7DB1"/>
    <w:rsid w:val="001B0A1C"/>
    <w:rsid w:val="001B4D26"/>
    <w:rsid w:val="001B50D0"/>
    <w:rsid w:val="001B771D"/>
    <w:rsid w:val="001C035F"/>
    <w:rsid w:val="001C0883"/>
    <w:rsid w:val="001C2E36"/>
    <w:rsid w:val="001C7A6F"/>
    <w:rsid w:val="001D0A65"/>
    <w:rsid w:val="001D23B4"/>
    <w:rsid w:val="001D355C"/>
    <w:rsid w:val="001D4ABE"/>
    <w:rsid w:val="001D5022"/>
    <w:rsid w:val="001D6D9D"/>
    <w:rsid w:val="001E1298"/>
    <w:rsid w:val="001E1B4E"/>
    <w:rsid w:val="001E1C47"/>
    <w:rsid w:val="001E35DD"/>
    <w:rsid w:val="001E37B8"/>
    <w:rsid w:val="001E403B"/>
    <w:rsid w:val="001E40B2"/>
    <w:rsid w:val="001E4D65"/>
    <w:rsid w:val="001E56C5"/>
    <w:rsid w:val="001E5A8B"/>
    <w:rsid w:val="001E5DC0"/>
    <w:rsid w:val="001F1E65"/>
    <w:rsid w:val="001F2415"/>
    <w:rsid w:val="001F25FD"/>
    <w:rsid w:val="001F2CAF"/>
    <w:rsid w:val="001F431D"/>
    <w:rsid w:val="001F7170"/>
    <w:rsid w:val="00200990"/>
    <w:rsid w:val="0020234D"/>
    <w:rsid w:val="00202481"/>
    <w:rsid w:val="00202E5D"/>
    <w:rsid w:val="00203746"/>
    <w:rsid w:val="00206212"/>
    <w:rsid w:val="0021042D"/>
    <w:rsid w:val="002112F3"/>
    <w:rsid w:val="00215A7A"/>
    <w:rsid w:val="002162E7"/>
    <w:rsid w:val="00217DA3"/>
    <w:rsid w:val="0022007F"/>
    <w:rsid w:val="0022135F"/>
    <w:rsid w:val="002226A4"/>
    <w:rsid w:val="002232C5"/>
    <w:rsid w:val="0022372B"/>
    <w:rsid w:val="00224106"/>
    <w:rsid w:val="00225C0E"/>
    <w:rsid w:val="002275C8"/>
    <w:rsid w:val="00230AC0"/>
    <w:rsid w:val="00230B1C"/>
    <w:rsid w:val="00231020"/>
    <w:rsid w:val="00232A11"/>
    <w:rsid w:val="00236F13"/>
    <w:rsid w:val="002428A4"/>
    <w:rsid w:val="00243E46"/>
    <w:rsid w:val="002441D0"/>
    <w:rsid w:val="0024579A"/>
    <w:rsid w:val="002465E3"/>
    <w:rsid w:val="0025365A"/>
    <w:rsid w:val="002610B9"/>
    <w:rsid w:val="0026248B"/>
    <w:rsid w:val="00263C94"/>
    <w:rsid w:val="00264046"/>
    <w:rsid w:val="0026405D"/>
    <w:rsid w:val="00266407"/>
    <w:rsid w:val="00266D01"/>
    <w:rsid w:val="00267243"/>
    <w:rsid w:val="00270A42"/>
    <w:rsid w:val="00270B00"/>
    <w:rsid w:val="00270D98"/>
    <w:rsid w:val="002738AA"/>
    <w:rsid w:val="00275525"/>
    <w:rsid w:val="0027582F"/>
    <w:rsid w:val="00275E9F"/>
    <w:rsid w:val="00276211"/>
    <w:rsid w:val="00276BD7"/>
    <w:rsid w:val="00276E42"/>
    <w:rsid w:val="00281FF7"/>
    <w:rsid w:val="00284161"/>
    <w:rsid w:val="00285F16"/>
    <w:rsid w:val="002901ED"/>
    <w:rsid w:val="00292695"/>
    <w:rsid w:val="0029274C"/>
    <w:rsid w:val="00292A98"/>
    <w:rsid w:val="00292EDB"/>
    <w:rsid w:val="00294670"/>
    <w:rsid w:val="002961B6"/>
    <w:rsid w:val="0029669A"/>
    <w:rsid w:val="002A0914"/>
    <w:rsid w:val="002A15BC"/>
    <w:rsid w:val="002A2D6B"/>
    <w:rsid w:val="002A4607"/>
    <w:rsid w:val="002A5104"/>
    <w:rsid w:val="002A52E9"/>
    <w:rsid w:val="002A67C5"/>
    <w:rsid w:val="002B2D05"/>
    <w:rsid w:val="002B4379"/>
    <w:rsid w:val="002B4BD4"/>
    <w:rsid w:val="002C3981"/>
    <w:rsid w:val="002C40A3"/>
    <w:rsid w:val="002C4D91"/>
    <w:rsid w:val="002C584A"/>
    <w:rsid w:val="002C6544"/>
    <w:rsid w:val="002D07CC"/>
    <w:rsid w:val="002D165A"/>
    <w:rsid w:val="002D1898"/>
    <w:rsid w:val="002D1D54"/>
    <w:rsid w:val="002D365A"/>
    <w:rsid w:val="002D3C30"/>
    <w:rsid w:val="002D46CF"/>
    <w:rsid w:val="002D4BAD"/>
    <w:rsid w:val="002D559B"/>
    <w:rsid w:val="002D6644"/>
    <w:rsid w:val="002D6A8E"/>
    <w:rsid w:val="002E0ABE"/>
    <w:rsid w:val="002E13B1"/>
    <w:rsid w:val="002E22E6"/>
    <w:rsid w:val="002E2E4E"/>
    <w:rsid w:val="002E3023"/>
    <w:rsid w:val="002E5141"/>
    <w:rsid w:val="002E565D"/>
    <w:rsid w:val="002E588F"/>
    <w:rsid w:val="002E5B46"/>
    <w:rsid w:val="002E5C21"/>
    <w:rsid w:val="002E71F6"/>
    <w:rsid w:val="002F028C"/>
    <w:rsid w:val="002F12A0"/>
    <w:rsid w:val="002F1509"/>
    <w:rsid w:val="002F21BF"/>
    <w:rsid w:val="002F5449"/>
    <w:rsid w:val="00300223"/>
    <w:rsid w:val="00300EBF"/>
    <w:rsid w:val="00303926"/>
    <w:rsid w:val="00304C6C"/>
    <w:rsid w:val="00304E14"/>
    <w:rsid w:val="003055B2"/>
    <w:rsid w:val="00311AEB"/>
    <w:rsid w:val="0031322B"/>
    <w:rsid w:val="00313F53"/>
    <w:rsid w:val="00315314"/>
    <w:rsid w:val="003159C2"/>
    <w:rsid w:val="00315B21"/>
    <w:rsid w:val="00315C90"/>
    <w:rsid w:val="00323E3F"/>
    <w:rsid w:val="00326812"/>
    <w:rsid w:val="00332FAE"/>
    <w:rsid w:val="00335224"/>
    <w:rsid w:val="00335679"/>
    <w:rsid w:val="00335DB1"/>
    <w:rsid w:val="00335EC3"/>
    <w:rsid w:val="0033646F"/>
    <w:rsid w:val="00337A30"/>
    <w:rsid w:val="00340C03"/>
    <w:rsid w:val="003416BA"/>
    <w:rsid w:val="00344C0C"/>
    <w:rsid w:val="003459BA"/>
    <w:rsid w:val="00346104"/>
    <w:rsid w:val="003469DF"/>
    <w:rsid w:val="0034730F"/>
    <w:rsid w:val="00347EFF"/>
    <w:rsid w:val="00350455"/>
    <w:rsid w:val="00350509"/>
    <w:rsid w:val="003529C7"/>
    <w:rsid w:val="003555DB"/>
    <w:rsid w:val="00363242"/>
    <w:rsid w:val="00363DFB"/>
    <w:rsid w:val="00364236"/>
    <w:rsid w:val="0036463D"/>
    <w:rsid w:val="00364EA4"/>
    <w:rsid w:val="003672B0"/>
    <w:rsid w:val="00370B90"/>
    <w:rsid w:val="0037468B"/>
    <w:rsid w:val="0037474C"/>
    <w:rsid w:val="00375A9D"/>
    <w:rsid w:val="00377F8D"/>
    <w:rsid w:val="0038014F"/>
    <w:rsid w:val="003808E7"/>
    <w:rsid w:val="00380B1A"/>
    <w:rsid w:val="00382E7E"/>
    <w:rsid w:val="00384ACD"/>
    <w:rsid w:val="00387D9F"/>
    <w:rsid w:val="0039146F"/>
    <w:rsid w:val="0039262A"/>
    <w:rsid w:val="00393F06"/>
    <w:rsid w:val="00395E0D"/>
    <w:rsid w:val="00396047"/>
    <w:rsid w:val="003962D0"/>
    <w:rsid w:val="00397086"/>
    <w:rsid w:val="0039714C"/>
    <w:rsid w:val="003A36A7"/>
    <w:rsid w:val="003A57C8"/>
    <w:rsid w:val="003B102B"/>
    <w:rsid w:val="003B2395"/>
    <w:rsid w:val="003B285A"/>
    <w:rsid w:val="003B61CF"/>
    <w:rsid w:val="003B6D34"/>
    <w:rsid w:val="003C08F9"/>
    <w:rsid w:val="003C0B25"/>
    <w:rsid w:val="003C1114"/>
    <w:rsid w:val="003C4368"/>
    <w:rsid w:val="003C5439"/>
    <w:rsid w:val="003C746F"/>
    <w:rsid w:val="003C7958"/>
    <w:rsid w:val="003D1B93"/>
    <w:rsid w:val="003D6FC7"/>
    <w:rsid w:val="003E0000"/>
    <w:rsid w:val="003E279A"/>
    <w:rsid w:val="003E32A6"/>
    <w:rsid w:val="003E5E30"/>
    <w:rsid w:val="003E6721"/>
    <w:rsid w:val="003F38BA"/>
    <w:rsid w:val="003F3F47"/>
    <w:rsid w:val="003F483F"/>
    <w:rsid w:val="003F4F89"/>
    <w:rsid w:val="003F51F1"/>
    <w:rsid w:val="003F5C0E"/>
    <w:rsid w:val="003F5D55"/>
    <w:rsid w:val="003F6337"/>
    <w:rsid w:val="004006DC"/>
    <w:rsid w:val="0040265F"/>
    <w:rsid w:val="004027BD"/>
    <w:rsid w:val="00406989"/>
    <w:rsid w:val="00407188"/>
    <w:rsid w:val="00407196"/>
    <w:rsid w:val="0041060F"/>
    <w:rsid w:val="00412386"/>
    <w:rsid w:val="00412D05"/>
    <w:rsid w:val="00413330"/>
    <w:rsid w:val="004135B6"/>
    <w:rsid w:val="004135F3"/>
    <w:rsid w:val="004148B8"/>
    <w:rsid w:val="00414ACD"/>
    <w:rsid w:val="00415B1B"/>
    <w:rsid w:val="0041682D"/>
    <w:rsid w:val="004176DB"/>
    <w:rsid w:val="00420036"/>
    <w:rsid w:val="004204F1"/>
    <w:rsid w:val="00420592"/>
    <w:rsid w:val="00420618"/>
    <w:rsid w:val="00423615"/>
    <w:rsid w:val="00425D91"/>
    <w:rsid w:val="00426411"/>
    <w:rsid w:val="004272CF"/>
    <w:rsid w:val="0043239B"/>
    <w:rsid w:val="004328AE"/>
    <w:rsid w:val="00433A4F"/>
    <w:rsid w:val="00435564"/>
    <w:rsid w:val="00435EF2"/>
    <w:rsid w:val="00440D43"/>
    <w:rsid w:val="0044554A"/>
    <w:rsid w:val="004463FE"/>
    <w:rsid w:val="00446504"/>
    <w:rsid w:val="00446C14"/>
    <w:rsid w:val="00446CF6"/>
    <w:rsid w:val="0045055F"/>
    <w:rsid w:val="004508FF"/>
    <w:rsid w:val="00450C62"/>
    <w:rsid w:val="0045119E"/>
    <w:rsid w:val="00452FDA"/>
    <w:rsid w:val="00453CA5"/>
    <w:rsid w:val="00453F41"/>
    <w:rsid w:val="00455F2F"/>
    <w:rsid w:val="00456085"/>
    <w:rsid w:val="00460259"/>
    <w:rsid w:val="004608AB"/>
    <w:rsid w:val="0046423E"/>
    <w:rsid w:val="00465D64"/>
    <w:rsid w:val="00467A16"/>
    <w:rsid w:val="00470493"/>
    <w:rsid w:val="00472684"/>
    <w:rsid w:val="0047676F"/>
    <w:rsid w:val="00476AED"/>
    <w:rsid w:val="004800D0"/>
    <w:rsid w:val="004801AB"/>
    <w:rsid w:val="004824BC"/>
    <w:rsid w:val="00482559"/>
    <w:rsid w:val="00482571"/>
    <w:rsid w:val="00482B3E"/>
    <w:rsid w:val="0048376F"/>
    <w:rsid w:val="004838A8"/>
    <w:rsid w:val="004841B0"/>
    <w:rsid w:val="00484611"/>
    <w:rsid w:val="00492CEB"/>
    <w:rsid w:val="00493455"/>
    <w:rsid w:val="00496BC5"/>
    <w:rsid w:val="00496BF6"/>
    <w:rsid w:val="00496E9B"/>
    <w:rsid w:val="00497AB6"/>
    <w:rsid w:val="004A14B3"/>
    <w:rsid w:val="004A19BC"/>
    <w:rsid w:val="004A23E0"/>
    <w:rsid w:val="004A439E"/>
    <w:rsid w:val="004A480E"/>
    <w:rsid w:val="004A52BE"/>
    <w:rsid w:val="004A7B00"/>
    <w:rsid w:val="004B0212"/>
    <w:rsid w:val="004B161F"/>
    <w:rsid w:val="004B2C5D"/>
    <w:rsid w:val="004B4622"/>
    <w:rsid w:val="004B5DA7"/>
    <w:rsid w:val="004B5E20"/>
    <w:rsid w:val="004C18B8"/>
    <w:rsid w:val="004C2B9F"/>
    <w:rsid w:val="004C3575"/>
    <w:rsid w:val="004C6042"/>
    <w:rsid w:val="004C6D1C"/>
    <w:rsid w:val="004C7309"/>
    <w:rsid w:val="004C7C8B"/>
    <w:rsid w:val="004D120F"/>
    <w:rsid w:val="004D4619"/>
    <w:rsid w:val="004D4899"/>
    <w:rsid w:val="004D5FD6"/>
    <w:rsid w:val="004D7082"/>
    <w:rsid w:val="004D736D"/>
    <w:rsid w:val="004D7784"/>
    <w:rsid w:val="004D7A5E"/>
    <w:rsid w:val="004D7EC6"/>
    <w:rsid w:val="004D7FF5"/>
    <w:rsid w:val="004E037C"/>
    <w:rsid w:val="004E0538"/>
    <w:rsid w:val="004E07ED"/>
    <w:rsid w:val="004E0EEB"/>
    <w:rsid w:val="004E201A"/>
    <w:rsid w:val="004E2479"/>
    <w:rsid w:val="004E6C64"/>
    <w:rsid w:val="004F2C12"/>
    <w:rsid w:val="004F323D"/>
    <w:rsid w:val="004F609A"/>
    <w:rsid w:val="004F656B"/>
    <w:rsid w:val="004F6CB3"/>
    <w:rsid w:val="004F7A72"/>
    <w:rsid w:val="005006DA"/>
    <w:rsid w:val="00501C90"/>
    <w:rsid w:val="00502CFD"/>
    <w:rsid w:val="005056F9"/>
    <w:rsid w:val="005075B2"/>
    <w:rsid w:val="005104A8"/>
    <w:rsid w:val="005107BD"/>
    <w:rsid w:val="00510B86"/>
    <w:rsid w:val="00511E2A"/>
    <w:rsid w:val="005122CC"/>
    <w:rsid w:val="00513E3D"/>
    <w:rsid w:val="00513E71"/>
    <w:rsid w:val="00514095"/>
    <w:rsid w:val="00514129"/>
    <w:rsid w:val="005157C9"/>
    <w:rsid w:val="00516ABF"/>
    <w:rsid w:val="00517ADA"/>
    <w:rsid w:val="0052010E"/>
    <w:rsid w:val="00520DD2"/>
    <w:rsid w:val="00521FC3"/>
    <w:rsid w:val="00525E06"/>
    <w:rsid w:val="005300AB"/>
    <w:rsid w:val="005314DE"/>
    <w:rsid w:val="00531B80"/>
    <w:rsid w:val="005341EB"/>
    <w:rsid w:val="0053436F"/>
    <w:rsid w:val="005343BD"/>
    <w:rsid w:val="00540ACA"/>
    <w:rsid w:val="00545760"/>
    <w:rsid w:val="00546CDA"/>
    <w:rsid w:val="00550956"/>
    <w:rsid w:val="00551C06"/>
    <w:rsid w:val="0055339B"/>
    <w:rsid w:val="00553521"/>
    <w:rsid w:val="00553848"/>
    <w:rsid w:val="005539D5"/>
    <w:rsid w:val="00553A9C"/>
    <w:rsid w:val="00554E1F"/>
    <w:rsid w:val="00555C96"/>
    <w:rsid w:val="00557244"/>
    <w:rsid w:val="00562312"/>
    <w:rsid w:val="00562850"/>
    <w:rsid w:val="00562DD7"/>
    <w:rsid w:val="00563186"/>
    <w:rsid w:val="00564C35"/>
    <w:rsid w:val="00564D01"/>
    <w:rsid w:val="00565197"/>
    <w:rsid w:val="0056527D"/>
    <w:rsid w:val="0056580D"/>
    <w:rsid w:val="005662C3"/>
    <w:rsid w:val="00567791"/>
    <w:rsid w:val="00567B57"/>
    <w:rsid w:val="00572579"/>
    <w:rsid w:val="00573602"/>
    <w:rsid w:val="00575326"/>
    <w:rsid w:val="005764BC"/>
    <w:rsid w:val="00576D48"/>
    <w:rsid w:val="00577099"/>
    <w:rsid w:val="005803E4"/>
    <w:rsid w:val="005813A3"/>
    <w:rsid w:val="0058600D"/>
    <w:rsid w:val="00586174"/>
    <w:rsid w:val="00586A09"/>
    <w:rsid w:val="00592413"/>
    <w:rsid w:val="00596059"/>
    <w:rsid w:val="005966A9"/>
    <w:rsid w:val="005974D2"/>
    <w:rsid w:val="005A55D1"/>
    <w:rsid w:val="005A75BD"/>
    <w:rsid w:val="005A7A9B"/>
    <w:rsid w:val="005B02A0"/>
    <w:rsid w:val="005B2C4E"/>
    <w:rsid w:val="005B3744"/>
    <w:rsid w:val="005B48EB"/>
    <w:rsid w:val="005B5144"/>
    <w:rsid w:val="005B57D3"/>
    <w:rsid w:val="005B6758"/>
    <w:rsid w:val="005C05A6"/>
    <w:rsid w:val="005C3039"/>
    <w:rsid w:val="005C3F17"/>
    <w:rsid w:val="005C533E"/>
    <w:rsid w:val="005C7924"/>
    <w:rsid w:val="005D0E3C"/>
    <w:rsid w:val="005D1ECF"/>
    <w:rsid w:val="005D35FB"/>
    <w:rsid w:val="005D3703"/>
    <w:rsid w:val="005D50F0"/>
    <w:rsid w:val="005D55A0"/>
    <w:rsid w:val="005E339A"/>
    <w:rsid w:val="005E4EFB"/>
    <w:rsid w:val="005E6758"/>
    <w:rsid w:val="005F192B"/>
    <w:rsid w:val="005F48BF"/>
    <w:rsid w:val="005F4F48"/>
    <w:rsid w:val="005F7184"/>
    <w:rsid w:val="006018E0"/>
    <w:rsid w:val="00602070"/>
    <w:rsid w:val="00602CE9"/>
    <w:rsid w:val="0060404A"/>
    <w:rsid w:val="00605A42"/>
    <w:rsid w:val="00607D42"/>
    <w:rsid w:val="00610B36"/>
    <w:rsid w:val="00612D93"/>
    <w:rsid w:val="00616CE6"/>
    <w:rsid w:val="00617B7F"/>
    <w:rsid w:val="00620A8B"/>
    <w:rsid w:val="006214D4"/>
    <w:rsid w:val="0062167D"/>
    <w:rsid w:val="00623E5B"/>
    <w:rsid w:val="006241E2"/>
    <w:rsid w:val="0062483E"/>
    <w:rsid w:val="00625BF5"/>
    <w:rsid w:val="0062699E"/>
    <w:rsid w:val="00626C03"/>
    <w:rsid w:val="00632CB1"/>
    <w:rsid w:val="00634EAE"/>
    <w:rsid w:val="00635332"/>
    <w:rsid w:val="00640327"/>
    <w:rsid w:val="0064131F"/>
    <w:rsid w:val="0064137C"/>
    <w:rsid w:val="00641C9D"/>
    <w:rsid w:val="006426D4"/>
    <w:rsid w:val="00644633"/>
    <w:rsid w:val="006502E4"/>
    <w:rsid w:val="006511FF"/>
    <w:rsid w:val="00654848"/>
    <w:rsid w:val="006549F0"/>
    <w:rsid w:val="00655D88"/>
    <w:rsid w:val="006570AE"/>
    <w:rsid w:val="0066066D"/>
    <w:rsid w:val="00664639"/>
    <w:rsid w:val="00664C3E"/>
    <w:rsid w:val="006705CE"/>
    <w:rsid w:val="00671CC1"/>
    <w:rsid w:val="00672A56"/>
    <w:rsid w:val="00673974"/>
    <w:rsid w:val="00675F0C"/>
    <w:rsid w:val="006772D0"/>
    <w:rsid w:val="0068040E"/>
    <w:rsid w:val="00682966"/>
    <w:rsid w:val="00683692"/>
    <w:rsid w:val="00691664"/>
    <w:rsid w:val="00692EC2"/>
    <w:rsid w:val="00695848"/>
    <w:rsid w:val="006A0033"/>
    <w:rsid w:val="006A01C8"/>
    <w:rsid w:val="006A13A3"/>
    <w:rsid w:val="006A149E"/>
    <w:rsid w:val="006A4049"/>
    <w:rsid w:val="006A50FE"/>
    <w:rsid w:val="006A571B"/>
    <w:rsid w:val="006A74EC"/>
    <w:rsid w:val="006A7A58"/>
    <w:rsid w:val="006B0738"/>
    <w:rsid w:val="006B0A3F"/>
    <w:rsid w:val="006B0C09"/>
    <w:rsid w:val="006B109D"/>
    <w:rsid w:val="006B2210"/>
    <w:rsid w:val="006B3460"/>
    <w:rsid w:val="006B5130"/>
    <w:rsid w:val="006B6538"/>
    <w:rsid w:val="006B6ADE"/>
    <w:rsid w:val="006B6F97"/>
    <w:rsid w:val="006B7581"/>
    <w:rsid w:val="006C0613"/>
    <w:rsid w:val="006C0EA7"/>
    <w:rsid w:val="006C72A7"/>
    <w:rsid w:val="006D1FF9"/>
    <w:rsid w:val="006D2824"/>
    <w:rsid w:val="006D2A72"/>
    <w:rsid w:val="006D2D33"/>
    <w:rsid w:val="006D3B8E"/>
    <w:rsid w:val="006D3FB0"/>
    <w:rsid w:val="006D4E46"/>
    <w:rsid w:val="006D4FA1"/>
    <w:rsid w:val="006D706C"/>
    <w:rsid w:val="006D734B"/>
    <w:rsid w:val="006D78C8"/>
    <w:rsid w:val="006E34F0"/>
    <w:rsid w:val="006E5916"/>
    <w:rsid w:val="007009F7"/>
    <w:rsid w:val="00700CFC"/>
    <w:rsid w:val="00700F2F"/>
    <w:rsid w:val="00703917"/>
    <w:rsid w:val="00705580"/>
    <w:rsid w:val="007063D8"/>
    <w:rsid w:val="007067D1"/>
    <w:rsid w:val="00707112"/>
    <w:rsid w:val="00707D32"/>
    <w:rsid w:val="007101A7"/>
    <w:rsid w:val="0071602E"/>
    <w:rsid w:val="0071721B"/>
    <w:rsid w:val="00717319"/>
    <w:rsid w:val="007178DD"/>
    <w:rsid w:val="00720E25"/>
    <w:rsid w:val="007215FF"/>
    <w:rsid w:val="007237F7"/>
    <w:rsid w:val="00725964"/>
    <w:rsid w:val="00725E98"/>
    <w:rsid w:val="007278D4"/>
    <w:rsid w:val="00730CF5"/>
    <w:rsid w:val="00732D8E"/>
    <w:rsid w:val="00733AE5"/>
    <w:rsid w:val="00734C97"/>
    <w:rsid w:val="00734FB7"/>
    <w:rsid w:val="00736423"/>
    <w:rsid w:val="0073647E"/>
    <w:rsid w:val="007365C5"/>
    <w:rsid w:val="00736A6F"/>
    <w:rsid w:val="0073750A"/>
    <w:rsid w:val="00737FC5"/>
    <w:rsid w:val="00742DD6"/>
    <w:rsid w:val="00742F5E"/>
    <w:rsid w:val="00743C28"/>
    <w:rsid w:val="00744424"/>
    <w:rsid w:val="00746395"/>
    <w:rsid w:val="007477AB"/>
    <w:rsid w:val="00751434"/>
    <w:rsid w:val="00752F62"/>
    <w:rsid w:val="007530E6"/>
    <w:rsid w:val="007532D0"/>
    <w:rsid w:val="0075333C"/>
    <w:rsid w:val="00757858"/>
    <w:rsid w:val="00763AEC"/>
    <w:rsid w:val="00766021"/>
    <w:rsid w:val="00766860"/>
    <w:rsid w:val="00767497"/>
    <w:rsid w:val="00770598"/>
    <w:rsid w:val="0077090F"/>
    <w:rsid w:val="00771BDC"/>
    <w:rsid w:val="0077208C"/>
    <w:rsid w:val="00772570"/>
    <w:rsid w:val="00773AAD"/>
    <w:rsid w:val="0077538A"/>
    <w:rsid w:val="00777178"/>
    <w:rsid w:val="00777324"/>
    <w:rsid w:val="00777B59"/>
    <w:rsid w:val="00782979"/>
    <w:rsid w:val="00782BD0"/>
    <w:rsid w:val="00782C10"/>
    <w:rsid w:val="00782D08"/>
    <w:rsid w:val="00783A3A"/>
    <w:rsid w:val="00784126"/>
    <w:rsid w:val="007847FB"/>
    <w:rsid w:val="00785D79"/>
    <w:rsid w:val="00785FEE"/>
    <w:rsid w:val="00786B36"/>
    <w:rsid w:val="0079011A"/>
    <w:rsid w:val="0079077A"/>
    <w:rsid w:val="00790FEC"/>
    <w:rsid w:val="00792640"/>
    <w:rsid w:val="007951EA"/>
    <w:rsid w:val="00796259"/>
    <w:rsid w:val="0079747F"/>
    <w:rsid w:val="007A27B0"/>
    <w:rsid w:val="007A3913"/>
    <w:rsid w:val="007B0F38"/>
    <w:rsid w:val="007B1DE0"/>
    <w:rsid w:val="007B4E9F"/>
    <w:rsid w:val="007B4EE7"/>
    <w:rsid w:val="007B56C7"/>
    <w:rsid w:val="007B7BEA"/>
    <w:rsid w:val="007C242E"/>
    <w:rsid w:val="007C265A"/>
    <w:rsid w:val="007C2F4C"/>
    <w:rsid w:val="007C5AFA"/>
    <w:rsid w:val="007C6DEA"/>
    <w:rsid w:val="007D05A3"/>
    <w:rsid w:val="007D05BB"/>
    <w:rsid w:val="007D072E"/>
    <w:rsid w:val="007D0DE1"/>
    <w:rsid w:val="007D14CB"/>
    <w:rsid w:val="007D1A06"/>
    <w:rsid w:val="007D2403"/>
    <w:rsid w:val="007D3008"/>
    <w:rsid w:val="007D4BA8"/>
    <w:rsid w:val="007D5317"/>
    <w:rsid w:val="007D6422"/>
    <w:rsid w:val="007D7821"/>
    <w:rsid w:val="007E0409"/>
    <w:rsid w:val="007E0839"/>
    <w:rsid w:val="007E0C9B"/>
    <w:rsid w:val="007E1C43"/>
    <w:rsid w:val="007E1FF9"/>
    <w:rsid w:val="007E260A"/>
    <w:rsid w:val="007E2613"/>
    <w:rsid w:val="007E2E38"/>
    <w:rsid w:val="007E4D27"/>
    <w:rsid w:val="007E50AC"/>
    <w:rsid w:val="007E67A0"/>
    <w:rsid w:val="007E7BF4"/>
    <w:rsid w:val="007F28F5"/>
    <w:rsid w:val="007F39A4"/>
    <w:rsid w:val="007F47AC"/>
    <w:rsid w:val="007F69C3"/>
    <w:rsid w:val="008004D5"/>
    <w:rsid w:val="008018DF"/>
    <w:rsid w:val="008018EB"/>
    <w:rsid w:val="0080305C"/>
    <w:rsid w:val="00804946"/>
    <w:rsid w:val="00804A60"/>
    <w:rsid w:val="008062D4"/>
    <w:rsid w:val="0080641E"/>
    <w:rsid w:val="00806573"/>
    <w:rsid w:val="00811073"/>
    <w:rsid w:val="0081136A"/>
    <w:rsid w:val="008125A3"/>
    <w:rsid w:val="0081775E"/>
    <w:rsid w:val="00822845"/>
    <w:rsid w:val="00822A19"/>
    <w:rsid w:val="00823514"/>
    <w:rsid w:val="008239C4"/>
    <w:rsid w:val="00825260"/>
    <w:rsid w:val="00826367"/>
    <w:rsid w:val="008275CB"/>
    <w:rsid w:val="00830089"/>
    <w:rsid w:val="00831E2E"/>
    <w:rsid w:val="008326D7"/>
    <w:rsid w:val="00832D9A"/>
    <w:rsid w:val="0083346B"/>
    <w:rsid w:val="00835E8A"/>
    <w:rsid w:val="00837069"/>
    <w:rsid w:val="00841C38"/>
    <w:rsid w:val="008429B4"/>
    <w:rsid w:val="00842E98"/>
    <w:rsid w:val="00843648"/>
    <w:rsid w:val="008437EE"/>
    <w:rsid w:val="0084386B"/>
    <w:rsid w:val="0084492F"/>
    <w:rsid w:val="008454AF"/>
    <w:rsid w:val="00845B8C"/>
    <w:rsid w:val="00850C25"/>
    <w:rsid w:val="00852482"/>
    <w:rsid w:val="00852CEE"/>
    <w:rsid w:val="00855083"/>
    <w:rsid w:val="00857D17"/>
    <w:rsid w:val="00857E8D"/>
    <w:rsid w:val="008607A8"/>
    <w:rsid w:val="008608E0"/>
    <w:rsid w:val="00866447"/>
    <w:rsid w:val="0086753E"/>
    <w:rsid w:val="00870CE0"/>
    <w:rsid w:val="00870D33"/>
    <w:rsid w:val="00870D35"/>
    <w:rsid w:val="0087177C"/>
    <w:rsid w:val="00874155"/>
    <w:rsid w:val="0087519F"/>
    <w:rsid w:val="00875EFB"/>
    <w:rsid w:val="008810C1"/>
    <w:rsid w:val="008811C2"/>
    <w:rsid w:val="0088183F"/>
    <w:rsid w:val="00882D50"/>
    <w:rsid w:val="00884093"/>
    <w:rsid w:val="00885484"/>
    <w:rsid w:val="00887530"/>
    <w:rsid w:val="00891198"/>
    <w:rsid w:val="0089214A"/>
    <w:rsid w:val="0089261A"/>
    <w:rsid w:val="00895102"/>
    <w:rsid w:val="00896C19"/>
    <w:rsid w:val="008A0A67"/>
    <w:rsid w:val="008A0BD4"/>
    <w:rsid w:val="008A20F8"/>
    <w:rsid w:val="008A4B1B"/>
    <w:rsid w:val="008B2E70"/>
    <w:rsid w:val="008C080B"/>
    <w:rsid w:val="008C1C1C"/>
    <w:rsid w:val="008C25BB"/>
    <w:rsid w:val="008C2FF7"/>
    <w:rsid w:val="008C340E"/>
    <w:rsid w:val="008C3D0F"/>
    <w:rsid w:val="008C47C1"/>
    <w:rsid w:val="008C786C"/>
    <w:rsid w:val="008D0CC2"/>
    <w:rsid w:val="008D1394"/>
    <w:rsid w:val="008D1A25"/>
    <w:rsid w:val="008D1FB6"/>
    <w:rsid w:val="008D2D97"/>
    <w:rsid w:val="008D2DA5"/>
    <w:rsid w:val="008D2F52"/>
    <w:rsid w:val="008D3B82"/>
    <w:rsid w:val="008D3D18"/>
    <w:rsid w:val="008D3F41"/>
    <w:rsid w:val="008D53FB"/>
    <w:rsid w:val="008D576E"/>
    <w:rsid w:val="008D59CB"/>
    <w:rsid w:val="008D5D99"/>
    <w:rsid w:val="008D6C8F"/>
    <w:rsid w:val="008E0817"/>
    <w:rsid w:val="008E2264"/>
    <w:rsid w:val="008E2A32"/>
    <w:rsid w:val="008E6928"/>
    <w:rsid w:val="008E782C"/>
    <w:rsid w:val="008E7B4B"/>
    <w:rsid w:val="008E7B8C"/>
    <w:rsid w:val="008E7E09"/>
    <w:rsid w:val="008E7F52"/>
    <w:rsid w:val="008F0B4E"/>
    <w:rsid w:val="008F197C"/>
    <w:rsid w:val="008F1DAB"/>
    <w:rsid w:val="008F2119"/>
    <w:rsid w:val="008F3E3F"/>
    <w:rsid w:val="008F4558"/>
    <w:rsid w:val="008F6321"/>
    <w:rsid w:val="008F6CD4"/>
    <w:rsid w:val="009046CF"/>
    <w:rsid w:val="0090577C"/>
    <w:rsid w:val="00906634"/>
    <w:rsid w:val="009128E0"/>
    <w:rsid w:val="00914FD5"/>
    <w:rsid w:val="009174FE"/>
    <w:rsid w:val="00917DAD"/>
    <w:rsid w:val="00917E63"/>
    <w:rsid w:val="00920221"/>
    <w:rsid w:val="00920D69"/>
    <w:rsid w:val="009218F4"/>
    <w:rsid w:val="00923770"/>
    <w:rsid w:val="00923771"/>
    <w:rsid w:val="009238E4"/>
    <w:rsid w:val="00923B79"/>
    <w:rsid w:val="009241B0"/>
    <w:rsid w:val="00924390"/>
    <w:rsid w:val="0092467D"/>
    <w:rsid w:val="00924695"/>
    <w:rsid w:val="009259FE"/>
    <w:rsid w:val="00926845"/>
    <w:rsid w:val="00926A57"/>
    <w:rsid w:val="00927F44"/>
    <w:rsid w:val="00931A25"/>
    <w:rsid w:val="00931C1A"/>
    <w:rsid w:val="009326B6"/>
    <w:rsid w:val="00932802"/>
    <w:rsid w:val="009348D8"/>
    <w:rsid w:val="00936F64"/>
    <w:rsid w:val="00937AB9"/>
    <w:rsid w:val="009418C2"/>
    <w:rsid w:val="0094198D"/>
    <w:rsid w:val="00945AF8"/>
    <w:rsid w:val="0094613D"/>
    <w:rsid w:val="009502F3"/>
    <w:rsid w:val="0095045B"/>
    <w:rsid w:val="00950CD4"/>
    <w:rsid w:val="009524F0"/>
    <w:rsid w:val="00953108"/>
    <w:rsid w:val="00954212"/>
    <w:rsid w:val="00954D2E"/>
    <w:rsid w:val="00961436"/>
    <w:rsid w:val="0096277F"/>
    <w:rsid w:val="0096305F"/>
    <w:rsid w:val="009634D6"/>
    <w:rsid w:val="00966B00"/>
    <w:rsid w:val="00967EA6"/>
    <w:rsid w:val="00971BF0"/>
    <w:rsid w:val="00971D96"/>
    <w:rsid w:val="00972AD3"/>
    <w:rsid w:val="00972D11"/>
    <w:rsid w:val="009752C0"/>
    <w:rsid w:val="00975391"/>
    <w:rsid w:val="00976AE2"/>
    <w:rsid w:val="009773E3"/>
    <w:rsid w:val="0098005F"/>
    <w:rsid w:val="00981DF4"/>
    <w:rsid w:val="0098227A"/>
    <w:rsid w:val="009832E8"/>
    <w:rsid w:val="0098574E"/>
    <w:rsid w:val="0099081B"/>
    <w:rsid w:val="009932A3"/>
    <w:rsid w:val="00997A3E"/>
    <w:rsid w:val="009A06EC"/>
    <w:rsid w:val="009A3754"/>
    <w:rsid w:val="009A51B2"/>
    <w:rsid w:val="009A5268"/>
    <w:rsid w:val="009A58C2"/>
    <w:rsid w:val="009A643E"/>
    <w:rsid w:val="009A64B5"/>
    <w:rsid w:val="009A6D60"/>
    <w:rsid w:val="009A7329"/>
    <w:rsid w:val="009A7625"/>
    <w:rsid w:val="009B4C07"/>
    <w:rsid w:val="009B4DFC"/>
    <w:rsid w:val="009B50AB"/>
    <w:rsid w:val="009C048F"/>
    <w:rsid w:val="009C05E4"/>
    <w:rsid w:val="009C0A1F"/>
    <w:rsid w:val="009C1192"/>
    <w:rsid w:val="009C1774"/>
    <w:rsid w:val="009C2E83"/>
    <w:rsid w:val="009C2F81"/>
    <w:rsid w:val="009C322C"/>
    <w:rsid w:val="009C47F1"/>
    <w:rsid w:val="009C6086"/>
    <w:rsid w:val="009D36DE"/>
    <w:rsid w:val="009D409D"/>
    <w:rsid w:val="009D4CCE"/>
    <w:rsid w:val="009D6241"/>
    <w:rsid w:val="009E1378"/>
    <w:rsid w:val="009E16C4"/>
    <w:rsid w:val="009E191E"/>
    <w:rsid w:val="009E46AC"/>
    <w:rsid w:val="009E79DE"/>
    <w:rsid w:val="009F304D"/>
    <w:rsid w:val="009F5E6A"/>
    <w:rsid w:val="009F655F"/>
    <w:rsid w:val="009F672E"/>
    <w:rsid w:val="009F6CC2"/>
    <w:rsid w:val="009F7B1D"/>
    <w:rsid w:val="00A0026C"/>
    <w:rsid w:val="00A057F9"/>
    <w:rsid w:val="00A0626D"/>
    <w:rsid w:val="00A10E9C"/>
    <w:rsid w:val="00A1224A"/>
    <w:rsid w:val="00A132D7"/>
    <w:rsid w:val="00A13B9E"/>
    <w:rsid w:val="00A15BC9"/>
    <w:rsid w:val="00A165A7"/>
    <w:rsid w:val="00A165FF"/>
    <w:rsid w:val="00A175AD"/>
    <w:rsid w:val="00A22F4C"/>
    <w:rsid w:val="00A231D1"/>
    <w:rsid w:val="00A24314"/>
    <w:rsid w:val="00A25123"/>
    <w:rsid w:val="00A257E8"/>
    <w:rsid w:val="00A27EEB"/>
    <w:rsid w:val="00A3190A"/>
    <w:rsid w:val="00A32842"/>
    <w:rsid w:val="00A33E77"/>
    <w:rsid w:val="00A33ED1"/>
    <w:rsid w:val="00A35C5F"/>
    <w:rsid w:val="00A36BD5"/>
    <w:rsid w:val="00A36E7B"/>
    <w:rsid w:val="00A40F32"/>
    <w:rsid w:val="00A41665"/>
    <w:rsid w:val="00A42AE0"/>
    <w:rsid w:val="00A43334"/>
    <w:rsid w:val="00A46F43"/>
    <w:rsid w:val="00A52E57"/>
    <w:rsid w:val="00A53643"/>
    <w:rsid w:val="00A539BE"/>
    <w:rsid w:val="00A54A18"/>
    <w:rsid w:val="00A5542B"/>
    <w:rsid w:val="00A573D3"/>
    <w:rsid w:val="00A60A3F"/>
    <w:rsid w:val="00A61B56"/>
    <w:rsid w:val="00A70539"/>
    <w:rsid w:val="00A71008"/>
    <w:rsid w:val="00A72945"/>
    <w:rsid w:val="00A7330F"/>
    <w:rsid w:val="00A74687"/>
    <w:rsid w:val="00A756C4"/>
    <w:rsid w:val="00A75DA7"/>
    <w:rsid w:val="00A776C2"/>
    <w:rsid w:val="00A83381"/>
    <w:rsid w:val="00A852FF"/>
    <w:rsid w:val="00A85D13"/>
    <w:rsid w:val="00A9006F"/>
    <w:rsid w:val="00A906AA"/>
    <w:rsid w:val="00A9152C"/>
    <w:rsid w:val="00A9490C"/>
    <w:rsid w:val="00AA0515"/>
    <w:rsid w:val="00AA4366"/>
    <w:rsid w:val="00AA7712"/>
    <w:rsid w:val="00AA7931"/>
    <w:rsid w:val="00AB0288"/>
    <w:rsid w:val="00AB0BC6"/>
    <w:rsid w:val="00AB128B"/>
    <w:rsid w:val="00AB3D99"/>
    <w:rsid w:val="00AB5017"/>
    <w:rsid w:val="00AB5A20"/>
    <w:rsid w:val="00AB5BB1"/>
    <w:rsid w:val="00AB70CC"/>
    <w:rsid w:val="00AB7E08"/>
    <w:rsid w:val="00AC1D1D"/>
    <w:rsid w:val="00AC29EA"/>
    <w:rsid w:val="00AC51D9"/>
    <w:rsid w:val="00AC7EA6"/>
    <w:rsid w:val="00AD1738"/>
    <w:rsid w:val="00AD1AF1"/>
    <w:rsid w:val="00AD2A60"/>
    <w:rsid w:val="00AD7DDF"/>
    <w:rsid w:val="00AE004F"/>
    <w:rsid w:val="00AE05BA"/>
    <w:rsid w:val="00AE067E"/>
    <w:rsid w:val="00AE108E"/>
    <w:rsid w:val="00AF16DD"/>
    <w:rsid w:val="00AF1D54"/>
    <w:rsid w:val="00AF4F1E"/>
    <w:rsid w:val="00B00490"/>
    <w:rsid w:val="00B01406"/>
    <w:rsid w:val="00B025CF"/>
    <w:rsid w:val="00B04928"/>
    <w:rsid w:val="00B0513F"/>
    <w:rsid w:val="00B051AB"/>
    <w:rsid w:val="00B05E76"/>
    <w:rsid w:val="00B07F59"/>
    <w:rsid w:val="00B10F4A"/>
    <w:rsid w:val="00B11182"/>
    <w:rsid w:val="00B12A61"/>
    <w:rsid w:val="00B14994"/>
    <w:rsid w:val="00B20F7E"/>
    <w:rsid w:val="00B21314"/>
    <w:rsid w:val="00B214A7"/>
    <w:rsid w:val="00B22342"/>
    <w:rsid w:val="00B23323"/>
    <w:rsid w:val="00B238CC"/>
    <w:rsid w:val="00B27DD5"/>
    <w:rsid w:val="00B3274E"/>
    <w:rsid w:val="00B33324"/>
    <w:rsid w:val="00B3345F"/>
    <w:rsid w:val="00B34CEE"/>
    <w:rsid w:val="00B40491"/>
    <w:rsid w:val="00B425F0"/>
    <w:rsid w:val="00B43D9D"/>
    <w:rsid w:val="00B4522D"/>
    <w:rsid w:val="00B4587E"/>
    <w:rsid w:val="00B46457"/>
    <w:rsid w:val="00B46FA4"/>
    <w:rsid w:val="00B55F5F"/>
    <w:rsid w:val="00B569F4"/>
    <w:rsid w:val="00B60B31"/>
    <w:rsid w:val="00B65190"/>
    <w:rsid w:val="00B65276"/>
    <w:rsid w:val="00B701C1"/>
    <w:rsid w:val="00B72454"/>
    <w:rsid w:val="00B75494"/>
    <w:rsid w:val="00B811D8"/>
    <w:rsid w:val="00B81AFC"/>
    <w:rsid w:val="00B82B24"/>
    <w:rsid w:val="00B83D61"/>
    <w:rsid w:val="00B84102"/>
    <w:rsid w:val="00B846FA"/>
    <w:rsid w:val="00B84E1E"/>
    <w:rsid w:val="00B84E78"/>
    <w:rsid w:val="00B85309"/>
    <w:rsid w:val="00B85B57"/>
    <w:rsid w:val="00B86FAD"/>
    <w:rsid w:val="00B87162"/>
    <w:rsid w:val="00B8743A"/>
    <w:rsid w:val="00B8760D"/>
    <w:rsid w:val="00B90AD0"/>
    <w:rsid w:val="00B90B69"/>
    <w:rsid w:val="00B91590"/>
    <w:rsid w:val="00B92A00"/>
    <w:rsid w:val="00B92CE2"/>
    <w:rsid w:val="00B9363C"/>
    <w:rsid w:val="00B93D79"/>
    <w:rsid w:val="00B93F20"/>
    <w:rsid w:val="00B9492C"/>
    <w:rsid w:val="00B95E7E"/>
    <w:rsid w:val="00B970EE"/>
    <w:rsid w:val="00BA350D"/>
    <w:rsid w:val="00BA3A95"/>
    <w:rsid w:val="00BA3D82"/>
    <w:rsid w:val="00BA408D"/>
    <w:rsid w:val="00BA5C06"/>
    <w:rsid w:val="00BB1214"/>
    <w:rsid w:val="00BB1B40"/>
    <w:rsid w:val="00BB4996"/>
    <w:rsid w:val="00BB52CD"/>
    <w:rsid w:val="00BB7179"/>
    <w:rsid w:val="00BC0266"/>
    <w:rsid w:val="00BC03CE"/>
    <w:rsid w:val="00BC2087"/>
    <w:rsid w:val="00BC414D"/>
    <w:rsid w:val="00BC548A"/>
    <w:rsid w:val="00BC7192"/>
    <w:rsid w:val="00BD2540"/>
    <w:rsid w:val="00BD27B1"/>
    <w:rsid w:val="00BD5AD0"/>
    <w:rsid w:val="00BD78E0"/>
    <w:rsid w:val="00BD7DFF"/>
    <w:rsid w:val="00BE132F"/>
    <w:rsid w:val="00BE4BC1"/>
    <w:rsid w:val="00BE4F94"/>
    <w:rsid w:val="00BE56FA"/>
    <w:rsid w:val="00BE5DB2"/>
    <w:rsid w:val="00BE60A8"/>
    <w:rsid w:val="00BE796A"/>
    <w:rsid w:val="00BE7CCA"/>
    <w:rsid w:val="00BF02D1"/>
    <w:rsid w:val="00BF0677"/>
    <w:rsid w:val="00BF25B7"/>
    <w:rsid w:val="00BF29EA"/>
    <w:rsid w:val="00BF334B"/>
    <w:rsid w:val="00BF3D18"/>
    <w:rsid w:val="00BF54BF"/>
    <w:rsid w:val="00BF5BBE"/>
    <w:rsid w:val="00BF73E2"/>
    <w:rsid w:val="00BF7514"/>
    <w:rsid w:val="00BF7A11"/>
    <w:rsid w:val="00C012D5"/>
    <w:rsid w:val="00C03BAC"/>
    <w:rsid w:val="00C042BE"/>
    <w:rsid w:val="00C04C43"/>
    <w:rsid w:val="00C05927"/>
    <w:rsid w:val="00C06682"/>
    <w:rsid w:val="00C06A7B"/>
    <w:rsid w:val="00C07060"/>
    <w:rsid w:val="00C07C55"/>
    <w:rsid w:val="00C1143D"/>
    <w:rsid w:val="00C120C8"/>
    <w:rsid w:val="00C12D44"/>
    <w:rsid w:val="00C13433"/>
    <w:rsid w:val="00C14916"/>
    <w:rsid w:val="00C154D5"/>
    <w:rsid w:val="00C16604"/>
    <w:rsid w:val="00C16759"/>
    <w:rsid w:val="00C22081"/>
    <w:rsid w:val="00C228AE"/>
    <w:rsid w:val="00C24203"/>
    <w:rsid w:val="00C25F34"/>
    <w:rsid w:val="00C303E5"/>
    <w:rsid w:val="00C310E0"/>
    <w:rsid w:val="00C3169C"/>
    <w:rsid w:val="00C31E62"/>
    <w:rsid w:val="00C31ED1"/>
    <w:rsid w:val="00C31FE3"/>
    <w:rsid w:val="00C33233"/>
    <w:rsid w:val="00C3353F"/>
    <w:rsid w:val="00C33D9B"/>
    <w:rsid w:val="00C33FCE"/>
    <w:rsid w:val="00C340BA"/>
    <w:rsid w:val="00C345DD"/>
    <w:rsid w:val="00C35B76"/>
    <w:rsid w:val="00C413C9"/>
    <w:rsid w:val="00C447C3"/>
    <w:rsid w:val="00C45BBA"/>
    <w:rsid w:val="00C46E15"/>
    <w:rsid w:val="00C473A7"/>
    <w:rsid w:val="00C47E14"/>
    <w:rsid w:val="00C50BBB"/>
    <w:rsid w:val="00C521F8"/>
    <w:rsid w:val="00C52B42"/>
    <w:rsid w:val="00C52EEB"/>
    <w:rsid w:val="00C5363D"/>
    <w:rsid w:val="00C548A1"/>
    <w:rsid w:val="00C55E47"/>
    <w:rsid w:val="00C56834"/>
    <w:rsid w:val="00C60898"/>
    <w:rsid w:val="00C6270C"/>
    <w:rsid w:val="00C67E6F"/>
    <w:rsid w:val="00C71B94"/>
    <w:rsid w:val="00C72B52"/>
    <w:rsid w:val="00C73FDE"/>
    <w:rsid w:val="00C745E3"/>
    <w:rsid w:val="00C74803"/>
    <w:rsid w:val="00C75CB9"/>
    <w:rsid w:val="00C76BC9"/>
    <w:rsid w:val="00C77548"/>
    <w:rsid w:val="00C77C72"/>
    <w:rsid w:val="00C81927"/>
    <w:rsid w:val="00C81E56"/>
    <w:rsid w:val="00C82318"/>
    <w:rsid w:val="00C83BBE"/>
    <w:rsid w:val="00C83DFD"/>
    <w:rsid w:val="00C84128"/>
    <w:rsid w:val="00C844A3"/>
    <w:rsid w:val="00C8533F"/>
    <w:rsid w:val="00C866C2"/>
    <w:rsid w:val="00C86C0B"/>
    <w:rsid w:val="00C86CD3"/>
    <w:rsid w:val="00C910D1"/>
    <w:rsid w:val="00C917BD"/>
    <w:rsid w:val="00C939E7"/>
    <w:rsid w:val="00C95344"/>
    <w:rsid w:val="00CA0D67"/>
    <w:rsid w:val="00CA29EE"/>
    <w:rsid w:val="00CA4487"/>
    <w:rsid w:val="00CB05E1"/>
    <w:rsid w:val="00CB07FE"/>
    <w:rsid w:val="00CB37CF"/>
    <w:rsid w:val="00CB5B6D"/>
    <w:rsid w:val="00CB6472"/>
    <w:rsid w:val="00CB7556"/>
    <w:rsid w:val="00CB7B82"/>
    <w:rsid w:val="00CC1F67"/>
    <w:rsid w:val="00CC47F4"/>
    <w:rsid w:val="00CC4DB2"/>
    <w:rsid w:val="00CC50A2"/>
    <w:rsid w:val="00CC714D"/>
    <w:rsid w:val="00CD1884"/>
    <w:rsid w:val="00CD21C0"/>
    <w:rsid w:val="00CD3722"/>
    <w:rsid w:val="00CD3AC2"/>
    <w:rsid w:val="00CD3BBC"/>
    <w:rsid w:val="00CD61DE"/>
    <w:rsid w:val="00CD624F"/>
    <w:rsid w:val="00CD66B6"/>
    <w:rsid w:val="00CD772B"/>
    <w:rsid w:val="00CD7854"/>
    <w:rsid w:val="00CD7F7D"/>
    <w:rsid w:val="00CE1966"/>
    <w:rsid w:val="00CE1C11"/>
    <w:rsid w:val="00CE296A"/>
    <w:rsid w:val="00CE35F5"/>
    <w:rsid w:val="00CE4C02"/>
    <w:rsid w:val="00CE52B5"/>
    <w:rsid w:val="00CE5583"/>
    <w:rsid w:val="00CE77E2"/>
    <w:rsid w:val="00CF49CD"/>
    <w:rsid w:val="00D014ED"/>
    <w:rsid w:val="00D02553"/>
    <w:rsid w:val="00D03230"/>
    <w:rsid w:val="00D0376C"/>
    <w:rsid w:val="00D03CB1"/>
    <w:rsid w:val="00D04E78"/>
    <w:rsid w:val="00D05052"/>
    <w:rsid w:val="00D06061"/>
    <w:rsid w:val="00D06D8C"/>
    <w:rsid w:val="00D0759B"/>
    <w:rsid w:val="00D12EE7"/>
    <w:rsid w:val="00D136DB"/>
    <w:rsid w:val="00D13994"/>
    <w:rsid w:val="00D13D49"/>
    <w:rsid w:val="00D14279"/>
    <w:rsid w:val="00D14EF6"/>
    <w:rsid w:val="00D15782"/>
    <w:rsid w:val="00D16486"/>
    <w:rsid w:val="00D16F75"/>
    <w:rsid w:val="00D174EA"/>
    <w:rsid w:val="00D2068D"/>
    <w:rsid w:val="00D26ECE"/>
    <w:rsid w:val="00D26F79"/>
    <w:rsid w:val="00D313D2"/>
    <w:rsid w:val="00D32305"/>
    <w:rsid w:val="00D338BD"/>
    <w:rsid w:val="00D35CEF"/>
    <w:rsid w:val="00D37921"/>
    <w:rsid w:val="00D429A0"/>
    <w:rsid w:val="00D44B82"/>
    <w:rsid w:val="00D46424"/>
    <w:rsid w:val="00D464AE"/>
    <w:rsid w:val="00D46884"/>
    <w:rsid w:val="00D5202B"/>
    <w:rsid w:val="00D5278E"/>
    <w:rsid w:val="00D5547A"/>
    <w:rsid w:val="00D55C27"/>
    <w:rsid w:val="00D565B8"/>
    <w:rsid w:val="00D56D2E"/>
    <w:rsid w:val="00D61E20"/>
    <w:rsid w:val="00D62D79"/>
    <w:rsid w:val="00D6538E"/>
    <w:rsid w:val="00D65672"/>
    <w:rsid w:val="00D70DF2"/>
    <w:rsid w:val="00D7116D"/>
    <w:rsid w:val="00D71776"/>
    <w:rsid w:val="00D722D2"/>
    <w:rsid w:val="00D7283B"/>
    <w:rsid w:val="00D73DBC"/>
    <w:rsid w:val="00D74A0B"/>
    <w:rsid w:val="00D7540C"/>
    <w:rsid w:val="00D765D6"/>
    <w:rsid w:val="00D773CB"/>
    <w:rsid w:val="00D7745F"/>
    <w:rsid w:val="00D80BE6"/>
    <w:rsid w:val="00D815D0"/>
    <w:rsid w:val="00D8201B"/>
    <w:rsid w:val="00D8298E"/>
    <w:rsid w:val="00D84071"/>
    <w:rsid w:val="00D85BB5"/>
    <w:rsid w:val="00D8713B"/>
    <w:rsid w:val="00D87704"/>
    <w:rsid w:val="00D90E71"/>
    <w:rsid w:val="00D95BDB"/>
    <w:rsid w:val="00DA0E2C"/>
    <w:rsid w:val="00DA4B00"/>
    <w:rsid w:val="00DA5912"/>
    <w:rsid w:val="00DA79A2"/>
    <w:rsid w:val="00DB2585"/>
    <w:rsid w:val="00DB2993"/>
    <w:rsid w:val="00DB5261"/>
    <w:rsid w:val="00DB7EA9"/>
    <w:rsid w:val="00DC190F"/>
    <w:rsid w:val="00DC3146"/>
    <w:rsid w:val="00DC5BAB"/>
    <w:rsid w:val="00DC5C2E"/>
    <w:rsid w:val="00DD364F"/>
    <w:rsid w:val="00DD3F51"/>
    <w:rsid w:val="00DE07CC"/>
    <w:rsid w:val="00DE1932"/>
    <w:rsid w:val="00DE27E4"/>
    <w:rsid w:val="00DE3AAF"/>
    <w:rsid w:val="00DE68AE"/>
    <w:rsid w:val="00DE6A58"/>
    <w:rsid w:val="00DE7623"/>
    <w:rsid w:val="00DF12C6"/>
    <w:rsid w:val="00DF19D8"/>
    <w:rsid w:val="00DF1AC2"/>
    <w:rsid w:val="00DF1F7B"/>
    <w:rsid w:val="00DF28F9"/>
    <w:rsid w:val="00DF3A99"/>
    <w:rsid w:val="00DF44DD"/>
    <w:rsid w:val="00DF6C11"/>
    <w:rsid w:val="00DF6C2D"/>
    <w:rsid w:val="00DF6D64"/>
    <w:rsid w:val="00E027E1"/>
    <w:rsid w:val="00E06D14"/>
    <w:rsid w:val="00E12D36"/>
    <w:rsid w:val="00E14BE8"/>
    <w:rsid w:val="00E14C76"/>
    <w:rsid w:val="00E176FE"/>
    <w:rsid w:val="00E20621"/>
    <w:rsid w:val="00E211EC"/>
    <w:rsid w:val="00E216D2"/>
    <w:rsid w:val="00E2172C"/>
    <w:rsid w:val="00E2311C"/>
    <w:rsid w:val="00E26176"/>
    <w:rsid w:val="00E266B8"/>
    <w:rsid w:val="00E273C3"/>
    <w:rsid w:val="00E27BF5"/>
    <w:rsid w:val="00E3031B"/>
    <w:rsid w:val="00E333D0"/>
    <w:rsid w:val="00E350FC"/>
    <w:rsid w:val="00E35BAA"/>
    <w:rsid w:val="00E4097C"/>
    <w:rsid w:val="00E40A2A"/>
    <w:rsid w:val="00E4183B"/>
    <w:rsid w:val="00E41956"/>
    <w:rsid w:val="00E41C30"/>
    <w:rsid w:val="00E42D98"/>
    <w:rsid w:val="00E4590F"/>
    <w:rsid w:val="00E54F60"/>
    <w:rsid w:val="00E55D23"/>
    <w:rsid w:val="00E5675F"/>
    <w:rsid w:val="00E6406C"/>
    <w:rsid w:val="00E64CE9"/>
    <w:rsid w:val="00E65B58"/>
    <w:rsid w:val="00E67010"/>
    <w:rsid w:val="00E676B5"/>
    <w:rsid w:val="00E677F2"/>
    <w:rsid w:val="00E7428D"/>
    <w:rsid w:val="00E760D6"/>
    <w:rsid w:val="00E80733"/>
    <w:rsid w:val="00E80F13"/>
    <w:rsid w:val="00E81DA5"/>
    <w:rsid w:val="00E83726"/>
    <w:rsid w:val="00E85EB0"/>
    <w:rsid w:val="00E92C37"/>
    <w:rsid w:val="00E959EF"/>
    <w:rsid w:val="00E967BD"/>
    <w:rsid w:val="00EA0ED9"/>
    <w:rsid w:val="00EA1764"/>
    <w:rsid w:val="00EA2A56"/>
    <w:rsid w:val="00EA4031"/>
    <w:rsid w:val="00EA47E4"/>
    <w:rsid w:val="00EA5F91"/>
    <w:rsid w:val="00EA6657"/>
    <w:rsid w:val="00EA6947"/>
    <w:rsid w:val="00EA7EC2"/>
    <w:rsid w:val="00EB1DD9"/>
    <w:rsid w:val="00EB3EDF"/>
    <w:rsid w:val="00EB42B1"/>
    <w:rsid w:val="00EB52F0"/>
    <w:rsid w:val="00EB5E9E"/>
    <w:rsid w:val="00EB7319"/>
    <w:rsid w:val="00EC0FF9"/>
    <w:rsid w:val="00EC2155"/>
    <w:rsid w:val="00EC32CB"/>
    <w:rsid w:val="00EC4FEF"/>
    <w:rsid w:val="00EC735F"/>
    <w:rsid w:val="00EC7548"/>
    <w:rsid w:val="00ED055B"/>
    <w:rsid w:val="00ED109D"/>
    <w:rsid w:val="00ED2A5B"/>
    <w:rsid w:val="00ED4340"/>
    <w:rsid w:val="00ED50E5"/>
    <w:rsid w:val="00ED5CB0"/>
    <w:rsid w:val="00ED5E17"/>
    <w:rsid w:val="00ED7498"/>
    <w:rsid w:val="00ED7C0B"/>
    <w:rsid w:val="00ED7C59"/>
    <w:rsid w:val="00EE0DE5"/>
    <w:rsid w:val="00EE1E4A"/>
    <w:rsid w:val="00EE2489"/>
    <w:rsid w:val="00EE406A"/>
    <w:rsid w:val="00EF0624"/>
    <w:rsid w:val="00EF2EC3"/>
    <w:rsid w:val="00EF4144"/>
    <w:rsid w:val="00EF5CEC"/>
    <w:rsid w:val="00EF5E1E"/>
    <w:rsid w:val="00EF5F17"/>
    <w:rsid w:val="00EF61D2"/>
    <w:rsid w:val="00F016DF"/>
    <w:rsid w:val="00F016F3"/>
    <w:rsid w:val="00F021ED"/>
    <w:rsid w:val="00F03EB9"/>
    <w:rsid w:val="00F043B7"/>
    <w:rsid w:val="00F04DC2"/>
    <w:rsid w:val="00F0580D"/>
    <w:rsid w:val="00F103DD"/>
    <w:rsid w:val="00F1098B"/>
    <w:rsid w:val="00F12C9F"/>
    <w:rsid w:val="00F138F1"/>
    <w:rsid w:val="00F157F2"/>
    <w:rsid w:val="00F15B4D"/>
    <w:rsid w:val="00F16933"/>
    <w:rsid w:val="00F17579"/>
    <w:rsid w:val="00F202D4"/>
    <w:rsid w:val="00F215D0"/>
    <w:rsid w:val="00F2161A"/>
    <w:rsid w:val="00F23F9C"/>
    <w:rsid w:val="00F27CB5"/>
    <w:rsid w:val="00F33F0E"/>
    <w:rsid w:val="00F34316"/>
    <w:rsid w:val="00F35131"/>
    <w:rsid w:val="00F3537F"/>
    <w:rsid w:val="00F35D18"/>
    <w:rsid w:val="00F36C78"/>
    <w:rsid w:val="00F415A8"/>
    <w:rsid w:val="00F42724"/>
    <w:rsid w:val="00F43473"/>
    <w:rsid w:val="00F45137"/>
    <w:rsid w:val="00F46DF3"/>
    <w:rsid w:val="00F477E1"/>
    <w:rsid w:val="00F47805"/>
    <w:rsid w:val="00F5052A"/>
    <w:rsid w:val="00F52535"/>
    <w:rsid w:val="00F52961"/>
    <w:rsid w:val="00F5379C"/>
    <w:rsid w:val="00F568B0"/>
    <w:rsid w:val="00F573A1"/>
    <w:rsid w:val="00F6443D"/>
    <w:rsid w:val="00F64EE9"/>
    <w:rsid w:val="00F66FFD"/>
    <w:rsid w:val="00F7112C"/>
    <w:rsid w:val="00F72C71"/>
    <w:rsid w:val="00F732DB"/>
    <w:rsid w:val="00F734AB"/>
    <w:rsid w:val="00F74994"/>
    <w:rsid w:val="00F75188"/>
    <w:rsid w:val="00F7531C"/>
    <w:rsid w:val="00F758AB"/>
    <w:rsid w:val="00F76103"/>
    <w:rsid w:val="00F774FD"/>
    <w:rsid w:val="00F8174A"/>
    <w:rsid w:val="00F846F0"/>
    <w:rsid w:val="00F84B81"/>
    <w:rsid w:val="00F860D0"/>
    <w:rsid w:val="00F860D3"/>
    <w:rsid w:val="00F87060"/>
    <w:rsid w:val="00F871EC"/>
    <w:rsid w:val="00F93191"/>
    <w:rsid w:val="00F93353"/>
    <w:rsid w:val="00F94B2D"/>
    <w:rsid w:val="00F957FE"/>
    <w:rsid w:val="00F95899"/>
    <w:rsid w:val="00FA1412"/>
    <w:rsid w:val="00FA2966"/>
    <w:rsid w:val="00FA3AC4"/>
    <w:rsid w:val="00FA4407"/>
    <w:rsid w:val="00FA6465"/>
    <w:rsid w:val="00FB066B"/>
    <w:rsid w:val="00FB17BE"/>
    <w:rsid w:val="00FB1E7E"/>
    <w:rsid w:val="00FB22FA"/>
    <w:rsid w:val="00FB407E"/>
    <w:rsid w:val="00FB54A0"/>
    <w:rsid w:val="00FB68AD"/>
    <w:rsid w:val="00FB7056"/>
    <w:rsid w:val="00FC0301"/>
    <w:rsid w:val="00FC207D"/>
    <w:rsid w:val="00FC277A"/>
    <w:rsid w:val="00FC3086"/>
    <w:rsid w:val="00FC5F2A"/>
    <w:rsid w:val="00FC6CAC"/>
    <w:rsid w:val="00FC771C"/>
    <w:rsid w:val="00FD12A1"/>
    <w:rsid w:val="00FD293D"/>
    <w:rsid w:val="00FD2ED7"/>
    <w:rsid w:val="00FE20B1"/>
    <w:rsid w:val="00FE2935"/>
    <w:rsid w:val="00FE2CA9"/>
    <w:rsid w:val="00FE3FC2"/>
    <w:rsid w:val="00FE4232"/>
    <w:rsid w:val="00FE46BC"/>
    <w:rsid w:val="00FE47EE"/>
    <w:rsid w:val="00FE6718"/>
    <w:rsid w:val="00FE7BAB"/>
    <w:rsid w:val="00FF0D17"/>
    <w:rsid w:val="00FF5165"/>
    <w:rsid w:val="00FF5F4C"/>
    <w:rsid w:val="00FF61B7"/>
    <w:rsid w:val="00FF7395"/>
    <w:rsid w:val="00FF7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1F437"/>
  <w15:chartTrackingRefBased/>
  <w15:docId w15:val="{8050BF43-E3D4-4260-9FC5-085B1142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C0"/>
  </w:style>
  <w:style w:type="paragraph" w:styleId="Heading1">
    <w:name w:val="heading 1"/>
    <w:basedOn w:val="Normal"/>
    <w:next w:val="Normal"/>
    <w:link w:val="Heading1Char"/>
    <w:uiPriority w:val="9"/>
    <w:qFormat/>
    <w:rsid w:val="00C03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3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B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17B"/>
    <w:pPr>
      <w:ind w:left="720"/>
      <w:contextualSpacing/>
    </w:pPr>
  </w:style>
  <w:style w:type="table" w:styleId="TableGrid">
    <w:name w:val="Table Grid"/>
    <w:basedOn w:val="TableNormal"/>
    <w:uiPriority w:val="39"/>
    <w:rsid w:val="004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133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133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164AD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C823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next w:val="GridTable4-Accent6"/>
    <w:uiPriority w:val="49"/>
    <w:rsid w:val="00C82318"/>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B07F59"/>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2">
    <w:name w:val="Grid Table 4 - Accent 62"/>
    <w:basedOn w:val="TableNormal"/>
    <w:next w:val="GridTable4-Accent6"/>
    <w:uiPriority w:val="49"/>
    <w:rsid w:val="006A50FE"/>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7375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
    <w:name w:val="Grid Table 2"/>
    <w:basedOn w:val="TableNormal"/>
    <w:uiPriority w:val="47"/>
    <w:rsid w:val="00A756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756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B3"/>
  </w:style>
  <w:style w:type="paragraph" w:styleId="Footer">
    <w:name w:val="footer"/>
    <w:basedOn w:val="Normal"/>
    <w:link w:val="FooterChar"/>
    <w:uiPriority w:val="99"/>
    <w:unhideWhenUsed/>
    <w:rsid w:val="004F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B3"/>
  </w:style>
  <w:style w:type="table" w:customStyle="1" w:styleId="GridTable4-Accent63">
    <w:name w:val="Grid Table 4 - Accent 63"/>
    <w:basedOn w:val="TableNormal"/>
    <w:next w:val="GridTable4-Accent6"/>
    <w:uiPriority w:val="49"/>
    <w:rsid w:val="000F7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433A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2232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5B2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
    <w:name w:val="Grid Table 6 Colorful"/>
    <w:basedOn w:val="TableNormal"/>
    <w:uiPriority w:val="51"/>
    <w:rsid w:val="00BF54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5">
    <w:name w:val="Grid Table 6 Colorful Accent 5"/>
    <w:basedOn w:val="TableNormal"/>
    <w:uiPriority w:val="51"/>
    <w:rsid w:val="002275C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2">
    <w:name w:val="Grid Table 1 Light Accent 2"/>
    <w:basedOn w:val="TableNormal"/>
    <w:uiPriority w:val="46"/>
    <w:rsid w:val="001052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BB12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2">
    <w:name w:val="Plain Table 2"/>
    <w:basedOn w:val="TableNormal"/>
    <w:uiPriority w:val="42"/>
    <w:rsid w:val="00923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C50BBB"/>
    <w:pPr>
      <w:spacing w:after="0" w:line="240" w:lineRule="auto"/>
    </w:pPr>
    <w:rPr>
      <w:rFonts w:eastAsiaTheme="minorEastAsia"/>
      <w:kern w:val="0"/>
      <w:lang w:val="en-GB" w:eastAsia="en-GB"/>
      <w14:ligatures w14:val="none"/>
    </w:rPr>
  </w:style>
  <w:style w:type="character" w:customStyle="1" w:styleId="NoSpacingChar">
    <w:name w:val="No Spacing Char"/>
    <w:basedOn w:val="DefaultParagraphFont"/>
    <w:link w:val="NoSpacing"/>
    <w:uiPriority w:val="1"/>
    <w:rsid w:val="00C50BBB"/>
    <w:rPr>
      <w:rFonts w:eastAsiaTheme="minorEastAsia"/>
      <w:kern w:val="0"/>
      <w:lang w:val="en-GB" w:eastAsia="en-GB"/>
      <w14:ligatures w14:val="none"/>
    </w:rPr>
  </w:style>
  <w:style w:type="table" w:styleId="GridTable4">
    <w:name w:val="Grid Table 4"/>
    <w:basedOn w:val="TableNormal"/>
    <w:uiPriority w:val="49"/>
    <w:rsid w:val="007D1A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6">
    <w:name w:val="Grid Table 6 Colorful Accent 6"/>
    <w:basedOn w:val="TableNormal"/>
    <w:uiPriority w:val="51"/>
    <w:rsid w:val="00EF062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E41C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610B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Accent2">
    <w:name w:val="List Table 2 Accent 2"/>
    <w:basedOn w:val="TableNormal"/>
    <w:uiPriority w:val="47"/>
    <w:rsid w:val="00CE296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4">
    <w:name w:val="Grid Table 6 Colorful Accent 4"/>
    <w:basedOn w:val="TableNormal"/>
    <w:uiPriority w:val="51"/>
    <w:rsid w:val="00CE29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2">
    <w:name w:val="Grid Table 6 Colorful Accent 2"/>
    <w:basedOn w:val="TableNormal"/>
    <w:uiPriority w:val="51"/>
    <w:rsid w:val="00CE296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5D1EC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482B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12386"/>
    <w:rPr>
      <w:b/>
      <w:bCs/>
    </w:rPr>
  </w:style>
  <w:style w:type="character" w:customStyle="1" w:styleId="ListParagraphChar">
    <w:name w:val="List Paragraph Char"/>
    <w:link w:val="ListParagraph"/>
    <w:uiPriority w:val="34"/>
    <w:qFormat/>
    <w:rsid w:val="006B6538"/>
  </w:style>
  <w:style w:type="character" w:customStyle="1" w:styleId="Heading1Char">
    <w:name w:val="Heading 1 Char"/>
    <w:basedOn w:val="DefaultParagraphFont"/>
    <w:link w:val="Heading1"/>
    <w:uiPriority w:val="9"/>
    <w:rsid w:val="00C03B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3B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3BA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95E0D"/>
    <w:pPr>
      <w:outlineLvl w:val="9"/>
    </w:pPr>
    <w:rPr>
      <w:kern w:val="0"/>
      <w14:ligatures w14:val="none"/>
    </w:rPr>
  </w:style>
  <w:style w:type="paragraph" w:styleId="TOC1">
    <w:name w:val="toc 1"/>
    <w:basedOn w:val="Normal"/>
    <w:next w:val="Normal"/>
    <w:autoRedefine/>
    <w:uiPriority w:val="39"/>
    <w:unhideWhenUsed/>
    <w:rsid w:val="00395E0D"/>
    <w:pPr>
      <w:spacing w:after="100"/>
    </w:pPr>
  </w:style>
  <w:style w:type="paragraph" w:styleId="TOC2">
    <w:name w:val="toc 2"/>
    <w:basedOn w:val="Normal"/>
    <w:next w:val="Normal"/>
    <w:autoRedefine/>
    <w:uiPriority w:val="39"/>
    <w:unhideWhenUsed/>
    <w:rsid w:val="00395E0D"/>
    <w:pPr>
      <w:spacing w:after="100"/>
      <w:ind w:left="220"/>
    </w:pPr>
  </w:style>
  <w:style w:type="paragraph" w:styleId="TOC3">
    <w:name w:val="toc 3"/>
    <w:basedOn w:val="Normal"/>
    <w:next w:val="Normal"/>
    <w:autoRedefine/>
    <w:uiPriority w:val="39"/>
    <w:unhideWhenUsed/>
    <w:rsid w:val="00395E0D"/>
    <w:pPr>
      <w:spacing w:after="100"/>
      <w:ind w:left="440"/>
    </w:pPr>
  </w:style>
  <w:style w:type="character" w:styleId="Hyperlink">
    <w:name w:val="Hyperlink"/>
    <w:basedOn w:val="DefaultParagraphFont"/>
    <w:uiPriority w:val="99"/>
    <w:unhideWhenUsed/>
    <w:rsid w:val="00395E0D"/>
    <w:rPr>
      <w:color w:val="0563C1" w:themeColor="hyperlink"/>
      <w:u w:val="single"/>
    </w:rPr>
  </w:style>
  <w:style w:type="paragraph" w:styleId="Caption">
    <w:name w:val="caption"/>
    <w:basedOn w:val="Normal"/>
    <w:next w:val="Normal"/>
    <w:uiPriority w:val="35"/>
    <w:unhideWhenUsed/>
    <w:qFormat/>
    <w:rsid w:val="0032681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6602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12">
      <w:bodyDiv w:val="1"/>
      <w:marLeft w:val="0"/>
      <w:marRight w:val="0"/>
      <w:marTop w:val="0"/>
      <w:marBottom w:val="0"/>
      <w:divBdr>
        <w:top w:val="none" w:sz="0" w:space="0" w:color="auto"/>
        <w:left w:val="none" w:sz="0" w:space="0" w:color="auto"/>
        <w:bottom w:val="none" w:sz="0" w:space="0" w:color="auto"/>
        <w:right w:val="none" w:sz="0" w:space="0" w:color="auto"/>
      </w:divBdr>
    </w:div>
    <w:div w:id="34045693">
      <w:bodyDiv w:val="1"/>
      <w:marLeft w:val="0"/>
      <w:marRight w:val="0"/>
      <w:marTop w:val="0"/>
      <w:marBottom w:val="0"/>
      <w:divBdr>
        <w:top w:val="none" w:sz="0" w:space="0" w:color="auto"/>
        <w:left w:val="none" w:sz="0" w:space="0" w:color="auto"/>
        <w:bottom w:val="none" w:sz="0" w:space="0" w:color="auto"/>
        <w:right w:val="none" w:sz="0" w:space="0" w:color="auto"/>
      </w:divBdr>
    </w:div>
    <w:div w:id="46802358">
      <w:bodyDiv w:val="1"/>
      <w:marLeft w:val="0"/>
      <w:marRight w:val="0"/>
      <w:marTop w:val="0"/>
      <w:marBottom w:val="0"/>
      <w:divBdr>
        <w:top w:val="none" w:sz="0" w:space="0" w:color="auto"/>
        <w:left w:val="none" w:sz="0" w:space="0" w:color="auto"/>
        <w:bottom w:val="none" w:sz="0" w:space="0" w:color="auto"/>
        <w:right w:val="none" w:sz="0" w:space="0" w:color="auto"/>
      </w:divBdr>
    </w:div>
    <w:div w:id="68425109">
      <w:bodyDiv w:val="1"/>
      <w:marLeft w:val="0"/>
      <w:marRight w:val="0"/>
      <w:marTop w:val="0"/>
      <w:marBottom w:val="0"/>
      <w:divBdr>
        <w:top w:val="none" w:sz="0" w:space="0" w:color="auto"/>
        <w:left w:val="none" w:sz="0" w:space="0" w:color="auto"/>
        <w:bottom w:val="none" w:sz="0" w:space="0" w:color="auto"/>
        <w:right w:val="none" w:sz="0" w:space="0" w:color="auto"/>
      </w:divBdr>
    </w:div>
    <w:div w:id="78673430">
      <w:bodyDiv w:val="1"/>
      <w:marLeft w:val="0"/>
      <w:marRight w:val="0"/>
      <w:marTop w:val="0"/>
      <w:marBottom w:val="0"/>
      <w:divBdr>
        <w:top w:val="none" w:sz="0" w:space="0" w:color="auto"/>
        <w:left w:val="none" w:sz="0" w:space="0" w:color="auto"/>
        <w:bottom w:val="none" w:sz="0" w:space="0" w:color="auto"/>
        <w:right w:val="none" w:sz="0" w:space="0" w:color="auto"/>
      </w:divBdr>
    </w:div>
    <w:div w:id="185367704">
      <w:bodyDiv w:val="1"/>
      <w:marLeft w:val="0"/>
      <w:marRight w:val="0"/>
      <w:marTop w:val="0"/>
      <w:marBottom w:val="0"/>
      <w:divBdr>
        <w:top w:val="none" w:sz="0" w:space="0" w:color="auto"/>
        <w:left w:val="none" w:sz="0" w:space="0" w:color="auto"/>
        <w:bottom w:val="none" w:sz="0" w:space="0" w:color="auto"/>
        <w:right w:val="none" w:sz="0" w:space="0" w:color="auto"/>
      </w:divBdr>
    </w:div>
    <w:div w:id="258414550">
      <w:bodyDiv w:val="1"/>
      <w:marLeft w:val="0"/>
      <w:marRight w:val="0"/>
      <w:marTop w:val="0"/>
      <w:marBottom w:val="0"/>
      <w:divBdr>
        <w:top w:val="none" w:sz="0" w:space="0" w:color="auto"/>
        <w:left w:val="none" w:sz="0" w:space="0" w:color="auto"/>
        <w:bottom w:val="none" w:sz="0" w:space="0" w:color="auto"/>
        <w:right w:val="none" w:sz="0" w:space="0" w:color="auto"/>
      </w:divBdr>
    </w:div>
    <w:div w:id="261379219">
      <w:bodyDiv w:val="1"/>
      <w:marLeft w:val="0"/>
      <w:marRight w:val="0"/>
      <w:marTop w:val="0"/>
      <w:marBottom w:val="0"/>
      <w:divBdr>
        <w:top w:val="none" w:sz="0" w:space="0" w:color="auto"/>
        <w:left w:val="none" w:sz="0" w:space="0" w:color="auto"/>
        <w:bottom w:val="none" w:sz="0" w:space="0" w:color="auto"/>
        <w:right w:val="none" w:sz="0" w:space="0" w:color="auto"/>
      </w:divBdr>
    </w:div>
    <w:div w:id="265501555">
      <w:bodyDiv w:val="1"/>
      <w:marLeft w:val="0"/>
      <w:marRight w:val="0"/>
      <w:marTop w:val="0"/>
      <w:marBottom w:val="0"/>
      <w:divBdr>
        <w:top w:val="none" w:sz="0" w:space="0" w:color="auto"/>
        <w:left w:val="none" w:sz="0" w:space="0" w:color="auto"/>
        <w:bottom w:val="none" w:sz="0" w:space="0" w:color="auto"/>
        <w:right w:val="none" w:sz="0" w:space="0" w:color="auto"/>
      </w:divBdr>
    </w:div>
    <w:div w:id="305164456">
      <w:bodyDiv w:val="1"/>
      <w:marLeft w:val="0"/>
      <w:marRight w:val="0"/>
      <w:marTop w:val="0"/>
      <w:marBottom w:val="0"/>
      <w:divBdr>
        <w:top w:val="none" w:sz="0" w:space="0" w:color="auto"/>
        <w:left w:val="none" w:sz="0" w:space="0" w:color="auto"/>
        <w:bottom w:val="none" w:sz="0" w:space="0" w:color="auto"/>
        <w:right w:val="none" w:sz="0" w:space="0" w:color="auto"/>
      </w:divBdr>
    </w:div>
    <w:div w:id="340745240">
      <w:bodyDiv w:val="1"/>
      <w:marLeft w:val="0"/>
      <w:marRight w:val="0"/>
      <w:marTop w:val="0"/>
      <w:marBottom w:val="0"/>
      <w:divBdr>
        <w:top w:val="none" w:sz="0" w:space="0" w:color="auto"/>
        <w:left w:val="none" w:sz="0" w:space="0" w:color="auto"/>
        <w:bottom w:val="none" w:sz="0" w:space="0" w:color="auto"/>
        <w:right w:val="none" w:sz="0" w:space="0" w:color="auto"/>
      </w:divBdr>
    </w:div>
    <w:div w:id="449974218">
      <w:bodyDiv w:val="1"/>
      <w:marLeft w:val="0"/>
      <w:marRight w:val="0"/>
      <w:marTop w:val="0"/>
      <w:marBottom w:val="0"/>
      <w:divBdr>
        <w:top w:val="none" w:sz="0" w:space="0" w:color="auto"/>
        <w:left w:val="none" w:sz="0" w:space="0" w:color="auto"/>
        <w:bottom w:val="none" w:sz="0" w:space="0" w:color="auto"/>
        <w:right w:val="none" w:sz="0" w:space="0" w:color="auto"/>
      </w:divBdr>
    </w:div>
    <w:div w:id="509028268">
      <w:bodyDiv w:val="1"/>
      <w:marLeft w:val="0"/>
      <w:marRight w:val="0"/>
      <w:marTop w:val="0"/>
      <w:marBottom w:val="0"/>
      <w:divBdr>
        <w:top w:val="none" w:sz="0" w:space="0" w:color="auto"/>
        <w:left w:val="none" w:sz="0" w:space="0" w:color="auto"/>
        <w:bottom w:val="none" w:sz="0" w:space="0" w:color="auto"/>
        <w:right w:val="none" w:sz="0" w:space="0" w:color="auto"/>
      </w:divBdr>
    </w:div>
    <w:div w:id="527529182">
      <w:bodyDiv w:val="1"/>
      <w:marLeft w:val="0"/>
      <w:marRight w:val="0"/>
      <w:marTop w:val="0"/>
      <w:marBottom w:val="0"/>
      <w:divBdr>
        <w:top w:val="none" w:sz="0" w:space="0" w:color="auto"/>
        <w:left w:val="none" w:sz="0" w:space="0" w:color="auto"/>
        <w:bottom w:val="none" w:sz="0" w:space="0" w:color="auto"/>
        <w:right w:val="none" w:sz="0" w:space="0" w:color="auto"/>
      </w:divBdr>
    </w:div>
    <w:div w:id="543324681">
      <w:bodyDiv w:val="1"/>
      <w:marLeft w:val="0"/>
      <w:marRight w:val="0"/>
      <w:marTop w:val="0"/>
      <w:marBottom w:val="0"/>
      <w:divBdr>
        <w:top w:val="none" w:sz="0" w:space="0" w:color="auto"/>
        <w:left w:val="none" w:sz="0" w:space="0" w:color="auto"/>
        <w:bottom w:val="none" w:sz="0" w:space="0" w:color="auto"/>
        <w:right w:val="none" w:sz="0" w:space="0" w:color="auto"/>
      </w:divBdr>
    </w:div>
    <w:div w:id="562447530">
      <w:bodyDiv w:val="1"/>
      <w:marLeft w:val="0"/>
      <w:marRight w:val="0"/>
      <w:marTop w:val="0"/>
      <w:marBottom w:val="0"/>
      <w:divBdr>
        <w:top w:val="none" w:sz="0" w:space="0" w:color="auto"/>
        <w:left w:val="none" w:sz="0" w:space="0" w:color="auto"/>
        <w:bottom w:val="none" w:sz="0" w:space="0" w:color="auto"/>
        <w:right w:val="none" w:sz="0" w:space="0" w:color="auto"/>
      </w:divBdr>
    </w:div>
    <w:div w:id="627323850">
      <w:bodyDiv w:val="1"/>
      <w:marLeft w:val="0"/>
      <w:marRight w:val="0"/>
      <w:marTop w:val="0"/>
      <w:marBottom w:val="0"/>
      <w:divBdr>
        <w:top w:val="none" w:sz="0" w:space="0" w:color="auto"/>
        <w:left w:val="none" w:sz="0" w:space="0" w:color="auto"/>
        <w:bottom w:val="none" w:sz="0" w:space="0" w:color="auto"/>
        <w:right w:val="none" w:sz="0" w:space="0" w:color="auto"/>
      </w:divBdr>
    </w:div>
    <w:div w:id="629673279">
      <w:bodyDiv w:val="1"/>
      <w:marLeft w:val="0"/>
      <w:marRight w:val="0"/>
      <w:marTop w:val="0"/>
      <w:marBottom w:val="0"/>
      <w:divBdr>
        <w:top w:val="none" w:sz="0" w:space="0" w:color="auto"/>
        <w:left w:val="none" w:sz="0" w:space="0" w:color="auto"/>
        <w:bottom w:val="none" w:sz="0" w:space="0" w:color="auto"/>
        <w:right w:val="none" w:sz="0" w:space="0" w:color="auto"/>
      </w:divBdr>
    </w:div>
    <w:div w:id="630135426">
      <w:bodyDiv w:val="1"/>
      <w:marLeft w:val="0"/>
      <w:marRight w:val="0"/>
      <w:marTop w:val="0"/>
      <w:marBottom w:val="0"/>
      <w:divBdr>
        <w:top w:val="none" w:sz="0" w:space="0" w:color="auto"/>
        <w:left w:val="none" w:sz="0" w:space="0" w:color="auto"/>
        <w:bottom w:val="none" w:sz="0" w:space="0" w:color="auto"/>
        <w:right w:val="none" w:sz="0" w:space="0" w:color="auto"/>
      </w:divBdr>
    </w:div>
    <w:div w:id="641690924">
      <w:bodyDiv w:val="1"/>
      <w:marLeft w:val="0"/>
      <w:marRight w:val="0"/>
      <w:marTop w:val="0"/>
      <w:marBottom w:val="0"/>
      <w:divBdr>
        <w:top w:val="none" w:sz="0" w:space="0" w:color="auto"/>
        <w:left w:val="none" w:sz="0" w:space="0" w:color="auto"/>
        <w:bottom w:val="none" w:sz="0" w:space="0" w:color="auto"/>
        <w:right w:val="none" w:sz="0" w:space="0" w:color="auto"/>
      </w:divBdr>
    </w:div>
    <w:div w:id="697123008">
      <w:bodyDiv w:val="1"/>
      <w:marLeft w:val="0"/>
      <w:marRight w:val="0"/>
      <w:marTop w:val="0"/>
      <w:marBottom w:val="0"/>
      <w:divBdr>
        <w:top w:val="none" w:sz="0" w:space="0" w:color="auto"/>
        <w:left w:val="none" w:sz="0" w:space="0" w:color="auto"/>
        <w:bottom w:val="none" w:sz="0" w:space="0" w:color="auto"/>
        <w:right w:val="none" w:sz="0" w:space="0" w:color="auto"/>
      </w:divBdr>
    </w:div>
    <w:div w:id="706831637">
      <w:bodyDiv w:val="1"/>
      <w:marLeft w:val="0"/>
      <w:marRight w:val="0"/>
      <w:marTop w:val="0"/>
      <w:marBottom w:val="0"/>
      <w:divBdr>
        <w:top w:val="none" w:sz="0" w:space="0" w:color="auto"/>
        <w:left w:val="none" w:sz="0" w:space="0" w:color="auto"/>
        <w:bottom w:val="none" w:sz="0" w:space="0" w:color="auto"/>
        <w:right w:val="none" w:sz="0" w:space="0" w:color="auto"/>
      </w:divBdr>
    </w:div>
    <w:div w:id="719745849">
      <w:bodyDiv w:val="1"/>
      <w:marLeft w:val="0"/>
      <w:marRight w:val="0"/>
      <w:marTop w:val="0"/>
      <w:marBottom w:val="0"/>
      <w:divBdr>
        <w:top w:val="none" w:sz="0" w:space="0" w:color="auto"/>
        <w:left w:val="none" w:sz="0" w:space="0" w:color="auto"/>
        <w:bottom w:val="none" w:sz="0" w:space="0" w:color="auto"/>
        <w:right w:val="none" w:sz="0" w:space="0" w:color="auto"/>
      </w:divBdr>
    </w:div>
    <w:div w:id="794373918">
      <w:bodyDiv w:val="1"/>
      <w:marLeft w:val="0"/>
      <w:marRight w:val="0"/>
      <w:marTop w:val="0"/>
      <w:marBottom w:val="0"/>
      <w:divBdr>
        <w:top w:val="none" w:sz="0" w:space="0" w:color="auto"/>
        <w:left w:val="none" w:sz="0" w:space="0" w:color="auto"/>
        <w:bottom w:val="none" w:sz="0" w:space="0" w:color="auto"/>
        <w:right w:val="none" w:sz="0" w:space="0" w:color="auto"/>
      </w:divBdr>
    </w:div>
    <w:div w:id="843590757">
      <w:bodyDiv w:val="1"/>
      <w:marLeft w:val="0"/>
      <w:marRight w:val="0"/>
      <w:marTop w:val="0"/>
      <w:marBottom w:val="0"/>
      <w:divBdr>
        <w:top w:val="none" w:sz="0" w:space="0" w:color="auto"/>
        <w:left w:val="none" w:sz="0" w:space="0" w:color="auto"/>
        <w:bottom w:val="none" w:sz="0" w:space="0" w:color="auto"/>
        <w:right w:val="none" w:sz="0" w:space="0" w:color="auto"/>
      </w:divBdr>
    </w:div>
    <w:div w:id="846556923">
      <w:bodyDiv w:val="1"/>
      <w:marLeft w:val="0"/>
      <w:marRight w:val="0"/>
      <w:marTop w:val="0"/>
      <w:marBottom w:val="0"/>
      <w:divBdr>
        <w:top w:val="none" w:sz="0" w:space="0" w:color="auto"/>
        <w:left w:val="none" w:sz="0" w:space="0" w:color="auto"/>
        <w:bottom w:val="none" w:sz="0" w:space="0" w:color="auto"/>
        <w:right w:val="none" w:sz="0" w:space="0" w:color="auto"/>
      </w:divBdr>
    </w:div>
    <w:div w:id="848063330">
      <w:bodyDiv w:val="1"/>
      <w:marLeft w:val="0"/>
      <w:marRight w:val="0"/>
      <w:marTop w:val="0"/>
      <w:marBottom w:val="0"/>
      <w:divBdr>
        <w:top w:val="none" w:sz="0" w:space="0" w:color="auto"/>
        <w:left w:val="none" w:sz="0" w:space="0" w:color="auto"/>
        <w:bottom w:val="none" w:sz="0" w:space="0" w:color="auto"/>
        <w:right w:val="none" w:sz="0" w:space="0" w:color="auto"/>
      </w:divBdr>
    </w:div>
    <w:div w:id="857157487">
      <w:bodyDiv w:val="1"/>
      <w:marLeft w:val="0"/>
      <w:marRight w:val="0"/>
      <w:marTop w:val="0"/>
      <w:marBottom w:val="0"/>
      <w:divBdr>
        <w:top w:val="none" w:sz="0" w:space="0" w:color="auto"/>
        <w:left w:val="none" w:sz="0" w:space="0" w:color="auto"/>
        <w:bottom w:val="none" w:sz="0" w:space="0" w:color="auto"/>
        <w:right w:val="none" w:sz="0" w:space="0" w:color="auto"/>
      </w:divBdr>
    </w:div>
    <w:div w:id="857277478">
      <w:bodyDiv w:val="1"/>
      <w:marLeft w:val="0"/>
      <w:marRight w:val="0"/>
      <w:marTop w:val="0"/>
      <w:marBottom w:val="0"/>
      <w:divBdr>
        <w:top w:val="none" w:sz="0" w:space="0" w:color="auto"/>
        <w:left w:val="none" w:sz="0" w:space="0" w:color="auto"/>
        <w:bottom w:val="none" w:sz="0" w:space="0" w:color="auto"/>
        <w:right w:val="none" w:sz="0" w:space="0" w:color="auto"/>
      </w:divBdr>
    </w:div>
    <w:div w:id="892813809">
      <w:bodyDiv w:val="1"/>
      <w:marLeft w:val="0"/>
      <w:marRight w:val="0"/>
      <w:marTop w:val="0"/>
      <w:marBottom w:val="0"/>
      <w:divBdr>
        <w:top w:val="none" w:sz="0" w:space="0" w:color="auto"/>
        <w:left w:val="none" w:sz="0" w:space="0" w:color="auto"/>
        <w:bottom w:val="none" w:sz="0" w:space="0" w:color="auto"/>
        <w:right w:val="none" w:sz="0" w:space="0" w:color="auto"/>
      </w:divBdr>
    </w:div>
    <w:div w:id="941913960">
      <w:bodyDiv w:val="1"/>
      <w:marLeft w:val="0"/>
      <w:marRight w:val="0"/>
      <w:marTop w:val="0"/>
      <w:marBottom w:val="0"/>
      <w:divBdr>
        <w:top w:val="none" w:sz="0" w:space="0" w:color="auto"/>
        <w:left w:val="none" w:sz="0" w:space="0" w:color="auto"/>
        <w:bottom w:val="none" w:sz="0" w:space="0" w:color="auto"/>
        <w:right w:val="none" w:sz="0" w:space="0" w:color="auto"/>
      </w:divBdr>
    </w:div>
    <w:div w:id="956831118">
      <w:bodyDiv w:val="1"/>
      <w:marLeft w:val="0"/>
      <w:marRight w:val="0"/>
      <w:marTop w:val="0"/>
      <w:marBottom w:val="0"/>
      <w:divBdr>
        <w:top w:val="none" w:sz="0" w:space="0" w:color="auto"/>
        <w:left w:val="none" w:sz="0" w:space="0" w:color="auto"/>
        <w:bottom w:val="none" w:sz="0" w:space="0" w:color="auto"/>
        <w:right w:val="none" w:sz="0" w:space="0" w:color="auto"/>
      </w:divBdr>
    </w:div>
    <w:div w:id="969166635">
      <w:bodyDiv w:val="1"/>
      <w:marLeft w:val="0"/>
      <w:marRight w:val="0"/>
      <w:marTop w:val="0"/>
      <w:marBottom w:val="0"/>
      <w:divBdr>
        <w:top w:val="none" w:sz="0" w:space="0" w:color="auto"/>
        <w:left w:val="none" w:sz="0" w:space="0" w:color="auto"/>
        <w:bottom w:val="none" w:sz="0" w:space="0" w:color="auto"/>
        <w:right w:val="none" w:sz="0" w:space="0" w:color="auto"/>
      </w:divBdr>
    </w:div>
    <w:div w:id="982270188">
      <w:bodyDiv w:val="1"/>
      <w:marLeft w:val="0"/>
      <w:marRight w:val="0"/>
      <w:marTop w:val="0"/>
      <w:marBottom w:val="0"/>
      <w:divBdr>
        <w:top w:val="none" w:sz="0" w:space="0" w:color="auto"/>
        <w:left w:val="none" w:sz="0" w:space="0" w:color="auto"/>
        <w:bottom w:val="none" w:sz="0" w:space="0" w:color="auto"/>
        <w:right w:val="none" w:sz="0" w:space="0" w:color="auto"/>
      </w:divBdr>
    </w:div>
    <w:div w:id="1033191510">
      <w:bodyDiv w:val="1"/>
      <w:marLeft w:val="0"/>
      <w:marRight w:val="0"/>
      <w:marTop w:val="0"/>
      <w:marBottom w:val="0"/>
      <w:divBdr>
        <w:top w:val="none" w:sz="0" w:space="0" w:color="auto"/>
        <w:left w:val="none" w:sz="0" w:space="0" w:color="auto"/>
        <w:bottom w:val="none" w:sz="0" w:space="0" w:color="auto"/>
        <w:right w:val="none" w:sz="0" w:space="0" w:color="auto"/>
      </w:divBdr>
    </w:div>
    <w:div w:id="1086537956">
      <w:bodyDiv w:val="1"/>
      <w:marLeft w:val="0"/>
      <w:marRight w:val="0"/>
      <w:marTop w:val="0"/>
      <w:marBottom w:val="0"/>
      <w:divBdr>
        <w:top w:val="none" w:sz="0" w:space="0" w:color="auto"/>
        <w:left w:val="none" w:sz="0" w:space="0" w:color="auto"/>
        <w:bottom w:val="none" w:sz="0" w:space="0" w:color="auto"/>
        <w:right w:val="none" w:sz="0" w:space="0" w:color="auto"/>
      </w:divBdr>
    </w:div>
    <w:div w:id="1092359014">
      <w:bodyDiv w:val="1"/>
      <w:marLeft w:val="0"/>
      <w:marRight w:val="0"/>
      <w:marTop w:val="0"/>
      <w:marBottom w:val="0"/>
      <w:divBdr>
        <w:top w:val="none" w:sz="0" w:space="0" w:color="auto"/>
        <w:left w:val="none" w:sz="0" w:space="0" w:color="auto"/>
        <w:bottom w:val="none" w:sz="0" w:space="0" w:color="auto"/>
        <w:right w:val="none" w:sz="0" w:space="0" w:color="auto"/>
      </w:divBdr>
    </w:div>
    <w:div w:id="1164083115">
      <w:bodyDiv w:val="1"/>
      <w:marLeft w:val="0"/>
      <w:marRight w:val="0"/>
      <w:marTop w:val="0"/>
      <w:marBottom w:val="0"/>
      <w:divBdr>
        <w:top w:val="none" w:sz="0" w:space="0" w:color="auto"/>
        <w:left w:val="none" w:sz="0" w:space="0" w:color="auto"/>
        <w:bottom w:val="none" w:sz="0" w:space="0" w:color="auto"/>
        <w:right w:val="none" w:sz="0" w:space="0" w:color="auto"/>
      </w:divBdr>
    </w:div>
    <w:div w:id="1327513030">
      <w:bodyDiv w:val="1"/>
      <w:marLeft w:val="0"/>
      <w:marRight w:val="0"/>
      <w:marTop w:val="0"/>
      <w:marBottom w:val="0"/>
      <w:divBdr>
        <w:top w:val="none" w:sz="0" w:space="0" w:color="auto"/>
        <w:left w:val="none" w:sz="0" w:space="0" w:color="auto"/>
        <w:bottom w:val="none" w:sz="0" w:space="0" w:color="auto"/>
        <w:right w:val="none" w:sz="0" w:space="0" w:color="auto"/>
      </w:divBdr>
    </w:div>
    <w:div w:id="1342926391">
      <w:bodyDiv w:val="1"/>
      <w:marLeft w:val="0"/>
      <w:marRight w:val="0"/>
      <w:marTop w:val="0"/>
      <w:marBottom w:val="0"/>
      <w:divBdr>
        <w:top w:val="none" w:sz="0" w:space="0" w:color="auto"/>
        <w:left w:val="none" w:sz="0" w:space="0" w:color="auto"/>
        <w:bottom w:val="none" w:sz="0" w:space="0" w:color="auto"/>
        <w:right w:val="none" w:sz="0" w:space="0" w:color="auto"/>
      </w:divBdr>
    </w:div>
    <w:div w:id="1376928204">
      <w:bodyDiv w:val="1"/>
      <w:marLeft w:val="0"/>
      <w:marRight w:val="0"/>
      <w:marTop w:val="0"/>
      <w:marBottom w:val="0"/>
      <w:divBdr>
        <w:top w:val="none" w:sz="0" w:space="0" w:color="auto"/>
        <w:left w:val="none" w:sz="0" w:space="0" w:color="auto"/>
        <w:bottom w:val="none" w:sz="0" w:space="0" w:color="auto"/>
        <w:right w:val="none" w:sz="0" w:space="0" w:color="auto"/>
      </w:divBdr>
    </w:div>
    <w:div w:id="1435974438">
      <w:bodyDiv w:val="1"/>
      <w:marLeft w:val="0"/>
      <w:marRight w:val="0"/>
      <w:marTop w:val="0"/>
      <w:marBottom w:val="0"/>
      <w:divBdr>
        <w:top w:val="none" w:sz="0" w:space="0" w:color="auto"/>
        <w:left w:val="none" w:sz="0" w:space="0" w:color="auto"/>
        <w:bottom w:val="none" w:sz="0" w:space="0" w:color="auto"/>
        <w:right w:val="none" w:sz="0" w:space="0" w:color="auto"/>
      </w:divBdr>
    </w:div>
    <w:div w:id="1457870823">
      <w:bodyDiv w:val="1"/>
      <w:marLeft w:val="0"/>
      <w:marRight w:val="0"/>
      <w:marTop w:val="0"/>
      <w:marBottom w:val="0"/>
      <w:divBdr>
        <w:top w:val="none" w:sz="0" w:space="0" w:color="auto"/>
        <w:left w:val="none" w:sz="0" w:space="0" w:color="auto"/>
        <w:bottom w:val="none" w:sz="0" w:space="0" w:color="auto"/>
        <w:right w:val="none" w:sz="0" w:space="0" w:color="auto"/>
      </w:divBdr>
    </w:div>
    <w:div w:id="1494956466">
      <w:bodyDiv w:val="1"/>
      <w:marLeft w:val="0"/>
      <w:marRight w:val="0"/>
      <w:marTop w:val="0"/>
      <w:marBottom w:val="0"/>
      <w:divBdr>
        <w:top w:val="none" w:sz="0" w:space="0" w:color="auto"/>
        <w:left w:val="none" w:sz="0" w:space="0" w:color="auto"/>
        <w:bottom w:val="none" w:sz="0" w:space="0" w:color="auto"/>
        <w:right w:val="none" w:sz="0" w:space="0" w:color="auto"/>
      </w:divBdr>
    </w:div>
    <w:div w:id="1497066082">
      <w:bodyDiv w:val="1"/>
      <w:marLeft w:val="0"/>
      <w:marRight w:val="0"/>
      <w:marTop w:val="0"/>
      <w:marBottom w:val="0"/>
      <w:divBdr>
        <w:top w:val="none" w:sz="0" w:space="0" w:color="auto"/>
        <w:left w:val="none" w:sz="0" w:space="0" w:color="auto"/>
        <w:bottom w:val="none" w:sz="0" w:space="0" w:color="auto"/>
        <w:right w:val="none" w:sz="0" w:space="0" w:color="auto"/>
      </w:divBdr>
    </w:div>
    <w:div w:id="1498228626">
      <w:bodyDiv w:val="1"/>
      <w:marLeft w:val="0"/>
      <w:marRight w:val="0"/>
      <w:marTop w:val="0"/>
      <w:marBottom w:val="0"/>
      <w:divBdr>
        <w:top w:val="none" w:sz="0" w:space="0" w:color="auto"/>
        <w:left w:val="none" w:sz="0" w:space="0" w:color="auto"/>
        <w:bottom w:val="none" w:sz="0" w:space="0" w:color="auto"/>
        <w:right w:val="none" w:sz="0" w:space="0" w:color="auto"/>
      </w:divBdr>
    </w:div>
    <w:div w:id="1507163592">
      <w:bodyDiv w:val="1"/>
      <w:marLeft w:val="0"/>
      <w:marRight w:val="0"/>
      <w:marTop w:val="0"/>
      <w:marBottom w:val="0"/>
      <w:divBdr>
        <w:top w:val="none" w:sz="0" w:space="0" w:color="auto"/>
        <w:left w:val="none" w:sz="0" w:space="0" w:color="auto"/>
        <w:bottom w:val="none" w:sz="0" w:space="0" w:color="auto"/>
        <w:right w:val="none" w:sz="0" w:space="0" w:color="auto"/>
      </w:divBdr>
    </w:div>
    <w:div w:id="1511095475">
      <w:bodyDiv w:val="1"/>
      <w:marLeft w:val="0"/>
      <w:marRight w:val="0"/>
      <w:marTop w:val="0"/>
      <w:marBottom w:val="0"/>
      <w:divBdr>
        <w:top w:val="none" w:sz="0" w:space="0" w:color="auto"/>
        <w:left w:val="none" w:sz="0" w:space="0" w:color="auto"/>
        <w:bottom w:val="none" w:sz="0" w:space="0" w:color="auto"/>
        <w:right w:val="none" w:sz="0" w:space="0" w:color="auto"/>
      </w:divBdr>
    </w:div>
    <w:div w:id="1514690288">
      <w:bodyDiv w:val="1"/>
      <w:marLeft w:val="0"/>
      <w:marRight w:val="0"/>
      <w:marTop w:val="0"/>
      <w:marBottom w:val="0"/>
      <w:divBdr>
        <w:top w:val="none" w:sz="0" w:space="0" w:color="auto"/>
        <w:left w:val="none" w:sz="0" w:space="0" w:color="auto"/>
        <w:bottom w:val="none" w:sz="0" w:space="0" w:color="auto"/>
        <w:right w:val="none" w:sz="0" w:space="0" w:color="auto"/>
      </w:divBdr>
    </w:div>
    <w:div w:id="1536582652">
      <w:bodyDiv w:val="1"/>
      <w:marLeft w:val="0"/>
      <w:marRight w:val="0"/>
      <w:marTop w:val="0"/>
      <w:marBottom w:val="0"/>
      <w:divBdr>
        <w:top w:val="none" w:sz="0" w:space="0" w:color="auto"/>
        <w:left w:val="none" w:sz="0" w:space="0" w:color="auto"/>
        <w:bottom w:val="none" w:sz="0" w:space="0" w:color="auto"/>
        <w:right w:val="none" w:sz="0" w:space="0" w:color="auto"/>
      </w:divBdr>
    </w:div>
    <w:div w:id="1678770599">
      <w:bodyDiv w:val="1"/>
      <w:marLeft w:val="0"/>
      <w:marRight w:val="0"/>
      <w:marTop w:val="0"/>
      <w:marBottom w:val="0"/>
      <w:divBdr>
        <w:top w:val="none" w:sz="0" w:space="0" w:color="auto"/>
        <w:left w:val="none" w:sz="0" w:space="0" w:color="auto"/>
        <w:bottom w:val="none" w:sz="0" w:space="0" w:color="auto"/>
        <w:right w:val="none" w:sz="0" w:space="0" w:color="auto"/>
      </w:divBdr>
    </w:div>
    <w:div w:id="1743790691">
      <w:bodyDiv w:val="1"/>
      <w:marLeft w:val="0"/>
      <w:marRight w:val="0"/>
      <w:marTop w:val="0"/>
      <w:marBottom w:val="0"/>
      <w:divBdr>
        <w:top w:val="none" w:sz="0" w:space="0" w:color="auto"/>
        <w:left w:val="none" w:sz="0" w:space="0" w:color="auto"/>
        <w:bottom w:val="none" w:sz="0" w:space="0" w:color="auto"/>
        <w:right w:val="none" w:sz="0" w:space="0" w:color="auto"/>
      </w:divBdr>
    </w:div>
    <w:div w:id="1760828458">
      <w:bodyDiv w:val="1"/>
      <w:marLeft w:val="0"/>
      <w:marRight w:val="0"/>
      <w:marTop w:val="0"/>
      <w:marBottom w:val="0"/>
      <w:divBdr>
        <w:top w:val="none" w:sz="0" w:space="0" w:color="auto"/>
        <w:left w:val="none" w:sz="0" w:space="0" w:color="auto"/>
        <w:bottom w:val="none" w:sz="0" w:space="0" w:color="auto"/>
        <w:right w:val="none" w:sz="0" w:space="0" w:color="auto"/>
      </w:divBdr>
    </w:div>
    <w:div w:id="1761220001">
      <w:bodyDiv w:val="1"/>
      <w:marLeft w:val="0"/>
      <w:marRight w:val="0"/>
      <w:marTop w:val="0"/>
      <w:marBottom w:val="0"/>
      <w:divBdr>
        <w:top w:val="none" w:sz="0" w:space="0" w:color="auto"/>
        <w:left w:val="none" w:sz="0" w:space="0" w:color="auto"/>
        <w:bottom w:val="none" w:sz="0" w:space="0" w:color="auto"/>
        <w:right w:val="none" w:sz="0" w:space="0" w:color="auto"/>
      </w:divBdr>
    </w:div>
    <w:div w:id="1814638816">
      <w:bodyDiv w:val="1"/>
      <w:marLeft w:val="0"/>
      <w:marRight w:val="0"/>
      <w:marTop w:val="0"/>
      <w:marBottom w:val="0"/>
      <w:divBdr>
        <w:top w:val="none" w:sz="0" w:space="0" w:color="auto"/>
        <w:left w:val="none" w:sz="0" w:space="0" w:color="auto"/>
        <w:bottom w:val="none" w:sz="0" w:space="0" w:color="auto"/>
        <w:right w:val="none" w:sz="0" w:space="0" w:color="auto"/>
      </w:divBdr>
    </w:div>
    <w:div w:id="1821075271">
      <w:bodyDiv w:val="1"/>
      <w:marLeft w:val="0"/>
      <w:marRight w:val="0"/>
      <w:marTop w:val="0"/>
      <w:marBottom w:val="0"/>
      <w:divBdr>
        <w:top w:val="none" w:sz="0" w:space="0" w:color="auto"/>
        <w:left w:val="none" w:sz="0" w:space="0" w:color="auto"/>
        <w:bottom w:val="none" w:sz="0" w:space="0" w:color="auto"/>
        <w:right w:val="none" w:sz="0" w:space="0" w:color="auto"/>
      </w:divBdr>
    </w:div>
    <w:div w:id="1891111761">
      <w:bodyDiv w:val="1"/>
      <w:marLeft w:val="0"/>
      <w:marRight w:val="0"/>
      <w:marTop w:val="0"/>
      <w:marBottom w:val="0"/>
      <w:divBdr>
        <w:top w:val="none" w:sz="0" w:space="0" w:color="auto"/>
        <w:left w:val="none" w:sz="0" w:space="0" w:color="auto"/>
        <w:bottom w:val="none" w:sz="0" w:space="0" w:color="auto"/>
        <w:right w:val="none" w:sz="0" w:space="0" w:color="auto"/>
      </w:divBdr>
    </w:div>
    <w:div w:id="1906605632">
      <w:bodyDiv w:val="1"/>
      <w:marLeft w:val="0"/>
      <w:marRight w:val="0"/>
      <w:marTop w:val="0"/>
      <w:marBottom w:val="0"/>
      <w:divBdr>
        <w:top w:val="none" w:sz="0" w:space="0" w:color="auto"/>
        <w:left w:val="none" w:sz="0" w:space="0" w:color="auto"/>
        <w:bottom w:val="none" w:sz="0" w:space="0" w:color="auto"/>
        <w:right w:val="none" w:sz="0" w:space="0" w:color="auto"/>
      </w:divBdr>
    </w:div>
    <w:div w:id="1930191172">
      <w:bodyDiv w:val="1"/>
      <w:marLeft w:val="0"/>
      <w:marRight w:val="0"/>
      <w:marTop w:val="0"/>
      <w:marBottom w:val="0"/>
      <w:divBdr>
        <w:top w:val="none" w:sz="0" w:space="0" w:color="auto"/>
        <w:left w:val="none" w:sz="0" w:space="0" w:color="auto"/>
        <w:bottom w:val="none" w:sz="0" w:space="0" w:color="auto"/>
        <w:right w:val="none" w:sz="0" w:space="0" w:color="auto"/>
      </w:divBdr>
    </w:div>
    <w:div w:id="1985426190">
      <w:bodyDiv w:val="1"/>
      <w:marLeft w:val="0"/>
      <w:marRight w:val="0"/>
      <w:marTop w:val="0"/>
      <w:marBottom w:val="0"/>
      <w:divBdr>
        <w:top w:val="none" w:sz="0" w:space="0" w:color="auto"/>
        <w:left w:val="none" w:sz="0" w:space="0" w:color="auto"/>
        <w:bottom w:val="none" w:sz="0" w:space="0" w:color="auto"/>
        <w:right w:val="none" w:sz="0" w:space="0" w:color="auto"/>
      </w:divBdr>
    </w:div>
    <w:div w:id="2030182467">
      <w:bodyDiv w:val="1"/>
      <w:marLeft w:val="0"/>
      <w:marRight w:val="0"/>
      <w:marTop w:val="0"/>
      <w:marBottom w:val="0"/>
      <w:divBdr>
        <w:top w:val="none" w:sz="0" w:space="0" w:color="auto"/>
        <w:left w:val="none" w:sz="0" w:space="0" w:color="auto"/>
        <w:bottom w:val="none" w:sz="0" w:space="0" w:color="auto"/>
        <w:right w:val="none" w:sz="0" w:space="0" w:color="auto"/>
      </w:divBdr>
    </w:div>
    <w:div w:id="2090729772">
      <w:bodyDiv w:val="1"/>
      <w:marLeft w:val="0"/>
      <w:marRight w:val="0"/>
      <w:marTop w:val="0"/>
      <w:marBottom w:val="0"/>
      <w:divBdr>
        <w:top w:val="none" w:sz="0" w:space="0" w:color="auto"/>
        <w:left w:val="none" w:sz="0" w:space="0" w:color="auto"/>
        <w:bottom w:val="none" w:sz="0" w:space="0" w:color="auto"/>
        <w:right w:val="none" w:sz="0" w:space="0" w:color="auto"/>
      </w:divBdr>
    </w:div>
    <w:div w:id="21198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4/relationships/chartEx" Target="charts/chartEx1.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sseymour-wilson\Desktop\MRP%20Work%202025\2024%20Annual%20Report\Annual%20Report%202024%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'2024 Quarterly'!$AD$3</c:f>
              <c:strCache>
                <c:ptCount val="1"/>
                <c:pt idx="0">
                  <c:v>Total Domestic Revenue</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'2024 Quarterly'!$AE$2:$AH$2</c:f>
              <c:strCache>
                <c:ptCount val="4"/>
                <c:pt idx="0">
                  <c:v>Q1</c:v>
                </c:pt>
                <c:pt idx="1">
                  <c:v>Q2</c:v>
                </c:pt>
                <c:pt idx="2">
                  <c:v>Q3</c:v>
                </c:pt>
                <c:pt idx="3">
                  <c:v>Q4</c:v>
                </c:pt>
              </c:strCache>
            </c:strRef>
          </c:cat>
          <c:val>
            <c:numRef>
              <c:f>'2024 Quarterly'!$AE$3:$AH$3</c:f>
              <c:numCache>
                <c:formatCode>_(* #,##0_);_(* \(#,##0\);_(* "-"_);_(@_)</c:formatCode>
                <c:ptCount val="4"/>
                <c:pt idx="0">
                  <c:v>3580.3057845150001</c:v>
                </c:pt>
                <c:pt idx="1">
                  <c:v>3918.1373686299999</c:v>
                </c:pt>
                <c:pt idx="2">
                  <c:v>3262.66245321</c:v>
                </c:pt>
                <c:pt idx="3">
                  <c:v>3799.1313331300003</c:v>
                </c:pt>
              </c:numCache>
            </c:numRef>
          </c:val>
          <c:smooth val="0"/>
          <c:extLst>
            <c:ext xmlns:c16="http://schemas.microsoft.com/office/drawing/2014/chart" uri="{C3380CC4-5D6E-409C-BE32-E72D297353CC}">
              <c16:uniqueId val="{00000000-4FF9-4FD0-B79C-0CAB72C1FB9E}"/>
            </c:ext>
          </c:extLst>
        </c:ser>
        <c:dLbls>
          <c:showLegendKey val="0"/>
          <c:showVal val="0"/>
          <c:showCatName val="0"/>
          <c:showSerName val="0"/>
          <c:showPercent val="0"/>
          <c:showBubbleSize val="0"/>
        </c:dLbls>
        <c:smooth val="0"/>
        <c:axId val="240884143"/>
        <c:axId val="240883183"/>
      </c:lineChart>
      <c:catAx>
        <c:axId val="24088414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Baskerville Old Face" panose="02020602080505020303" pitchFamily="18" charset="0"/>
                <a:ea typeface="+mn-ea"/>
                <a:cs typeface="+mn-cs"/>
              </a:defRPr>
            </a:pPr>
            <a:endParaRPr lang="en-SL"/>
          </a:p>
        </c:txPr>
        <c:crossAx val="240883183"/>
        <c:crosses val="autoZero"/>
        <c:auto val="1"/>
        <c:lblAlgn val="ctr"/>
        <c:lblOffset val="100"/>
        <c:noMultiLvlLbl val="0"/>
      </c:catAx>
      <c:valAx>
        <c:axId val="240883183"/>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Baskerville Old Face" panose="02020602080505020303" pitchFamily="18" charset="0"/>
                <a:ea typeface="+mn-ea"/>
                <a:cs typeface="+mn-cs"/>
              </a:defRPr>
            </a:pPr>
            <a:endParaRPr lang="en-SL"/>
          </a:p>
        </c:txPr>
        <c:crossAx val="24088414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600">
          <a:latin typeface="Baskerville Old Face" panose="02020602080505020303" pitchFamily="18" charset="0"/>
        </a:defRPr>
      </a:pPr>
      <a:endParaRPr lang="en-S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Sheet4!$A$30</c:f>
              <c:strCache>
                <c:ptCount val="1"/>
                <c:pt idx="0">
                  <c:v>Domestic Tax Department (DTD)</c:v>
                </c:pt>
              </c:strCache>
            </c:strRef>
          </c:tx>
          <c:spPr>
            <a:solidFill>
              <a:schemeClr val="accent2"/>
            </a:solidFill>
            <a:ln>
              <a:noFill/>
            </a:ln>
            <a:effectLst/>
          </c:spPr>
          <c:invertIfNegative val="0"/>
          <c:cat>
            <c:numRef>
              <c:f>Sheet4!$B$28:$F$28</c:f>
              <c:numCache>
                <c:formatCode>General</c:formatCode>
                <c:ptCount val="5"/>
                <c:pt idx="0">
                  <c:v>2020</c:v>
                </c:pt>
                <c:pt idx="1">
                  <c:v>2021</c:v>
                </c:pt>
                <c:pt idx="2">
                  <c:v>2022</c:v>
                </c:pt>
                <c:pt idx="3">
                  <c:v>2023</c:v>
                </c:pt>
                <c:pt idx="4">
                  <c:v>2024</c:v>
                </c:pt>
              </c:numCache>
            </c:numRef>
          </c:cat>
          <c:val>
            <c:numRef>
              <c:f>Sheet4!$B$30:$F$30</c:f>
              <c:numCache>
                <c:formatCode>#,##0</c:formatCode>
                <c:ptCount val="5"/>
                <c:pt idx="0">
                  <c:v>3038445</c:v>
                </c:pt>
                <c:pt idx="1">
                  <c:v>3692883</c:v>
                </c:pt>
                <c:pt idx="2">
                  <c:v>4325052</c:v>
                </c:pt>
                <c:pt idx="3">
                  <c:v>6087739.2652600007</c:v>
                </c:pt>
                <c:pt idx="4" formatCode="_(* #,##0_);_(* \(#,##0\);_(* &quot;-&quot;??_);_(@_)">
                  <c:v>8042068</c:v>
                </c:pt>
              </c:numCache>
            </c:numRef>
          </c:val>
          <c:extLst>
            <c:ext xmlns:c16="http://schemas.microsoft.com/office/drawing/2014/chart" uri="{C3380CC4-5D6E-409C-BE32-E72D297353CC}">
              <c16:uniqueId val="{00000000-7874-4BCE-8FF0-4C7FC5408C60}"/>
            </c:ext>
          </c:extLst>
        </c:ser>
        <c:ser>
          <c:idx val="2"/>
          <c:order val="2"/>
          <c:tx>
            <c:strRef>
              <c:f>Sheet4!$A$31</c:f>
              <c:strCache>
                <c:ptCount val="1"/>
                <c:pt idx="0">
                  <c:v>Customs Services Department (CSD)</c:v>
                </c:pt>
              </c:strCache>
            </c:strRef>
          </c:tx>
          <c:spPr>
            <a:solidFill>
              <a:schemeClr val="accent3"/>
            </a:solidFill>
            <a:ln>
              <a:noFill/>
            </a:ln>
            <a:effectLst/>
          </c:spPr>
          <c:invertIfNegative val="0"/>
          <c:cat>
            <c:numRef>
              <c:f>Sheet4!$B$28:$F$28</c:f>
              <c:numCache>
                <c:formatCode>General</c:formatCode>
                <c:ptCount val="5"/>
                <c:pt idx="0">
                  <c:v>2020</c:v>
                </c:pt>
                <c:pt idx="1">
                  <c:v>2021</c:v>
                </c:pt>
                <c:pt idx="2">
                  <c:v>2022</c:v>
                </c:pt>
                <c:pt idx="3">
                  <c:v>2023</c:v>
                </c:pt>
                <c:pt idx="4">
                  <c:v>2024</c:v>
                </c:pt>
              </c:numCache>
            </c:numRef>
          </c:cat>
          <c:val>
            <c:numRef>
              <c:f>Sheet4!$B$31:$F$31</c:f>
              <c:numCache>
                <c:formatCode>#,##0</c:formatCode>
                <c:ptCount val="5"/>
                <c:pt idx="0">
                  <c:v>1220656</c:v>
                </c:pt>
                <c:pt idx="1">
                  <c:v>1288651</c:v>
                </c:pt>
                <c:pt idx="2">
                  <c:v>1238079</c:v>
                </c:pt>
                <c:pt idx="3">
                  <c:v>1763821</c:v>
                </c:pt>
                <c:pt idx="4" formatCode="_(* #,##0_);_(* \(#,##0\);_(* &quot;-&quot;??_);_(@_)">
                  <c:v>3261249</c:v>
                </c:pt>
              </c:numCache>
            </c:numRef>
          </c:val>
          <c:extLst>
            <c:ext xmlns:c16="http://schemas.microsoft.com/office/drawing/2014/chart" uri="{C3380CC4-5D6E-409C-BE32-E72D297353CC}">
              <c16:uniqueId val="{00000001-7874-4BCE-8FF0-4C7FC5408C60}"/>
            </c:ext>
          </c:extLst>
        </c:ser>
        <c:ser>
          <c:idx val="3"/>
          <c:order val="3"/>
          <c:tx>
            <c:strRef>
              <c:f>Sheet4!$A$32</c:f>
              <c:strCache>
                <c:ptCount val="1"/>
                <c:pt idx="0">
                  <c:v>Non-Tax Revenue Department (NTR)</c:v>
                </c:pt>
              </c:strCache>
            </c:strRef>
          </c:tx>
          <c:spPr>
            <a:solidFill>
              <a:schemeClr val="accent4"/>
            </a:solidFill>
            <a:ln>
              <a:noFill/>
            </a:ln>
            <a:effectLst/>
          </c:spPr>
          <c:invertIfNegative val="0"/>
          <c:cat>
            <c:numRef>
              <c:f>Sheet4!$B$28:$F$28</c:f>
              <c:numCache>
                <c:formatCode>General</c:formatCode>
                <c:ptCount val="5"/>
                <c:pt idx="0">
                  <c:v>2020</c:v>
                </c:pt>
                <c:pt idx="1">
                  <c:v>2021</c:v>
                </c:pt>
                <c:pt idx="2">
                  <c:v>2022</c:v>
                </c:pt>
                <c:pt idx="3">
                  <c:v>2023</c:v>
                </c:pt>
                <c:pt idx="4">
                  <c:v>2024</c:v>
                </c:pt>
              </c:numCache>
            </c:numRef>
          </c:cat>
          <c:val>
            <c:numRef>
              <c:f>Sheet4!$B$32:$F$32</c:f>
              <c:numCache>
                <c:formatCode>#,##0</c:formatCode>
                <c:ptCount val="5"/>
                <c:pt idx="0">
                  <c:v>1123645</c:v>
                </c:pt>
                <c:pt idx="1">
                  <c:v>1723731</c:v>
                </c:pt>
                <c:pt idx="2">
                  <c:v>1447323</c:v>
                </c:pt>
                <c:pt idx="3">
                  <c:v>2042233.6233331207</c:v>
                </c:pt>
                <c:pt idx="4" formatCode="_(* #,##0_);_(* \(#,##0\);_(* &quot;-&quot;??_);_(@_)">
                  <c:v>3042758</c:v>
                </c:pt>
              </c:numCache>
            </c:numRef>
          </c:val>
          <c:extLst>
            <c:ext xmlns:c16="http://schemas.microsoft.com/office/drawing/2014/chart" uri="{C3380CC4-5D6E-409C-BE32-E72D297353CC}">
              <c16:uniqueId val="{00000002-7874-4BCE-8FF0-4C7FC5408C60}"/>
            </c:ext>
          </c:extLst>
        </c:ser>
        <c:ser>
          <c:idx val="4"/>
          <c:order val="4"/>
          <c:tx>
            <c:strRef>
              <c:f>Sheet4!$A$33</c:f>
              <c:strCache>
                <c:ptCount val="1"/>
                <c:pt idx="0">
                  <c:v>Road User Charges </c:v>
                </c:pt>
              </c:strCache>
            </c:strRef>
          </c:tx>
          <c:spPr>
            <a:solidFill>
              <a:schemeClr val="accent5"/>
            </a:solidFill>
            <a:ln>
              <a:noFill/>
            </a:ln>
            <a:effectLst/>
          </c:spPr>
          <c:invertIfNegative val="0"/>
          <c:cat>
            <c:numRef>
              <c:f>Sheet4!$B$28:$F$28</c:f>
              <c:numCache>
                <c:formatCode>General</c:formatCode>
                <c:ptCount val="5"/>
                <c:pt idx="0">
                  <c:v>2020</c:v>
                </c:pt>
                <c:pt idx="1">
                  <c:v>2021</c:v>
                </c:pt>
                <c:pt idx="2">
                  <c:v>2022</c:v>
                </c:pt>
                <c:pt idx="3">
                  <c:v>2023</c:v>
                </c:pt>
                <c:pt idx="4">
                  <c:v>2024</c:v>
                </c:pt>
              </c:numCache>
            </c:numRef>
          </c:cat>
          <c:val>
            <c:numRef>
              <c:f>Sheet4!$B$33:$F$33</c:f>
              <c:numCache>
                <c:formatCode>#,##0</c:formatCode>
                <c:ptCount val="5"/>
                <c:pt idx="0">
                  <c:v>117881</c:v>
                </c:pt>
                <c:pt idx="1">
                  <c:v>211839</c:v>
                </c:pt>
                <c:pt idx="2">
                  <c:v>172231</c:v>
                </c:pt>
                <c:pt idx="3">
                  <c:v>206669</c:v>
                </c:pt>
                <c:pt idx="4" formatCode="_(* #,##0_);_(* \(#,##0\);_(* &quot;-&quot;??_);_(@_)">
                  <c:v>214162</c:v>
                </c:pt>
              </c:numCache>
            </c:numRef>
          </c:val>
          <c:extLst>
            <c:ext xmlns:c16="http://schemas.microsoft.com/office/drawing/2014/chart" uri="{C3380CC4-5D6E-409C-BE32-E72D297353CC}">
              <c16:uniqueId val="{00000003-7874-4BCE-8FF0-4C7FC5408C60}"/>
            </c:ext>
          </c:extLst>
        </c:ser>
        <c:dLbls>
          <c:showLegendKey val="0"/>
          <c:showVal val="0"/>
          <c:showCatName val="0"/>
          <c:showSerName val="0"/>
          <c:showPercent val="0"/>
          <c:showBubbleSize val="0"/>
        </c:dLbls>
        <c:gapWidth val="269"/>
        <c:axId val="1624342336"/>
        <c:axId val="1624351456"/>
      </c:barChart>
      <c:lineChart>
        <c:grouping val="standard"/>
        <c:varyColors val="0"/>
        <c:ser>
          <c:idx val="0"/>
          <c:order val="0"/>
          <c:tx>
            <c:strRef>
              <c:f>Sheet4!$A$29</c:f>
              <c:strCache>
                <c:ptCount val="1"/>
                <c:pt idx="0">
                  <c:v> Total Domestic Revenue </c:v>
                </c:pt>
              </c:strCache>
            </c:strRef>
          </c:tx>
          <c:spPr>
            <a:ln w="38100" cap="rnd">
              <a:solidFill>
                <a:schemeClr val="accent1"/>
              </a:solidFill>
              <a:round/>
            </a:ln>
            <a:effectLst/>
          </c:spPr>
          <c:marker>
            <c:symbol val="none"/>
          </c:marker>
          <c:cat>
            <c:numRef>
              <c:f>Sheet4!$B$28:$F$28</c:f>
              <c:numCache>
                <c:formatCode>General</c:formatCode>
                <c:ptCount val="5"/>
                <c:pt idx="0">
                  <c:v>2020</c:v>
                </c:pt>
                <c:pt idx="1">
                  <c:v>2021</c:v>
                </c:pt>
                <c:pt idx="2">
                  <c:v>2022</c:v>
                </c:pt>
                <c:pt idx="3">
                  <c:v>2023</c:v>
                </c:pt>
                <c:pt idx="4">
                  <c:v>2024</c:v>
                </c:pt>
              </c:numCache>
            </c:numRef>
          </c:cat>
          <c:val>
            <c:numRef>
              <c:f>Sheet4!$B$29:$F$29</c:f>
              <c:numCache>
                <c:formatCode>#,##0</c:formatCode>
                <c:ptCount val="5"/>
                <c:pt idx="0">
                  <c:v>5500627</c:v>
                </c:pt>
                <c:pt idx="1">
                  <c:v>6917104</c:v>
                </c:pt>
                <c:pt idx="2">
                  <c:v>7182685</c:v>
                </c:pt>
                <c:pt idx="3">
                  <c:v>10100462.888593122</c:v>
                </c:pt>
                <c:pt idx="4">
                  <c:v>14560237</c:v>
                </c:pt>
              </c:numCache>
            </c:numRef>
          </c:val>
          <c:smooth val="0"/>
          <c:extLst>
            <c:ext xmlns:c16="http://schemas.microsoft.com/office/drawing/2014/chart" uri="{C3380CC4-5D6E-409C-BE32-E72D297353CC}">
              <c16:uniqueId val="{00000004-7874-4BCE-8FF0-4C7FC5408C60}"/>
            </c:ext>
          </c:extLst>
        </c:ser>
        <c:dLbls>
          <c:showLegendKey val="0"/>
          <c:showVal val="0"/>
          <c:showCatName val="0"/>
          <c:showSerName val="0"/>
          <c:showPercent val="0"/>
          <c:showBubbleSize val="0"/>
        </c:dLbls>
        <c:marker val="1"/>
        <c:smooth val="0"/>
        <c:axId val="1802924256"/>
        <c:axId val="1802923776"/>
      </c:lineChart>
      <c:catAx>
        <c:axId val="1624342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24351456"/>
        <c:crosses val="autoZero"/>
        <c:auto val="1"/>
        <c:lblAlgn val="ctr"/>
        <c:lblOffset val="100"/>
        <c:noMultiLvlLbl val="0"/>
      </c:catAx>
      <c:valAx>
        <c:axId val="16243514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624342336"/>
        <c:crosses val="autoZero"/>
        <c:crossBetween val="between"/>
      </c:valAx>
      <c:valAx>
        <c:axId val="18029237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802924256"/>
        <c:crosses val="max"/>
        <c:crossBetween val="between"/>
      </c:valAx>
      <c:catAx>
        <c:axId val="1802924256"/>
        <c:scaling>
          <c:orientation val="minMax"/>
        </c:scaling>
        <c:delete val="1"/>
        <c:axPos val="b"/>
        <c:numFmt formatCode="General" sourceLinked="1"/>
        <c:majorTickMark val="out"/>
        <c:minorTickMark val="none"/>
        <c:tickLblPos val="nextTo"/>
        <c:crossAx val="1802923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Sheet1!$O$2</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Sheet1!$N$3:$N$8</c:f>
              <c:strCache>
                <c:ptCount val="6"/>
                <c:pt idx="0">
                  <c:v>Retirement</c:v>
                </c:pt>
                <c:pt idx="1">
                  <c:v>Resignation</c:v>
                </c:pt>
                <c:pt idx="2">
                  <c:v>Termination</c:v>
                </c:pt>
                <c:pt idx="3">
                  <c:v>Boarding</c:v>
                </c:pt>
                <c:pt idx="4">
                  <c:v>Death</c:v>
                </c:pt>
                <c:pt idx="5">
                  <c:v>Summary Dismissal</c:v>
                </c:pt>
              </c:strCache>
            </c:strRef>
          </c:cat>
          <c:val>
            <c:numRef>
              <c:f>Sheet1!$O$3:$O$8</c:f>
              <c:numCache>
                <c:formatCode>General</c:formatCode>
                <c:ptCount val="6"/>
                <c:pt idx="0">
                  <c:v>9</c:v>
                </c:pt>
                <c:pt idx="1">
                  <c:v>17</c:v>
                </c:pt>
                <c:pt idx="2">
                  <c:v>9</c:v>
                </c:pt>
                <c:pt idx="4">
                  <c:v>8</c:v>
                </c:pt>
                <c:pt idx="5">
                  <c:v>2</c:v>
                </c:pt>
              </c:numCache>
            </c:numRef>
          </c:val>
          <c:extLst>
            <c:ext xmlns:c16="http://schemas.microsoft.com/office/drawing/2014/chart" uri="{C3380CC4-5D6E-409C-BE32-E72D297353CC}">
              <c16:uniqueId val="{00000000-1E40-484E-8934-21F7F231FDA9}"/>
            </c:ext>
          </c:extLst>
        </c:ser>
        <c:ser>
          <c:idx val="1"/>
          <c:order val="1"/>
          <c:tx>
            <c:strRef>
              <c:f>Sheet1!$P$2</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Sheet1!$N$3:$N$8</c:f>
              <c:strCache>
                <c:ptCount val="6"/>
                <c:pt idx="0">
                  <c:v>Retirement</c:v>
                </c:pt>
                <c:pt idx="1">
                  <c:v>Resignation</c:v>
                </c:pt>
                <c:pt idx="2">
                  <c:v>Termination</c:v>
                </c:pt>
                <c:pt idx="3">
                  <c:v>Boarding</c:v>
                </c:pt>
                <c:pt idx="4">
                  <c:v>Death</c:v>
                </c:pt>
                <c:pt idx="5">
                  <c:v>Summary Dismissal</c:v>
                </c:pt>
              </c:strCache>
            </c:strRef>
          </c:cat>
          <c:val>
            <c:numRef>
              <c:f>Sheet1!$P$3:$P$8</c:f>
              <c:numCache>
                <c:formatCode>General</c:formatCode>
                <c:ptCount val="6"/>
                <c:pt idx="0">
                  <c:v>11</c:v>
                </c:pt>
                <c:pt idx="1">
                  <c:v>11</c:v>
                </c:pt>
                <c:pt idx="2">
                  <c:v>2</c:v>
                </c:pt>
                <c:pt idx="3">
                  <c:v>2</c:v>
                </c:pt>
                <c:pt idx="4">
                  <c:v>4</c:v>
                </c:pt>
                <c:pt idx="5">
                  <c:v>2</c:v>
                </c:pt>
              </c:numCache>
            </c:numRef>
          </c:val>
          <c:extLst>
            <c:ext xmlns:c16="http://schemas.microsoft.com/office/drawing/2014/chart" uri="{C3380CC4-5D6E-409C-BE32-E72D297353CC}">
              <c16:uniqueId val="{00000001-1E40-484E-8934-21F7F231FDA9}"/>
            </c:ext>
          </c:extLst>
        </c:ser>
        <c:dLbls>
          <c:showLegendKey val="0"/>
          <c:showVal val="0"/>
          <c:showCatName val="0"/>
          <c:showSerName val="0"/>
          <c:showPercent val="0"/>
          <c:showBubbleSize val="0"/>
        </c:dLbls>
        <c:gapWidth val="150"/>
        <c:overlap val="100"/>
        <c:axId val="1719331776"/>
        <c:axId val="1719334176"/>
      </c:barChart>
      <c:catAx>
        <c:axId val="1719331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719334176"/>
        <c:crosses val="autoZero"/>
        <c:auto val="1"/>
        <c:lblAlgn val="ctr"/>
        <c:lblOffset val="100"/>
        <c:noMultiLvlLbl val="0"/>
      </c:catAx>
      <c:valAx>
        <c:axId val="17193341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71933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Sheet7!$I$3</c:f>
              <c:strCache>
                <c:ptCount val="1"/>
                <c:pt idx="0">
                  <c:v>2024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Sheet7!$F$4:$F$14</c:f>
              <c:strCache>
                <c:ptCount val="11"/>
                <c:pt idx="0">
                  <c:v>CGT</c:v>
                </c:pt>
                <c:pt idx="1">
                  <c:v>CIT</c:v>
                </c:pt>
                <c:pt idx="2">
                  <c:v>Excise Tax</c:v>
                </c:pt>
                <c:pt idx="3">
                  <c:v>GST</c:v>
                </c:pt>
                <c:pt idx="4">
                  <c:v>PAYE</c:v>
                </c:pt>
                <c:pt idx="5">
                  <c:v>Payroll Tax</c:v>
                </c:pt>
                <c:pt idx="6">
                  <c:v>PIT</c:v>
                </c:pt>
                <c:pt idx="7">
                  <c:v>Rental Income Tax</c:v>
                </c:pt>
                <c:pt idx="8">
                  <c:v>WHT</c:v>
                </c:pt>
                <c:pt idx="9">
                  <c:v>FTT</c:v>
                </c:pt>
                <c:pt idx="10">
                  <c:v>SME Tax</c:v>
                </c:pt>
              </c:strCache>
            </c:strRef>
          </c:cat>
          <c:val>
            <c:numRef>
              <c:f>Sheet7!$I$4:$I$14</c:f>
              <c:numCache>
                <c:formatCode>0.00%</c:formatCode>
                <c:ptCount val="11"/>
                <c:pt idx="0">
                  <c:v>8.5511849499144879E-2</c:v>
                </c:pt>
                <c:pt idx="1">
                  <c:v>0.15135597361348643</c:v>
                </c:pt>
                <c:pt idx="2">
                  <c:v>0</c:v>
                </c:pt>
                <c:pt idx="3">
                  <c:v>1.4292694844857073E-2</c:v>
                </c:pt>
                <c:pt idx="4">
                  <c:v>4.3855362814561448E-2</c:v>
                </c:pt>
                <c:pt idx="5">
                  <c:v>5.741509894942585E-3</c:v>
                </c:pt>
                <c:pt idx="6">
                  <c:v>0.56596628389934034</c:v>
                </c:pt>
                <c:pt idx="7">
                  <c:v>2.137796237478622E-2</c:v>
                </c:pt>
                <c:pt idx="8">
                  <c:v>0.1114097239188859</c:v>
                </c:pt>
                <c:pt idx="9">
                  <c:v>1.221597849987784E-4</c:v>
                </c:pt>
                <c:pt idx="10">
                  <c:v>3.6647935499633518E-4</c:v>
                </c:pt>
              </c:numCache>
            </c:numRef>
          </c:val>
          <c:extLst>
            <c:ext xmlns:c16="http://schemas.microsoft.com/office/drawing/2014/chart" uri="{C3380CC4-5D6E-409C-BE32-E72D297353CC}">
              <c16:uniqueId val="{00000000-E1FC-465C-84AD-9120E4783511}"/>
            </c:ext>
          </c:extLst>
        </c:ser>
        <c:ser>
          <c:idx val="1"/>
          <c:order val="1"/>
          <c:tx>
            <c:strRef>
              <c:f>Sheet7!$J$3</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Sheet7!$F$4:$F$14</c:f>
              <c:strCache>
                <c:ptCount val="11"/>
                <c:pt idx="0">
                  <c:v>CGT</c:v>
                </c:pt>
                <c:pt idx="1">
                  <c:v>CIT</c:v>
                </c:pt>
                <c:pt idx="2">
                  <c:v>Excise Tax</c:v>
                </c:pt>
                <c:pt idx="3">
                  <c:v>GST</c:v>
                </c:pt>
                <c:pt idx="4">
                  <c:v>PAYE</c:v>
                </c:pt>
                <c:pt idx="5">
                  <c:v>Payroll Tax</c:v>
                </c:pt>
                <c:pt idx="6">
                  <c:v>PIT</c:v>
                </c:pt>
                <c:pt idx="7">
                  <c:v>Rental Income Tax</c:v>
                </c:pt>
                <c:pt idx="8">
                  <c:v>WHT</c:v>
                </c:pt>
                <c:pt idx="9">
                  <c:v>FTT</c:v>
                </c:pt>
                <c:pt idx="10">
                  <c:v>SME Tax</c:v>
                </c:pt>
              </c:strCache>
            </c:strRef>
          </c:cat>
          <c:val>
            <c:numRef>
              <c:f>Sheet7!$J$4:$J$14</c:f>
              <c:numCache>
                <c:formatCode>0.00%</c:formatCode>
                <c:ptCount val="11"/>
                <c:pt idx="0">
                  <c:v>0.1205925925925926</c:v>
                </c:pt>
                <c:pt idx="1">
                  <c:v>7.0370370370370375E-2</c:v>
                </c:pt>
                <c:pt idx="2">
                  <c:v>1.4814814814814815E-4</c:v>
                </c:pt>
                <c:pt idx="3">
                  <c:v>2.6814814814814816E-2</c:v>
                </c:pt>
                <c:pt idx="4">
                  <c:v>4.0888888888888891E-2</c:v>
                </c:pt>
                <c:pt idx="5">
                  <c:v>6.0740740740740738E-3</c:v>
                </c:pt>
                <c:pt idx="6">
                  <c:v>0.55185185185185182</c:v>
                </c:pt>
                <c:pt idx="7">
                  <c:v>3.8814814814814816E-2</c:v>
                </c:pt>
                <c:pt idx="8">
                  <c:v>0.14444444444444443</c:v>
                </c:pt>
                <c:pt idx="9" formatCode="_(* #,##0.00_);_(* \(#,##0.00\);_(* &quot;-&quot;??_);_(@_)">
                  <c:v>0</c:v>
                </c:pt>
                <c:pt idx="10" formatCode="_(* #,##0.00_);_(* \(#,##0.00\);_(* &quot;-&quot;??_);_(@_)">
                  <c:v>0</c:v>
                </c:pt>
              </c:numCache>
            </c:numRef>
          </c:val>
          <c:extLst>
            <c:ext xmlns:c16="http://schemas.microsoft.com/office/drawing/2014/chart" uri="{C3380CC4-5D6E-409C-BE32-E72D297353CC}">
              <c16:uniqueId val="{00000001-E1FC-465C-84AD-9120E4783511}"/>
            </c:ext>
          </c:extLst>
        </c:ser>
        <c:dLbls>
          <c:dLblPos val="outEnd"/>
          <c:showLegendKey val="0"/>
          <c:showVal val="1"/>
          <c:showCatName val="0"/>
          <c:showSerName val="0"/>
          <c:showPercent val="0"/>
          <c:showBubbleSize val="0"/>
        </c:dLbls>
        <c:gapWidth val="444"/>
        <c:overlap val="-90"/>
        <c:axId val="1291377520"/>
        <c:axId val="1291387120"/>
      </c:barChart>
      <c:catAx>
        <c:axId val="1291377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endParaRPr lang="en-US"/>
          </a:p>
        </c:txPr>
        <c:crossAx val="1291387120"/>
        <c:crosses val="autoZero"/>
        <c:auto val="1"/>
        <c:lblAlgn val="ctr"/>
        <c:lblOffset val="100"/>
        <c:noMultiLvlLbl val="0"/>
      </c:catAx>
      <c:valAx>
        <c:axId val="1291387120"/>
        <c:scaling>
          <c:orientation val="minMax"/>
        </c:scaling>
        <c:delete val="1"/>
        <c:axPos val="l"/>
        <c:numFmt formatCode="0.00%" sourceLinked="1"/>
        <c:majorTickMark val="none"/>
        <c:minorTickMark val="none"/>
        <c:tickLblPos val="nextTo"/>
        <c:crossAx val="1291377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latin typeface=""/>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Sheet7!$F$22</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Sheet7!$E$23:$E$25</c:f>
              <c:strCache>
                <c:ptCount val="3"/>
                <c:pt idx="0">
                  <c:v>Goods and Services Tax</c:v>
                </c:pt>
                <c:pt idx="1">
                  <c:v>Pay As You Earn</c:v>
                </c:pt>
                <c:pt idx="2">
                  <c:v>Withholding Tax</c:v>
                </c:pt>
              </c:strCache>
            </c:strRef>
          </c:cat>
          <c:val>
            <c:numRef>
              <c:f>Sheet7!$F$23:$F$25</c:f>
              <c:numCache>
                <c:formatCode>0%</c:formatCode>
                <c:ptCount val="3"/>
                <c:pt idx="0">
                  <c:v>0.63</c:v>
                </c:pt>
                <c:pt idx="1">
                  <c:v>0.68</c:v>
                </c:pt>
                <c:pt idx="2">
                  <c:v>0.34</c:v>
                </c:pt>
              </c:numCache>
            </c:numRef>
          </c:val>
          <c:extLst>
            <c:ext xmlns:c16="http://schemas.microsoft.com/office/drawing/2014/chart" uri="{C3380CC4-5D6E-409C-BE32-E72D297353CC}">
              <c16:uniqueId val="{00000000-4537-41DD-B9B4-A2BBDB327E97}"/>
            </c:ext>
          </c:extLst>
        </c:ser>
        <c:ser>
          <c:idx val="1"/>
          <c:order val="1"/>
          <c:tx>
            <c:strRef>
              <c:f>Sheet7!$G$22</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Sheet7!$E$23:$E$25</c:f>
              <c:strCache>
                <c:ptCount val="3"/>
                <c:pt idx="0">
                  <c:v>Goods and Services Tax</c:v>
                </c:pt>
                <c:pt idx="1">
                  <c:v>Pay As You Earn</c:v>
                </c:pt>
                <c:pt idx="2">
                  <c:v>Withholding Tax</c:v>
                </c:pt>
              </c:strCache>
            </c:strRef>
          </c:cat>
          <c:val>
            <c:numRef>
              <c:f>Sheet7!$G$23:$G$25</c:f>
              <c:numCache>
                <c:formatCode>0%</c:formatCode>
                <c:ptCount val="3"/>
                <c:pt idx="0">
                  <c:v>0.62907364331790605</c:v>
                </c:pt>
                <c:pt idx="1">
                  <c:v>0.61361826387045393</c:v>
                </c:pt>
                <c:pt idx="2">
                  <c:v>0.35776517257998741</c:v>
                </c:pt>
              </c:numCache>
            </c:numRef>
          </c:val>
          <c:extLst>
            <c:ext xmlns:c16="http://schemas.microsoft.com/office/drawing/2014/chart" uri="{C3380CC4-5D6E-409C-BE32-E72D297353CC}">
              <c16:uniqueId val="{00000001-4537-41DD-B9B4-A2BBDB327E97}"/>
            </c:ext>
          </c:extLst>
        </c:ser>
        <c:dLbls>
          <c:showLegendKey val="0"/>
          <c:showVal val="0"/>
          <c:showCatName val="0"/>
          <c:showSerName val="0"/>
          <c:showPercent val="0"/>
          <c:showBubbleSize val="0"/>
        </c:dLbls>
        <c:gapWidth val="182"/>
        <c:axId val="587361328"/>
        <c:axId val="587358448"/>
      </c:barChart>
      <c:catAx>
        <c:axId val="58736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587358448"/>
        <c:crosses val="autoZero"/>
        <c:auto val="1"/>
        <c:lblAlgn val="ctr"/>
        <c:lblOffset val="100"/>
        <c:noMultiLvlLbl val="0"/>
      </c:catAx>
      <c:valAx>
        <c:axId val="587358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5873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Sheet9!$D$12</c:f>
              <c:strCache>
                <c:ptCount val="1"/>
                <c:pt idx="0">
                  <c:v>RECOUVERIES (NLE)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Sheet9!$B$13:$B$24</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Sheet9!$D$13:$D$24</c:f>
              <c:numCache>
                <c:formatCode>#,##0</c:formatCode>
                <c:ptCount val="12"/>
                <c:pt idx="0">
                  <c:v>270.21520000000004</c:v>
                </c:pt>
                <c:pt idx="1">
                  <c:v>349.43182000000002</c:v>
                </c:pt>
                <c:pt idx="2">
                  <c:v>2760.5582200000003</c:v>
                </c:pt>
                <c:pt idx="3">
                  <c:v>1230.9908300000002</c:v>
                </c:pt>
                <c:pt idx="4">
                  <c:v>100.62500999999999</c:v>
                </c:pt>
                <c:pt idx="5">
                  <c:v>515.90737000000001</c:v>
                </c:pt>
                <c:pt idx="6">
                  <c:v>423.96661</c:v>
                </c:pt>
                <c:pt idx="7">
                  <c:v>1044.2145800000001</c:v>
                </c:pt>
                <c:pt idx="8">
                  <c:v>80.834940000000003</c:v>
                </c:pt>
                <c:pt idx="9">
                  <c:v>1203.4989599999999</c:v>
                </c:pt>
                <c:pt idx="10">
                  <c:v>652.68614000000002</c:v>
                </c:pt>
                <c:pt idx="11">
                  <c:v>488.65224000000001</c:v>
                </c:pt>
              </c:numCache>
            </c:numRef>
          </c:val>
          <c:smooth val="0"/>
          <c:extLst>
            <c:ext xmlns:c16="http://schemas.microsoft.com/office/drawing/2014/chart" uri="{C3380CC4-5D6E-409C-BE32-E72D297353CC}">
              <c16:uniqueId val="{00000000-422B-4501-97E5-806F79076A06}"/>
            </c:ext>
          </c:extLst>
        </c:ser>
        <c:dLbls>
          <c:showLegendKey val="0"/>
          <c:showVal val="0"/>
          <c:showCatName val="0"/>
          <c:showSerName val="0"/>
          <c:showPercent val="0"/>
          <c:showBubbleSize val="0"/>
        </c:dLbls>
        <c:smooth val="0"/>
        <c:axId val="1099147215"/>
        <c:axId val="1044796623"/>
      </c:lineChart>
      <c:catAx>
        <c:axId val="109914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044796623"/>
        <c:crosses val="autoZero"/>
        <c:auto val="1"/>
        <c:lblAlgn val="ctr"/>
        <c:lblOffset val="100"/>
        <c:noMultiLvlLbl val="0"/>
      </c:catAx>
      <c:valAx>
        <c:axId val="1044796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0991472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Sheet9!$L$40</c:f>
              <c:strCache>
                <c:ptCount val="1"/>
                <c:pt idx="0">
                  <c:v>2024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Sheet9!$K$41:$K$52</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Sheet9!$L$41:$L$52</c:f>
              <c:numCache>
                <c:formatCode>General</c:formatCode>
                <c:ptCount val="12"/>
                <c:pt idx="0">
                  <c:v>28</c:v>
                </c:pt>
                <c:pt idx="1">
                  <c:v>34</c:v>
                </c:pt>
                <c:pt idx="2">
                  <c:v>35</c:v>
                </c:pt>
                <c:pt idx="3">
                  <c:v>23</c:v>
                </c:pt>
                <c:pt idx="4">
                  <c:v>35</c:v>
                </c:pt>
                <c:pt idx="5">
                  <c:v>37</c:v>
                </c:pt>
                <c:pt idx="6">
                  <c:v>21</c:v>
                </c:pt>
                <c:pt idx="7">
                  <c:v>32</c:v>
                </c:pt>
                <c:pt idx="8">
                  <c:v>34</c:v>
                </c:pt>
                <c:pt idx="9">
                  <c:v>32</c:v>
                </c:pt>
                <c:pt idx="10">
                  <c:v>32</c:v>
                </c:pt>
                <c:pt idx="11">
                  <c:v>30</c:v>
                </c:pt>
              </c:numCache>
            </c:numRef>
          </c:val>
          <c:extLst>
            <c:ext xmlns:c16="http://schemas.microsoft.com/office/drawing/2014/chart" uri="{C3380CC4-5D6E-409C-BE32-E72D297353CC}">
              <c16:uniqueId val="{00000000-D04E-419A-AB9C-EBF809B94EA5}"/>
            </c:ext>
          </c:extLst>
        </c:ser>
        <c:ser>
          <c:idx val="1"/>
          <c:order val="1"/>
          <c:tx>
            <c:strRef>
              <c:f>Sheet9!$M$40</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Sheet9!$K$41:$K$52</c:f>
              <c:strCache>
                <c:ptCount val="12"/>
                <c:pt idx="0">
                  <c:v> JANUARY </c:v>
                </c:pt>
                <c:pt idx="1">
                  <c:v> FEBRUARY </c:v>
                </c:pt>
                <c:pt idx="2">
                  <c:v> MARCH </c:v>
                </c:pt>
                <c:pt idx="3">
                  <c:v> APRIL </c:v>
                </c:pt>
                <c:pt idx="4">
                  <c:v> MAY </c:v>
                </c:pt>
                <c:pt idx="5">
                  <c:v> JUNE </c:v>
                </c:pt>
                <c:pt idx="6">
                  <c:v> JULY </c:v>
                </c:pt>
                <c:pt idx="7">
                  <c:v> AUGUST </c:v>
                </c:pt>
                <c:pt idx="8">
                  <c:v> SEPTEMBER </c:v>
                </c:pt>
                <c:pt idx="9">
                  <c:v> OCTOBER </c:v>
                </c:pt>
                <c:pt idx="10">
                  <c:v> NOVEMBER </c:v>
                </c:pt>
                <c:pt idx="11">
                  <c:v> DECEMBER </c:v>
                </c:pt>
              </c:strCache>
            </c:strRef>
          </c:cat>
          <c:val>
            <c:numRef>
              <c:f>Sheet9!$M$41:$M$52</c:f>
              <c:numCache>
                <c:formatCode>General</c:formatCode>
                <c:ptCount val="12"/>
                <c:pt idx="0">
                  <c:v>31</c:v>
                </c:pt>
                <c:pt idx="1">
                  <c:v>29</c:v>
                </c:pt>
                <c:pt idx="2">
                  <c:v>37</c:v>
                </c:pt>
                <c:pt idx="3">
                  <c:v>30</c:v>
                </c:pt>
                <c:pt idx="4">
                  <c:v>44</c:v>
                </c:pt>
                <c:pt idx="5">
                  <c:v>41</c:v>
                </c:pt>
                <c:pt idx="6">
                  <c:v>38</c:v>
                </c:pt>
                <c:pt idx="7">
                  <c:v>30</c:v>
                </c:pt>
                <c:pt idx="8">
                  <c:v>29</c:v>
                </c:pt>
                <c:pt idx="9">
                  <c:v>30</c:v>
                </c:pt>
                <c:pt idx="10">
                  <c:v>30</c:v>
                </c:pt>
                <c:pt idx="11">
                  <c:v>30</c:v>
                </c:pt>
              </c:numCache>
            </c:numRef>
          </c:val>
          <c:extLst>
            <c:ext xmlns:c16="http://schemas.microsoft.com/office/drawing/2014/chart" uri="{C3380CC4-5D6E-409C-BE32-E72D297353CC}">
              <c16:uniqueId val="{00000001-D04E-419A-AB9C-EBF809B94EA5}"/>
            </c:ext>
          </c:extLst>
        </c:ser>
        <c:dLbls>
          <c:showLegendKey val="0"/>
          <c:showVal val="0"/>
          <c:showCatName val="0"/>
          <c:showSerName val="0"/>
          <c:showPercent val="0"/>
          <c:showBubbleSize val="0"/>
        </c:dLbls>
        <c:gapWidth val="219"/>
        <c:overlap val="-27"/>
        <c:axId val="1141028144"/>
        <c:axId val="1141021424"/>
      </c:barChart>
      <c:catAx>
        <c:axId val="114102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141021424"/>
        <c:crosses val="autoZero"/>
        <c:auto val="1"/>
        <c:lblAlgn val="ctr"/>
        <c:lblOffset val="100"/>
        <c:noMultiLvlLbl val="0"/>
      </c:catAx>
      <c:valAx>
        <c:axId val="11410214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crossAx val="114102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Sheet9!$U$38</c:f>
              <c:strCache>
                <c:ptCount val="1"/>
                <c:pt idx="0">
                  <c:v>REVENUE COLLECTED (NLe)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06F-48B0-BEE9-173B9F2F5E1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06F-48B0-BEE9-173B9F2F5E1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06F-48B0-BEE9-173B9F2F5E18}"/>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Baskerville Old Face" panose="02020602080505020303" pitchFamily="18" charset="0"/>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006F-48B0-BEE9-173B9F2F5E18}"/>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solidFill>
                      <a:latin typeface="Baskerville Old Face" panose="02020602080505020303" pitchFamily="18" charset="0"/>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006F-48B0-BEE9-173B9F2F5E18}"/>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solidFill>
                      <a:latin typeface="Baskerville Old Face" panose="02020602080505020303" pitchFamily="18" charset="0"/>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006F-48B0-BEE9-173B9F2F5E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Baskerville Old Face" panose="02020602080505020303" pitchFamily="18" charset="0"/>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Sheet9!$T$39:$T$41</c:f>
              <c:strCache>
                <c:ptCount val="3"/>
                <c:pt idx="0">
                  <c:v>GBALAMUYA/KAMBIA</c:v>
                </c:pt>
                <c:pt idx="1">
                  <c:v>LUNGI TERMINAL</c:v>
                </c:pt>
                <c:pt idx="2">
                  <c:v>JENDEMA</c:v>
                </c:pt>
              </c:strCache>
              <c:extLst/>
            </c:strRef>
          </c:cat>
          <c:val>
            <c:numRef>
              <c:f>Sheet9!$U$39:$U$41</c:f>
              <c:numCache>
                <c:formatCode>#,##0.00</c:formatCode>
                <c:ptCount val="3"/>
                <c:pt idx="0">
                  <c:v>49669708.719999999</c:v>
                </c:pt>
                <c:pt idx="1">
                  <c:v>74207402.280000001</c:v>
                </c:pt>
                <c:pt idx="2">
                  <c:v>4066986.36</c:v>
                </c:pt>
              </c:numCache>
              <c:extLst/>
            </c:numRef>
          </c:val>
          <c:extLst>
            <c:ext xmlns:c16="http://schemas.microsoft.com/office/drawing/2014/chart" uri="{C3380CC4-5D6E-409C-BE32-E72D297353CC}">
              <c16:uniqueId val="{00000006-006F-48B0-BEE9-173B9F2F5E18}"/>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Sheet7!$A$22:$A$31</cx:f>
        <cx:lvl ptCount="10">
          <cx:pt idx="0">Business/Trading</cx:pt>
          <cx:pt idx="1">Other Reason</cx:pt>
          <cx:pt idx="2">An employee</cx:pt>
          <cx:pt idx="3">One-off clearing of goods at CSD</cx:pt>
          <cx:pt idx="4">A company director</cx:pt>
          <cx:pt idx="5">To pay my taxes</cx:pt>
          <cx:pt idx="6">An employer</cx:pt>
          <cx:pt idx="7">Receiving rental income</cx:pt>
          <cx:pt idx="8">To file tax return</cx:pt>
          <cx:pt idx="9">Payment of property Income tax</cx:pt>
        </cx:lvl>
      </cx:strDim>
      <cx:numDim type="val">
        <cx:f>Sheet7!$C$22:$C$31</cx:f>
        <cx:lvl ptCount="10" formatCode="0.0%">
          <cx:pt idx="0">0.58906075586030937</cx:pt>
          <cx:pt idx="1">0.13163769733694786</cx:pt>
          <cx:pt idx="2">0.086668792856003832</cx:pt>
          <cx:pt idx="3">0.077021208738638172</cx:pt>
          <cx:pt idx="4">0.06147344921065221</cx:pt>
          <cx:pt idx="5">0.025354807845638653</cx:pt>
          <cx:pt idx="6">0.010763833519374901</cx:pt>
          <cx:pt idx="7">0.0054217828097592093</cx:pt>
          <cx:pt idx="8">0.0041460692074629249</cx:pt>
          <cx:pt idx="9">0.0027108914048796047</cx:pt>
        </cx:lvl>
      </cx:numDim>
    </cx:data>
  </cx:chartData>
  <cx:chart>
    <cx:plotArea>
      <cx:plotAreaRegion>
        <cx:series layoutId="funnel" uniqueId="{1540E18D-9B21-4800-AB2B-E5BC3ADEBC09}">
          <cx:tx>
            <cx:txData>
              <cx:f>Sheet7!$C$21</cx:f>
              <cx:v>%</cx:v>
            </cx:txData>
          </cx:tx>
          <cx:dataLabels>
            <cx:txPr>
              <a:bodyPr spcFirstLastPara="1" vertOverflow="ellipsis" horzOverflow="overflow" wrap="square" lIns="0" tIns="0" rIns="0" bIns="0" anchor="ctr" anchorCtr="1"/>
              <a:lstStyle/>
              <a:p>
                <a:pPr algn="ctr" rtl="0">
                  <a:defRPr sz="1050" b="1">
                    <a:solidFill>
                      <a:schemeClr val="bg1"/>
                    </a:solidFill>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sz="1050" b="1" i="0" u="none" strike="noStrike" baseline="0">
                  <a:solidFill>
                    <a:schemeClr val="bg1"/>
                  </a:solidFill>
                  <a:latin typeface="Baskerville Old Face" panose="02020602080505020303" pitchFamily="18" charset="0"/>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sz="900" b="0" i="0" u="none" strike="noStrike" baseline="0">
              <a:solidFill>
                <a:sysClr val="windowText" lastClr="000000">
                  <a:lumMod val="65000"/>
                  <a:lumOff val="35000"/>
                </a:sysClr>
              </a:solidFill>
              <a:latin typeface="Baskerville Old Face" panose="02020602080505020303"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5BAD-54FF-4C28-9CDD-905081D0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60</Pages>
  <Words>17657</Words>
  <Characters>100646</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Sheku  Seymour-Wilson</dc:creator>
  <cp:keywords/>
  <dc:description/>
  <cp:lastModifiedBy>Philip M. Kargbo</cp:lastModifiedBy>
  <cp:revision>74</cp:revision>
  <dcterms:created xsi:type="dcterms:W3CDTF">2025-05-13T16:52:00Z</dcterms:created>
  <dcterms:modified xsi:type="dcterms:W3CDTF">2025-05-16T01:28:00Z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c5f682d5-2407-4a46-bbc9-415e1075e995</vt:lpwstr>
  </property>
</Properties>
</file>